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5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0-14948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FISERV, INC.</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6560" w:type="dxa"/>
            <w:vAlign w:val="bottom"/>
          </w:tcPr>
          <w:p>
            <w:pPr>
              <w:jc w:val="center"/>
              <w:ind w:right="3304"/>
              <w:spacing w:after="0"/>
              <w:rPr>
                <w:sz w:val="20"/>
                <w:szCs w:val="20"/>
                <w:color w:val="auto"/>
              </w:rPr>
            </w:pPr>
            <w:r>
              <w:rPr>
                <w:rFonts w:ascii="Arial" w:cs="Arial" w:eastAsia="Arial" w:hAnsi="Arial"/>
                <w:sz w:val="18"/>
                <w:szCs w:val="18"/>
                <w:b w:val="1"/>
                <w:bCs w:val="1"/>
                <w:color w:val="auto"/>
                <w:w w:val="98"/>
              </w:rPr>
              <w:t>WISCONSIN</w:t>
            </w:r>
          </w:p>
        </w:tc>
        <w:tc>
          <w:tcPr>
            <w:tcW w:w="1540" w:type="dxa"/>
            <w:vAlign w:val="bottom"/>
          </w:tcPr>
          <w:p>
            <w:pPr>
              <w:jc w:val="right"/>
              <w:ind w:right="24"/>
              <w:spacing w:after="0"/>
              <w:rPr>
                <w:sz w:val="20"/>
                <w:szCs w:val="20"/>
                <w:color w:val="auto"/>
              </w:rPr>
            </w:pPr>
            <w:r>
              <w:rPr>
                <w:rFonts w:ascii="Arial" w:cs="Arial" w:eastAsia="Arial" w:hAnsi="Arial"/>
                <w:sz w:val="18"/>
                <w:szCs w:val="18"/>
                <w:b w:val="1"/>
                <w:bCs w:val="1"/>
                <w:color w:val="auto"/>
              </w:rPr>
              <w:t>39-1506125</w:t>
            </w:r>
          </w:p>
        </w:tc>
      </w:tr>
      <w:tr>
        <w:trPr>
          <w:trHeight w:val="149"/>
        </w:trPr>
        <w:tc>
          <w:tcPr>
            <w:tcW w:w="6560" w:type="dxa"/>
            <w:vAlign w:val="bottom"/>
          </w:tcPr>
          <w:p>
            <w:pPr>
              <w:jc w:val="center"/>
              <w:ind w:right="330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40" w:type="dxa"/>
            <w:vAlign w:val="bottom"/>
          </w:tcPr>
          <w:p>
            <w:pPr>
              <w:jc w:val="center"/>
              <w:ind w:left="424"/>
              <w:spacing w:after="0" w:line="149" w:lineRule="exact"/>
              <w:rPr>
                <w:sz w:val="20"/>
                <w:szCs w:val="20"/>
                <w:color w:val="auto"/>
              </w:rPr>
            </w:pPr>
            <w:r>
              <w:rPr>
                <w:rFonts w:ascii="Arial" w:cs="Arial" w:eastAsia="Arial" w:hAnsi="Arial"/>
                <w:sz w:val="14"/>
                <w:szCs w:val="14"/>
                <w:b w:val="1"/>
                <w:bCs w:val="1"/>
                <w:color w:val="auto"/>
                <w:w w:val="90"/>
              </w:rPr>
              <w:t>I. R. S. Employer</w:t>
            </w:r>
          </w:p>
        </w:tc>
      </w:tr>
      <w:tr>
        <w:trPr>
          <w:trHeight w:val="174"/>
        </w:trPr>
        <w:tc>
          <w:tcPr>
            <w:tcW w:w="6560" w:type="dxa"/>
            <w:vAlign w:val="bottom"/>
          </w:tcPr>
          <w:p>
            <w:pPr>
              <w:jc w:val="center"/>
              <w:ind w:right="3304"/>
              <w:spacing w:after="0"/>
              <w:rPr>
                <w:sz w:val="20"/>
                <w:szCs w:val="20"/>
                <w:color w:val="auto"/>
              </w:rPr>
            </w:pPr>
            <w:r>
              <w:rPr>
                <w:rFonts w:ascii="Arial" w:cs="Arial" w:eastAsia="Arial" w:hAnsi="Arial"/>
                <w:sz w:val="14"/>
                <w:szCs w:val="14"/>
                <w:b w:val="1"/>
                <w:bCs w:val="1"/>
                <w:color w:val="auto"/>
                <w:w w:val="89"/>
              </w:rPr>
              <w:t>incorporation or organization)</w:t>
            </w:r>
          </w:p>
        </w:tc>
        <w:tc>
          <w:tcPr>
            <w:tcW w:w="1540" w:type="dxa"/>
            <w:vAlign w:val="bottom"/>
          </w:tcPr>
          <w:p>
            <w:pPr>
              <w:jc w:val="center"/>
              <w:ind w:left="424"/>
              <w:spacing w:after="0"/>
              <w:rPr>
                <w:sz w:val="20"/>
                <w:szCs w:val="20"/>
                <w:color w:val="auto"/>
              </w:rPr>
            </w:pPr>
            <w:r>
              <w:rPr>
                <w:rFonts w:ascii="Arial" w:cs="Arial" w:eastAsia="Arial" w:hAnsi="Arial"/>
                <w:sz w:val="14"/>
                <w:szCs w:val="14"/>
                <w:b w:val="1"/>
                <w:bCs w:val="1"/>
                <w:color w:val="auto"/>
                <w:w w:val="87"/>
              </w:rPr>
              <w:t>Identification No.)</w:t>
            </w:r>
          </w:p>
        </w:tc>
      </w:tr>
      <w:tr>
        <w:trPr>
          <w:trHeight w:val="352"/>
        </w:trPr>
        <w:tc>
          <w:tcPr>
            <w:tcW w:w="6560" w:type="dxa"/>
            <w:vAlign w:val="bottom"/>
          </w:tcPr>
          <w:p>
            <w:pPr>
              <w:jc w:val="center"/>
              <w:ind w:right="3304"/>
              <w:spacing w:after="0"/>
              <w:rPr>
                <w:sz w:val="20"/>
                <w:szCs w:val="20"/>
                <w:color w:val="auto"/>
              </w:rPr>
            </w:pPr>
            <w:r>
              <w:rPr>
                <w:rFonts w:ascii="Arial" w:cs="Arial" w:eastAsia="Arial" w:hAnsi="Arial"/>
                <w:sz w:val="18"/>
                <w:szCs w:val="18"/>
                <w:b w:val="1"/>
                <w:bCs w:val="1"/>
                <w:color w:val="auto"/>
                <w:w w:val="99"/>
              </w:rPr>
              <w:t>255 FISERV DRIVE, BROOKFIELD, WI</w:t>
            </w:r>
          </w:p>
        </w:tc>
        <w:tc>
          <w:tcPr>
            <w:tcW w:w="1540" w:type="dxa"/>
            <w:vAlign w:val="bottom"/>
          </w:tcPr>
          <w:p>
            <w:pPr>
              <w:jc w:val="right"/>
              <w:ind w:right="224"/>
              <w:spacing w:after="0"/>
              <w:rPr>
                <w:sz w:val="20"/>
                <w:szCs w:val="20"/>
                <w:color w:val="auto"/>
              </w:rPr>
            </w:pPr>
            <w:r>
              <w:rPr>
                <w:rFonts w:ascii="Arial" w:cs="Arial" w:eastAsia="Arial" w:hAnsi="Arial"/>
                <w:sz w:val="18"/>
                <w:szCs w:val="18"/>
                <w:b w:val="1"/>
                <w:bCs w:val="1"/>
                <w:color w:val="auto"/>
              </w:rPr>
              <w:t>53045</w:t>
            </w:r>
          </w:p>
        </w:tc>
      </w:tr>
      <w:tr>
        <w:trPr>
          <w:trHeight w:val="174"/>
        </w:trPr>
        <w:tc>
          <w:tcPr>
            <w:tcW w:w="6560" w:type="dxa"/>
            <w:vAlign w:val="bottom"/>
          </w:tcPr>
          <w:p>
            <w:pPr>
              <w:jc w:val="center"/>
              <w:ind w:right="3304"/>
              <w:spacing w:after="0"/>
              <w:rPr>
                <w:sz w:val="20"/>
                <w:szCs w:val="20"/>
                <w:color w:val="auto"/>
              </w:rPr>
            </w:pPr>
            <w:r>
              <w:rPr>
                <w:rFonts w:ascii="Arial" w:cs="Arial" w:eastAsia="Arial" w:hAnsi="Arial"/>
                <w:sz w:val="14"/>
                <w:szCs w:val="14"/>
                <w:b w:val="1"/>
                <w:bCs w:val="1"/>
                <w:color w:val="auto"/>
                <w:w w:val="85"/>
              </w:rPr>
              <w:t>(Address of principal executive office)</w:t>
            </w:r>
          </w:p>
        </w:tc>
        <w:tc>
          <w:tcPr>
            <w:tcW w:w="1540" w:type="dxa"/>
            <w:vAlign w:val="bottom"/>
          </w:tcPr>
          <w:p>
            <w:pPr>
              <w:jc w:val="center"/>
              <w:ind w:left="42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6560" w:type="dxa"/>
            <w:vAlign w:val="bottom"/>
          </w:tcPr>
          <w:p>
            <w:pPr>
              <w:jc w:val="right"/>
              <w:ind w:right="1384"/>
              <w:spacing w:after="0"/>
              <w:rPr>
                <w:sz w:val="20"/>
                <w:szCs w:val="20"/>
                <w:color w:val="auto"/>
              </w:rPr>
            </w:pPr>
            <w:r>
              <w:rPr>
                <w:rFonts w:ascii="Arial" w:cs="Arial" w:eastAsia="Arial" w:hAnsi="Arial"/>
                <w:sz w:val="18"/>
                <w:szCs w:val="18"/>
                <w:b w:val="1"/>
                <w:bCs w:val="1"/>
                <w:color w:val="auto"/>
              </w:rPr>
              <w:t>(262) 879-5000</w:t>
            </w:r>
          </w:p>
        </w:tc>
        <w:tc>
          <w:tcPr>
            <w:tcW w:w="1540" w:type="dxa"/>
            <w:vAlign w:val="bottom"/>
          </w:tcPr>
          <w:p>
            <w:pPr>
              <w:spacing w:after="0"/>
              <w:rPr>
                <w:sz w:val="24"/>
                <w:szCs w:val="24"/>
                <w:color w:val="auto"/>
              </w:rPr>
            </w:pPr>
          </w:p>
        </w:tc>
      </w:tr>
      <w:tr>
        <w:trPr>
          <w:trHeight w:val="174"/>
        </w:trPr>
        <w:tc>
          <w:tcPr>
            <w:tcW w:w="6560" w:type="dxa"/>
            <w:vAlign w:val="bottom"/>
          </w:tcPr>
          <w:p>
            <w:pPr>
              <w:jc w:val="center"/>
              <w:ind w:left="246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1840"/>
        <w:spacing w:after="0" w:line="310" w:lineRule="exact"/>
        <w:rPr>
          <w:sz w:val="20"/>
          <w:szCs w:val="20"/>
          <w:color w:val="auto"/>
        </w:rPr>
      </w:pPr>
      <w:r>
        <w:rPr>
          <w:rFonts w:ascii="Arial" w:cs="Arial" w:eastAsia="Arial" w:hAnsi="Arial"/>
          <w:sz w:val="16"/>
          <w:szCs w:val="16"/>
          <w:color w:val="auto"/>
        </w:rPr>
        <w:t xml:space="preserve">Indicate by checkmark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15, 2004, there were 195,281,162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9" w:lineRule="exact"/>
        <w:rPr>
          <w:sz w:val="20"/>
          <w:szCs w:val="20"/>
          <w:color w:val="auto"/>
        </w:rPr>
      </w:pPr>
    </w:p>
    <w:tbl>
      <w:tblPr>
        <w:tblLayout w:type="fixed"/>
        <w:tblInd w:w="26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88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880" w:type="dxa"/>
            <w:vAlign w:val="bottom"/>
            <w:gridSpan w:val="1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0" w:type="dxa"/>
            <w:vAlign w:val="bottom"/>
            <w:tcBorders>
              <w:top w:val="single" w:sz="8" w:color="0000EE"/>
            </w:tcBorders>
          </w:tcPr>
          <w:p>
            <w:pPr>
              <w:spacing w:after="0"/>
              <w:rPr>
                <w:sz w:val="24"/>
                <w:szCs w:val="24"/>
                <w:color w:val="auto"/>
              </w:rPr>
            </w:pPr>
          </w:p>
        </w:tc>
        <w:tc>
          <w:tcPr>
            <w:tcW w:w="784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top w:val="single" w:sz="8" w:color="0000EE"/>
            </w:tcBorders>
            <w:gridSpan w:val="10"/>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w:t>
              </w:r>
            </w:hyperlink>
          </w:p>
        </w:tc>
        <w:tc>
          <w:tcPr>
            <w:tcW w:w="60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1">
              <w:r>
                <w:rPr>
                  <w:rFonts w:ascii="Arial" w:cs="Arial" w:eastAsia="Arial" w:hAnsi="Arial"/>
                  <w:sz w:val="18"/>
                  <w:szCs w:val="18"/>
                  <w:color w:val="0000EE"/>
                  <w:w w:val="86"/>
                </w:rPr>
                <w:t>Controls and Procedures</w:t>
              </w:r>
            </w:hyperlink>
          </w:p>
        </w:tc>
        <w:tc>
          <w:tcPr>
            <w:tcW w:w="76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880" w:type="dxa"/>
            <w:vAlign w:val="bottom"/>
            <w:gridSpan w:val="18"/>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Changes in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000" w:type="dxa"/>
            <w:vAlign w:val="bottom"/>
            <w:tcBorders>
              <w:top w:val="single" w:sz="8" w:color="0000EE"/>
            </w:tcBorders>
            <w:gridSpan w:val="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Exhibits and Reports on Form 8-K</w:t>
              </w:r>
            </w:hyperlink>
          </w:p>
        </w:tc>
        <w:tc>
          <w:tcPr>
            <w:tcW w:w="6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740" w:type="dxa"/>
            <w:vAlign w:val="bottom"/>
            <w:tcBorders>
              <w:bottom w:val="single" w:sz="8" w:color="0000EE"/>
            </w:tcBorders>
          </w:tcPr>
          <w:p>
            <w:pPr>
              <w:spacing w:after="0"/>
              <w:rPr>
                <w:rFonts w:ascii="Arial" w:cs="Arial" w:eastAsia="Arial" w:hAnsi="Arial"/>
                <w:sz w:val="18"/>
                <w:szCs w:val="18"/>
                <w:color w:val="0000EE"/>
                <w:w w:val="83"/>
              </w:rPr>
            </w:pPr>
            <w:hyperlink w:anchor="page12">
              <w:r>
                <w:rPr>
                  <w:rFonts w:ascii="Arial" w:cs="Arial" w:eastAsia="Arial" w:hAnsi="Arial"/>
                  <w:sz w:val="18"/>
                  <w:szCs w:val="18"/>
                  <w:color w:val="0000EE"/>
                  <w:w w:val="83"/>
                </w:rPr>
                <w:t>Signatures</w:t>
              </w:r>
            </w:hyperlink>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Exhibit Index</w:t>
              </w:r>
            </w:hyperlink>
          </w:p>
        </w:tc>
        <w:tc>
          <w:tcPr>
            <w:tcW w:w="92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83"/>
        </w:trPr>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3"/>
          </w:tcPr>
          <w:p>
            <w:pPr>
              <w:ind w:left="3880"/>
              <w:spacing w:after="0"/>
              <w:rPr>
                <w:sz w:val="20"/>
                <w:szCs w:val="20"/>
                <w:color w:val="auto"/>
              </w:rPr>
            </w:pPr>
            <w:r>
              <w:rPr>
                <w:rFonts w:ascii="Arial" w:cs="Arial" w:eastAsia="Arial" w:hAnsi="Arial"/>
                <w:sz w:val="18"/>
                <w:szCs w:val="18"/>
                <w:color w:val="auto"/>
              </w:rPr>
              <w:t>2</w:t>
            </w:r>
          </w:p>
        </w:tc>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39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Processing and services</w:t>
            </w:r>
          </w:p>
        </w:tc>
        <w:tc>
          <w:tcPr>
            <w:tcW w:w="189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w w:val="86"/>
              </w:rPr>
              <w:t>855,917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643,888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1,695,903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1,248,150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Customer reimbursements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187,597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946,020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723,391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1,883,500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1,410,384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Salaries, commissions and payroll related costs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w w:val="86"/>
              </w:rPr>
              <w:t>336,207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677,007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Customer reimbursement expenses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187,597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Data processing costs and equipment rentals</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rPr>
              <w:t>56,858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112,126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254,620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494,720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rPr>
              <w:t>47,952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39,983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94,910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785,740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591,331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1,566,360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1,153,727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160,280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132,060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317,140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 net</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5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(4,486)</w:t>
            </w: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19"/>
                <w:szCs w:val="19"/>
                <w:color w:val="auto"/>
              </w:rPr>
            </w:pPr>
          </w:p>
        </w:tc>
        <w:tc>
          <w:tcPr>
            <w:tcW w:w="126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(9,218)</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155,794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307,922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 provision</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rPr>
              <w:t>60,760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50,148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120,090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9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187,832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Basic</w:t>
            </w:r>
          </w:p>
        </w:tc>
        <w:tc>
          <w:tcPr>
            <w:tcW w:w="189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0.96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9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net income per share:</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Basic</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b w:val="1"/>
                <w:bCs w:val="1"/>
                <w:color w:val="auto"/>
                <w:w w:val="86"/>
              </w:rPr>
              <w:t>195,051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193,295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194,803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197,379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195,811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197,221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1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86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80" w:type="dxa"/>
            <w:vAlign w:val="bottom"/>
          </w:tcPr>
          <w:p>
            <w:pPr>
              <w:jc w:val="right"/>
              <w:ind w:right="79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-2032635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-2032635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-2032635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-2032635</wp:posOffset>
            </wp:positionV>
            <wp:extent cx="46736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-2032635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-2032635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-2032635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-2032635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-2032635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-2032635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-1595120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-1595120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-1595120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-1595120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-1595120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-1595120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-1595120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-1595120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-1595120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-1595120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-1595120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-1595120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-1295400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-1295400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-1295400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-1295400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-1295400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-1295400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-1295400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-1295400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-1295400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-1295400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-1295400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-1295400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-857885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-857885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-857885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-857885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-857885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-857885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-857885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-857885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-857885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-857885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-857885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-857885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-557530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-557530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-557530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-557530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-557530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-557530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-557530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-557530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-557530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232,732</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net</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413,826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Securities processing receivables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2,380,746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1,940,414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128,301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Investments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2,188,878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1,904,161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201,295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Intangible assets - net</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537,070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557,822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1,924,286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1,865,245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8,007,134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7,214,175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Accounts payable</w:t>
            </w:r>
          </w:p>
        </w:tc>
        <w:tc>
          <w:tcPr>
            <w:tcW w:w="3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205,948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Securities processing payables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2,222,558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1,786,763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Short-term borrowings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158,400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275,755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Accrued income taxes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37,587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208,530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Customer funds held and retirement account deposits</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1,865,156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1,582,698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130,269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Long-term debt</w:t>
            </w: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485,982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5,590,185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5,014,367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0"/>
              </w:rPr>
              <w:t>Common stock issued, 195,272,000 and 194,260,000 shares, respectively</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1,953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664,121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20,146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1,730,729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2,416,949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2,199,808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8,007,134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7,214,175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3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420" w:type="dxa"/>
            <w:vAlign w:val="bottom"/>
            <w:gridSpan w:val="2"/>
            <w:vMerge w:val="continue"/>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720" w:type="dxa"/>
            <w:vAlign w:val="bottom"/>
          </w:tcPr>
          <w:p>
            <w:pPr>
              <w:jc w:val="right"/>
              <w:ind w:right="329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-3773805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-3773805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-3773805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-3773805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-3773805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-3773805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-557530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-557530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-557530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-557530</wp:posOffset>
            </wp:positionV>
            <wp:extent cx="57848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60325</wp:posOffset>
            </wp:positionV>
            <wp:extent cx="13633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187,832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36,959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94,910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Changes in assets and liabilities, net of effects from acquisitions of businesses: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(8,905)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(12,347)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21,765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Securities processing receivables and payables - net</w:t>
            </w:r>
          </w:p>
        </w:tc>
        <w:tc>
          <w:tcPr>
            <w:tcW w:w="10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(4,537)</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(78,989)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316,986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Capital expenditures, including capitalization of software costs for external customers</w:t>
            </w:r>
          </w:p>
        </w:tc>
        <w:tc>
          <w:tcPr>
            <w:tcW w:w="10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(69,914)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Payment for acquisitions of businesses, net of cash acquired</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(40,918)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(190,331)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w w:val="88"/>
              </w:rPr>
              <w:t>(287,985)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8"/>
              </w:rPr>
              <w:t>(398,817)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(150,142)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Proceeds from short-term borrowings -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 - net</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88"/>
              </w:rPr>
              <w:t>(210,571)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248,268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20,508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Customer funds held and retirement account deposits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282,458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(97,629)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111,795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29,964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202,768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227,239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232,732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60" w:type="dxa"/>
            <w:vAlign w:val="bottom"/>
            <w:gridSpan w:val="2"/>
          </w:tcPr>
          <w:p>
            <w:pPr>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60" w:type="dxa"/>
            <w:vAlign w:val="bottom"/>
            <w:gridSpan w:val="2"/>
          </w:tcPr>
          <w:p>
            <w:pPr>
              <w:jc w:val="right"/>
              <w:ind w:right="33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-557530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-557530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-557530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FISERV,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Principles of Consolidation</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for the three and six month periods ended June 30, 2004 and 2003 are unaudited. In the opinion of management, all adjustments necessary for a fair presentation of such condensed consolidated financial statements have been included. Such adjustments consisted only of normal recurring items. Interim results are not necessarily indicative of results for a full year. The financial statements and notes are presented as permitted by Form 10-Q, and do not contain certain information included in the annual consolidated financial statements and notes of Fiserv, Inc. and subsidiaries (the “Company”). See the Company’s results by business segment in 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8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has accounted for its stock-based compensation plans in accordance with the intrinsic value provisions of Accounting Principles Board Opinion No. 25, “Accounting for Stock Issued to Employees.” Accordingly, the Company did not record any compensation expense in the condensed consolidated financial statements for its stock-based compensation plans. The following table illustrates the effect on net income and net income per share had compensation expense been recognized consistent with the fair value provisions of Statement of Financial Accounting Standards (“SFAS”) No. 123, “Accounting for Stock-Based Compensation”. The fair value of each option issued prior to January 1, 2004 was estimated on the date of grant using a Black-Scholes option-pricing model. For options issued on or after January 1, 2004, the fair value of each option was estimated on the date of grant using a binomial option-pricing model. Stock options are typically granted in the first quarter of the year, generally vest 20% on the date of grant and 20% each year thereafter and expire 10 years from the date of the award. As a result, the expense that would be recognized under SFAS No. 123 during the first quarter is higher than the expense for the remaining quarters.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June 30,</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20" w:type="dxa"/>
            <w:vAlign w:val="bottom"/>
            <w:gridSpan w:val="2"/>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95,034</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78,438</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187,832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stock compensation expense — net of tax</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(3,600)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(9,700)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90,834</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74,838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178,132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per share: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0.41</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2"/>
          </w:tcPr>
          <w:p>
            <w:pPr>
              <w:spacing w:after="0"/>
              <w:rPr>
                <w:sz w:val="20"/>
                <w:szCs w:val="20"/>
                <w:color w:val="auto"/>
              </w:rPr>
            </w:pPr>
            <w:r>
              <w:rPr>
                <w:rFonts w:ascii="Arial" w:cs="Arial" w:eastAsia="Arial" w:hAnsi="Arial"/>
                <w:sz w:val="18"/>
                <w:szCs w:val="18"/>
                <w:color w:val="auto"/>
              </w:rPr>
              <w:t>Pro forma net income per share: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-995680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-995680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-995680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-995680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-995680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-995680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-995680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-995680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-995680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-995680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-995680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-995680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Shares Used in Computing Net Income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the number of shares used in calculating basic and diluted net income per share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40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220" w:type="dxa"/>
            <w:vAlign w:val="bottom"/>
            <w:gridSpan w:val="4"/>
          </w:tcPr>
          <w:p>
            <w:pPr>
              <w:jc w:val="center"/>
              <w:ind w:left="541"/>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180" w:type="dxa"/>
            <w:vAlign w:val="bottom"/>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jc w:val="right"/>
              <w:ind w:right="14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common shares outstanding used for calculation of basic net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195,051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194,803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per share</w:t>
            </w: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193,295</w:t>
            </w:r>
          </w:p>
        </w:tc>
        <w:tc>
          <w:tcPr>
            <w:tcW w:w="112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192,716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Employee stock options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2,328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shares used for calculation of diluted net income per share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197,379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195,811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197,221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195,279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shares under stock options excluded from the calculation of</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equivalent shares as the impact was anti-dilutive</w:t>
            </w:r>
          </w:p>
        </w:tc>
        <w:tc>
          <w:tcPr>
            <w:tcW w:w="7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12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108"/>
        </w:trPr>
        <w:tc>
          <w:tcPr>
            <w:tcW w:w="6180" w:type="dxa"/>
            <w:vAlign w:val="bottom"/>
            <w:gridSpan w:val="2"/>
            <w:vMerge w:val="restart"/>
          </w:tcPr>
          <w:p>
            <w:pPr>
              <w:jc w:val="right"/>
              <w:ind w:right="912"/>
              <w:spacing w:after="0"/>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61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-746125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-746125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-746125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-746125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-746125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-746125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-746125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-746125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Comprehensive income is comprised of net income, unrealized gains and losses on available-for-sale investment securities, foreign currency translation and fair market value adjustments on cash flow hedges and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200" w:type="dxa"/>
            <w:vAlign w:val="bottom"/>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2"/>
                <w:szCs w:val="22"/>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8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$ 95,034</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$ 78,438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187,832</w:t>
            </w:r>
          </w:p>
        </w:tc>
        <w:tc>
          <w:tcPr>
            <w:tcW w:w="4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4"/>
              </w:rPr>
              <w:t>$ 152,626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Components of comprehensive income - net</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(181)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4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$ 94,853</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$ 81,354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190,633</w:t>
            </w:r>
          </w:p>
        </w:tc>
        <w:tc>
          <w:tcPr>
            <w:tcW w:w="4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4"/>
              </w:rPr>
              <w:t>$ 145,976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477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47775" cy="29845"/>
                    </a:xfrm>
                    <a:prstGeom prst="rect">
                      <a:avLst/>
                    </a:prstGeom>
                    <a:noFill/>
                  </pic:spPr>
                </pic:pic>
              </a:graphicData>
            </a:graphic>
          </wp:anchor>
        </w:drawing>
      </w:r>
    </w:p>
    <w:p>
      <w:pPr>
        <w:spacing w:after="0" w:line="219" w:lineRule="exact"/>
        <w:rPr>
          <w:sz w:val="20"/>
          <w:szCs w:val="20"/>
          <w:color w:val="auto"/>
        </w:rPr>
      </w:pPr>
    </w:p>
    <w:p>
      <w:pPr>
        <w:ind w:right="1640"/>
        <w:spacing w:after="0" w:line="33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Results of Operations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is an independent provider of information management systems and services to the financial industry including transaction processing, business process outsourcing and software and systems solutions. The Company’s operations have been classified into four business segments: Financial outsourcing, systems and services (“Financial”); Health plan management services (“Health”); Investment support and securities processing services (“Investment Services”); and All other and corporate (“Other”).</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following tables and discussion exclude the revenues and expenses associated with customer reimbursements because management believes that it is not appropriate to include customer reimbursements in analyzing the current performance of the Company as these balances offset in revenues and expenses with no impact on operating income and these amounts are not an indicator of current or future business trends. Customer reimbursements, which primarily consist of pass-through expenses such as postage and data communication costs, were $90.1 million and $79.5 million for the three month periods ended June 30, 2004 and 2003 and $187.6 million and $162.2 million for the six month periods ended June 30, 2004 and 2003, respectively.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6"/>
          </w:tcPr>
          <w:p>
            <w:pPr>
              <w:jc w:val="center"/>
              <w:ind w:left="35"/>
              <w:spacing w:after="0"/>
              <w:rPr>
                <w:sz w:val="20"/>
                <w:szCs w:val="20"/>
                <w:color w:val="auto"/>
              </w:rPr>
            </w:pPr>
            <w:r>
              <w:rPr>
                <w:rFonts w:ascii="Arial" w:cs="Arial" w:eastAsia="Arial" w:hAnsi="Arial"/>
                <w:sz w:val="14"/>
                <w:szCs w:val="14"/>
                <w:b w:val="1"/>
                <w:bCs w:val="1"/>
                <w:color w:val="auto"/>
                <w:w w:val="85"/>
              </w:rPr>
              <w:t>Three months ended</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220" w:type="dxa"/>
            <w:vAlign w:val="bottom"/>
            <w:gridSpan w:val="7"/>
          </w:tcPr>
          <w:p>
            <w:pPr>
              <w:ind w:left="440"/>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84"/>
              </w:rPr>
              <w:t>Percentage</w:t>
            </w:r>
          </w:p>
        </w:tc>
        <w:tc>
          <w:tcPr>
            <w:tcW w:w="100" w:type="dxa"/>
            <w:vAlign w:val="bottom"/>
          </w:tcPr>
          <w:p>
            <w:pPr>
              <w:spacing w:after="0"/>
              <w:rPr>
                <w:sz w:val="22"/>
                <w:szCs w:val="22"/>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4"/>
                <w:szCs w:val="14"/>
                <w:b w:val="1"/>
                <w:bCs w:val="1"/>
                <w:i w:val="1"/>
                <w:iCs w:val="1"/>
                <w:color w:val="auto"/>
              </w:rPr>
              <w:t>(In millions)</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gridSpan w:val="3"/>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52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104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Processing and services revenues by segment:</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$ 551.1</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$ 472.3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1,096.1</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929.3</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Investment Services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55.1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110.2</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$ 855.9</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$ 643.9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1,695.9</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1,248.2</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Salaries and payroll related costs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$ 336.2</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$ 306.3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677.0</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601.1</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254.6</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113.9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494.7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209.0</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$ 695.6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$ 511.8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1,378.8</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991.5</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by segment:</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$ 137.3</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$ 117.4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274.3</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224.9</w:t>
            </w:r>
          </w:p>
        </w:tc>
        <w:tc>
          <w:tcPr>
            <w:tcW w:w="6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Investment Services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68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$ 160.3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$ 132.1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317.1</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-2437130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-2437130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-2437130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-2437130</wp:posOffset>
            </wp:positionV>
            <wp:extent cx="3556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-2437130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-2437130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-2437130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-2437130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-2437130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-2437130</wp:posOffset>
            </wp:positionV>
            <wp:extent cx="4330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-2437130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-2437130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-1304925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-1304925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-1304925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-1304925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-1304925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-1304925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-1304925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-1304925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-1304925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-1304925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-1304925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-1304925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-1304925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-1304925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-1304925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-1304925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-172720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-172720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-172720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-172720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-172720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-172720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-172720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-172720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-172720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-172720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-172720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-172720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Percents are not meaningful, amounts include corporate expenses.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w w:val="85"/>
              </w:rPr>
              <w:t>Three months ended</w:t>
            </w: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revenues as a percentage of total processing and services revenues: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Salaries and payroll related costs</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39%</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Other operating expenses</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margin by segment: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Financial (1)</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25%</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(1)</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Investment services (1)</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w:t>
            </w:r>
          </w:p>
        </w:tc>
        <w:tc>
          <w:tcPr>
            <w:tcW w:w="1940" w:type="dxa"/>
            <w:vAlign w:val="bottom"/>
            <w:gridSpan w:val="3"/>
          </w:tcPr>
          <w:p>
            <w:pPr>
              <w:jc w:val="right"/>
              <w:ind w:right="6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w:t>
            </w:r>
          </w:p>
        </w:tc>
        <w:tc>
          <w:tcPr>
            <w:tcW w:w="19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-1167765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-1167765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-1167765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-1167765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-1167765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-1167765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-1167765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-1167765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-172720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-172720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-172720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640" w:hanging="452"/>
        <w:spacing w:after="0" w:line="26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Percent of segment processing and services revenues is calculated as a percentage of Financial revenues, Health revenues and Investment Services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Growth</w:t>
      </w:r>
    </w:p>
    <w:p>
      <w:pPr>
        <w:spacing w:after="0" w:line="8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Internal revenue growth percentages are measured as the increase or decrease in total processing and services revenues for the current period less “acquired revenue from acquisitions” divided by total processing and services revenues from the prior year period plus “acquired revenue from acquisitions.” “Acquired revenue from acquisitions” represents pre-acquisition normalized revenue of acquired companies for the comparable prior year period. Internal revenue growth percentage is a non-GAAP financial measure that the Company believes is useful to investors because it provides an alternative to measure revenue growth excluding the impact of acquired revenues. The following tables set forth the calculation of internal revenue growth for the three and six month periods ended June 30, 2004: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w w:val="88"/>
              </w:rPr>
              <w:t>Three months ended June 30,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4"/>
          </w:tcPr>
          <w:p>
            <w:pPr>
              <w:ind w:left="540"/>
              <w:spacing w:after="0"/>
              <w:rPr>
                <w:sz w:val="20"/>
                <w:szCs w:val="20"/>
                <w:color w:val="auto"/>
              </w:rPr>
            </w:pPr>
            <w:r>
              <w:rPr>
                <w:rFonts w:ascii="Arial" w:cs="Arial" w:eastAsia="Arial" w:hAnsi="Arial"/>
                <w:sz w:val="14"/>
                <w:szCs w:val="14"/>
                <w:b w:val="1"/>
                <w:bCs w:val="1"/>
                <w:i w:val="1"/>
                <w:iCs w:val="1"/>
                <w:color w:val="auto"/>
                <w:w w:val="94"/>
              </w:rPr>
              <w:t>(In millions)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2004</w:t>
            </w:r>
          </w:p>
        </w:tc>
        <w:tc>
          <w:tcPr>
            <w:tcW w:w="720" w:type="dxa"/>
            <w:vAlign w:val="bottom"/>
            <w:vMerge w:val="restart"/>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0"/>
              </w:rPr>
              <w:t>Increase</w:t>
            </w: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Internal</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Internal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6"/>
              </w:rPr>
              <w:t>(Decrease)</w:t>
            </w: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Growth %</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Growth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855.9</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643.9</w:t>
            </w: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212.0</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(129.9)</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855.9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773.7</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82.2</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Segment: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551.1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472.3</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78.8</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(77.8)</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551.1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550.1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Health</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218.3</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93.2</w:t>
            </w: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125.1</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(52.0)</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218.3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145.2</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73.1</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2.4</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5.7</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9"/>
              </w:rPr>
              <w:t>Six months ended June 30,</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gridSpan w:val="4"/>
          </w:tcPr>
          <w:p>
            <w:pPr>
              <w:ind w:left="540"/>
              <w:spacing w:after="0"/>
              <w:rPr>
                <w:sz w:val="20"/>
                <w:szCs w:val="20"/>
                <w:color w:val="auto"/>
              </w:rPr>
            </w:pPr>
            <w:r>
              <w:rPr>
                <w:rFonts w:ascii="Arial" w:cs="Arial" w:eastAsia="Arial" w:hAnsi="Arial"/>
                <w:sz w:val="14"/>
                <w:szCs w:val="14"/>
                <w:b w:val="1"/>
                <w:bCs w:val="1"/>
                <w:i w:val="1"/>
                <w:iCs w:val="1"/>
                <w:color w:val="auto"/>
                <w:w w:val="99"/>
              </w:rPr>
              <w:t>(In millions)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2004</w:t>
            </w:r>
          </w:p>
        </w:tc>
        <w:tc>
          <w:tcPr>
            <w:tcW w:w="720" w:type="dxa"/>
            <w:vAlign w:val="bottom"/>
            <w:vMerge w:val="restart"/>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2003</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0"/>
              </w:rPr>
              <w:t>Increase</w:t>
            </w: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Internal</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Internal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6"/>
              </w:rPr>
              <w:t>(Decrease)</w:t>
            </w: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Growth %</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Growth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1,695.9</w:t>
            </w:r>
          </w:p>
        </w:tc>
        <w:tc>
          <w:tcPr>
            <w:tcW w:w="680" w:type="dxa"/>
            <w:vAlign w:val="bottom"/>
            <w:gridSpan w:val="2"/>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1,248.2</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447.8</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(288.4)</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1,695.9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1,536.6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159.4</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Segment: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1,096.1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166.8</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(158.9)</w:t>
            </w: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1,096.1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1,088.2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Health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424.9</w:t>
            </w:r>
          </w:p>
        </w:tc>
        <w:tc>
          <w:tcPr>
            <w:tcW w:w="680" w:type="dxa"/>
            <w:vAlign w:val="bottom"/>
            <w:gridSpan w:val="2"/>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162.3</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262.6</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Acquired revenue from 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(129.5)</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Services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680" w:type="dxa"/>
            <w:vAlign w:val="bottom"/>
            <w:gridSpan w:val="2"/>
          </w:tcPr>
          <w:p>
            <w:pPr>
              <w:ind w:left="56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110.2</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6.3</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Processing and services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680" w:type="dxa"/>
            <w:vAlign w:val="bottom"/>
            <w:gridSpan w:val="2"/>
          </w:tcPr>
          <w:p>
            <w:pPr>
              <w:ind w:left="56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12.1</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 and Services Revenues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processing and services revenues increased $212.0 million, or 33%, in the second quarter of 2004 compared to 2003 and $447.8 million, or 36%, in the first six months of 2004 compared to 2003. Internal revenue growth for the second quarter of 2004 was 11% and for the first six months of 2004 was 10% with the remaining growth resulting from acquisitions. Overall internal revenue growth was primarily derived from sales to new clients, cross-sales to existing clients and increases in transaction volumes from existing clients. The 2004 internal revenue growth rate was primarily driven by accelerating internal revenue growth in the Health segment’s pharmacy services businesses.</w:t>
      </w:r>
    </w:p>
    <w:p>
      <w:pPr>
        <w:spacing w:after="0" w:line="1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Financial segment had positive revenue growth of $78.8 million, or 17%, in the second quarter of 2004 compared to 2003 and $166.8 million, or 18%, in the first six months of 2004 compared to 2003 primarily resulting from acquisitions. This segment’s 2004 second quarter internal revenue growth rate was negatively impacted by approximately 2% due to the combination of the loss of an item processing customer announced in 2003 and a decline in mortgage loan origination volumes in 2004 compared to 2003 in the Company’s Lending division.</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Health segment had positive revenue growth of $125.1 million, or 134%, in the second quarter of 2004 compared to 2003 and $262.6 million, or 162%, in the first six months of 2004 compared to 2003. $192.2 million of the total revenue growth for the first six months of 2004 for this segment was due to the inclusion in revenues and cost of revenues of the prescription ingredient cost related to the pharmacy services businesses. The Company entered the pharmacy services business in the second quarter of 2003 and the average operating margins of these businesses are in the mid single digits. The internal revenue growth rate in this segment for the second quarter of 2004 was 50% and for the first six months of 2004 was 46% and the remaining growth resulted from acquisitions.</w:t>
      </w:r>
    </w:p>
    <w:p>
      <w:pPr>
        <w:spacing w:after="0" w:line="10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Revenues in the Investment Services segment increased by $2.4 million, or 4%, in the second quarter of 2004 compared to 2003 and $6.3 million, or 6%, in the first six months of 2004 compared to 2003.</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Revenues in the Other segment increased by $5.7 million, or 25%, in the second quarter of 2004 compared to 2003 and $12.1 million, or 26%, in the first six months of 2004 compared to 2003 due to strong internal revenue growth in the Company’s plastic card service operation through a combination of new sales and cross sales to existing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Total cost of revenues increased $183.8 million, or 36%, in the second quarter of 2004 compared to 2003 and $387.3 million, or 39%, in the first six months of 2004 compared to 2003. As a percent of processing and services revenues, cost of revenues were 81% for the first six months of 2004 compared to 79% in 2003. The components of cost of revenues each year has been affected by business acquisitions and changes in the mix of the Company’s business, including the significant impact of the pharmacy services businesses.</w:t>
      </w:r>
    </w:p>
    <w:p>
      <w:pPr>
        <w:spacing w:after="0" w:line="13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percentage of revenues, salaries and payroll related costs and data processing costs decreased, and other operating expenses increased in 2004 compared to the prior year due primarily to growth in the Health segment’s pharmacy services businesses. The pharmacy services businesses have a very high proportion of costs related to the ingredient cost of the prescription approximating $204.4 million and $12.2 million for the six months ended June 30, 2004 and 2003, respectively, which is included in revenues and other operating expenses.</w:t>
      </w:r>
    </w:p>
    <w:p>
      <w:pPr>
        <w:sectPr>
          <w:pgSz w:w="11900" w:h="16838" w:orient="portrait"/>
          <w:cols w:equalWidth="0" w:num="1">
            <w:col w:w="11420"/>
          </w:cols>
          <w:pgMar w:left="240" w:top="459" w:right="239" w:bottom="747"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747"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Operating income increased $28.2 million, or 21%, in the second quarter of 2004 compared to 2003 and $60.5 million, or 24%, in the first six months of 2004 compared to 2003. The operating income increases were primarily derived from the Financial and Health segments.</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in operating income in the Financial segment was $19.9 million, or 17%, in the second quarter of 2004 compared to 2003 and $49.4 million, or 22%, in the first six months of 2004 compared to 2003. In 2004, the Financial segment’s year to date operating results continued to benefit from strong revenue growth of 18% and an operating margin of 25%.</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increase in the Health segment’s operating income was $7.8 million, or 71%, in the second quarter of 2004 compared to 2003 and $15.1 million, or 65%, in the first six months of 2004 compared to 2003 due to strong revenue growth, partially offset by a decrease in operating margins. Operating margins decreased from 14% in the first six months of 2003 to 9% in 2004 due primarily to lower operating margins associated with the pharmacy services businesses discussed previously.</w:t>
      </w:r>
    </w:p>
    <w:p>
      <w:pPr>
        <w:spacing w:after="0" w:line="130"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Investment Services segment’s operating income decreased by $2.9 million in the second quarter of 2004 compared to 2003 and decreased $10.3 million in the first six months of 2004 compared to 2003. The 2004 year to date decrease compared to 2003 was primarily due to a $6.0 million charge in the first quarter of 2004 and additional expenses in the second quarter, primarily outside legal fees, associated with the Company’s broker-dealer subsidiary, Fiserv Securities, Inc. (“FSI”). FSI has been responding to inquiries from the Securities and Exchange Commission (“SEC”) as part of its industry-wide review of mutual fund trading practices, including market timing and late trading. FSI estimates cumulative revenues associated with such practices at approximately $4.6 million. Although the Company is unable to predict the ultimate outcome of these matters, if the SEC were to assert a violation of securities laws with respect to these matters, then FSI may be subject to fines and penalties and other administrative remedies which could have a material adverse impact on the Company’s quarterly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was 39% in 2004 and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 Diluted</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income per share-diluted for the second quarter was $0.48 in 2004 compared to $0.40 in 2003. Net income per share-diluted for the first six months of 2004 was $0.95 compared to $0.78 in the comparable 2003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Free cash flow is measured as net cash provided by operating activities before changes in securities processing receivables and payables less capital expenditures including capitalization of software costs for external customers, as reported in the Company’s condensed consolidated statements of cash flows. As the changes in securities processing receivables and payables are generally offset by changes in short-term borrowings and investments, which are included in financing and investing activities, management believes it is more meaningful to analyze changes in operating cash flows before the changes in securities processing receivables and payables. Free cash flow is a non-GAAP financial measure that the Company believes is useful to investors because it provides another measure of available cash flow after the Company has satisfied the capital requirements of its operations. The following table summarizes free cash flow for the Company:</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810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$317.0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Changes in securities processing receivables and payables-net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1"/>
              </w:rPr>
              <w:t>Net cash provided by operating activities before changes in securities processing receivables and payables-net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Capital expenditures, including capitalization of software costs for external customers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(69.9)</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$251.6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Free cash flow increased by $72.2 million, or 40%, in the first six months of 2004 compared to 2003 primarily due to an increase in net income of $35.2 million, an increase of $17.5 million in depreciation and amortization, and a decrease in capital expenditures of $11.0 million. The Company’s working capital changes, excluding securities processing receivables and payables, had a positive impact on free cash flow of $1.8 million in 2004 compared to $4.4 million in 2003. In 2004, the Company primarily used its free cash flow of $251.6 million to repay long-term debt of $210.6 million. In addition, gross software development costs for external customers capitalized in the first six months of 2004 were $24.1 million, offset by associated amortization of $30.3 million.</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March 31, 2004, the Company entered into a new credit facility to replace its existing credit facility that was due in May of 2004. The new credit facility totaling $700.0 million is comprised of a $465.3 million five-year revolving credit facility due in 2009 and a $234.7 million 364-day revolving credit facility which is renewable annually through 2009. Long-term debt includes $189.8 million borrowed under the credit facility at June 30, 2004. The Company must, among other requirements, maintain a minimum net worth of $1.8 billion as of June 30, 2004 and limit its total debt to no more than three and one-half times the Company’s earnings before interest, taxes, depreciation and amortization. At June 30, 2004, the Company had $486.0 million of long-term debt, while shareholders’ equity was $2.4 billion. The Company was in compliance with all covenants as of June 30, 2004.</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believes that its cash flow from operations together with other available sources of funds will be adequate to meet its operating requirements, debt repayments, contingent payments in connection with business acquisitions and ordinary capital spending needs. In the event the Company makes significant future acquisitions, however, it may raise funds through additional borrowings or the issuance of securities.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matters discussed herein are “forward-looking statements” intended to qualify for the safe harbor from liability established by the Private Securities Litigation Reform Act of 1995. These forward-looking statements can generally be identified as such because the context of the statement will include words such as “believes,” “anticipates,” or “expects,” or words of similar import. Similarly, statements that describe future plans, objectives or goals of the Company are also forward-looking statements. Such forward-looking statements are subject to certain risks and uncertainties, which could cause actual results to differ materially from those currently anticipated. Factors that could affect results include, among others, economic, competitive, governmental, regulatory and technological factors affecting the Company’s operations, markets, services and related products, prices and other factors discussed in the Company’s prior filings with the Securities and Exchange Commission. Shareholders, potential investors and other readers are urged to consider these factors carefully in evaluating the forward-looking statements and are cautioned not to place undue reliance on such forward-looking statements. The Company assumes no obligation to update any forward-looking statements, whether as a result of new information, future events or otherwise.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quantitative and qualitative disclosures about market risk are incorporated by reference to Item 7A of the Company’s Annual Report on Form 10-K for the year ended December 31, 2003 and have not materially changed since that report was filed.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accordance with Rule 13a-15(b) of the Securities Exchange Act of 1934 (the “Exchange Act”), the Company’s management evaluated, with the participation of the Company’s management, including the Company’s President and Chief Executive Officer and Senior Executive Vice President and Chief Financial Officer, of the effectiveness of the design and operation of the Company’s disclosure controls and procedures (as defined in Rule 13a-14(c) and 15d-14(c) under the Exchange Act) as of June 30, 2004. Based upon their evaluation of these disclosure controls and procedures, the President and Chief Executive Officer and the Senior Executive Vice President and Chief Financial Officer concluded that the disclosure controls and procedures were effective as of June 30, 2004 to ensure that material information relating to the Company, including its consolidated subsidiaries, was made known to them by others within those entities, particularly during the period in which this quarterly report on Form 10-Q was being prepared.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quarter ended June 30, 2004 that has materially affected, or is reasonably likely to materially affect, the Company’s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See Item 2, “Management’s Discussion and Analysis of Financial Condition and Results of Operations” for a discussion of inquiries from the Securities and Exchange Commission regarding Fiserv Securities, Inc.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1999, the Company’s Board of Directors authorized the repurchase of up to 4,875,000 shares of the Company’s common stock. The Company did not repurchase any shares under the authorization during the quarter ended June 30, 2004. As of June 30, 2004, the Company had authority to repurchase 1,676,000 shares under that program. The repurchase authorization does not expire.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15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Company filed a report on Form 8-K under Items 7 and 12, dated April 21, 2004, reporting the announcement of the Company’s earnings for the quarter ended March 31, 2004.</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8"/>
          <w:szCs w:val="18"/>
          <w:b w:val="1"/>
          <w:bCs w:val="1"/>
          <w:u w:val="single" w:color="auto"/>
          <w:color w:val="auto"/>
        </w:rPr>
        <w:t>Fiserv, Inc.</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July 21,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6073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Executive Vice President,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 Treasurer and Assistant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92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74"/>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800" w:type="dxa"/>
            <w:vAlign w:val="bottom"/>
            <w:gridSpan w:val="3"/>
          </w:tcPr>
          <w:p>
            <w:pPr>
              <w:ind w:left="440"/>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r>
      <w:tr>
        <w:trPr>
          <w:trHeight w:val="316"/>
        </w:trPr>
        <w:tc>
          <w:tcPr>
            <w:tcW w:w="6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800" w:type="dxa"/>
            <w:vAlign w:val="bottom"/>
            <w:gridSpan w:val="3"/>
          </w:tcPr>
          <w:p>
            <w:pPr>
              <w:ind w:left="440"/>
              <w:spacing w:after="0"/>
              <w:rPr>
                <w:sz w:val="20"/>
                <w:szCs w:val="20"/>
                <w:color w:val="auto"/>
              </w:rPr>
            </w:pPr>
            <w:r>
              <w:rPr>
                <w:rFonts w:ascii="Arial" w:cs="Arial" w:eastAsia="Arial" w:hAnsi="Arial"/>
                <w:sz w:val="18"/>
                <w:szCs w:val="18"/>
                <w:color w:val="auto"/>
              </w:rPr>
              <w:t>Certification of the Chief Executive Officer, dated July 21, 2004</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800" w:type="dxa"/>
            <w:vAlign w:val="bottom"/>
            <w:gridSpan w:val="3"/>
          </w:tcPr>
          <w:p>
            <w:pPr>
              <w:ind w:left="440"/>
              <w:spacing w:after="0"/>
              <w:rPr>
                <w:sz w:val="20"/>
                <w:szCs w:val="20"/>
                <w:color w:val="auto"/>
              </w:rPr>
            </w:pPr>
            <w:r>
              <w:rPr>
                <w:rFonts w:ascii="Arial" w:cs="Arial" w:eastAsia="Arial" w:hAnsi="Arial"/>
                <w:sz w:val="18"/>
                <w:szCs w:val="18"/>
                <w:color w:val="auto"/>
              </w:rPr>
              <w:t>Certification of the Chief Financial Officer, dated July 21, 2004</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800" w:type="dxa"/>
            <w:vAlign w:val="bottom"/>
            <w:gridSpan w:val="3"/>
          </w:tcPr>
          <w:p>
            <w:pPr>
              <w:ind w:left="440"/>
              <w:spacing w:after="0"/>
              <w:rPr>
                <w:sz w:val="20"/>
                <w:szCs w:val="20"/>
                <w:color w:val="auto"/>
              </w:rPr>
            </w:pPr>
            <w:r>
              <w:rPr>
                <w:rFonts w:ascii="Arial" w:cs="Arial" w:eastAsia="Arial" w:hAnsi="Arial"/>
                <w:sz w:val="18"/>
                <w:szCs w:val="18"/>
                <w:color w:val="auto"/>
                <w:w w:val="97"/>
              </w:rPr>
              <w:t>Written Statement of the Chief Executive Officer, dated July 21, 2004</w:t>
            </w:r>
          </w:p>
        </w:tc>
      </w:tr>
      <w:tr>
        <w:trPr>
          <w:trHeight w:val="324"/>
        </w:trPr>
        <w:tc>
          <w:tcPr>
            <w:tcW w:w="6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800" w:type="dxa"/>
            <w:vAlign w:val="bottom"/>
            <w:gridSpan w:val="3"/>
          </w:tcPr>
          <w:p>
            <w:pPr>
              <w:ind w:left="440"/>
              <w:spacing w:after="0"/>
              <w:rPr>
                <w:sz w:val="20"/>
                <w:szCs w:val="20"/>
                <w:color w:val="auto"/>
              </w:rPr>
            </w:pPr>
            <w:r>
              <w:rPr>
                <w:rFonts w:ascii="Arial" w:cs="Arial" w:eastAsia="Arial" w:hAnsi="Arial"/>
                <w:sz w:val="18"/>
                <w:szCs w:val="18"/>
                <w:color w:val="auto"/>
                <w:w w:val="98"/>
              </w:rPr>
              <w:t>Written Statement of the Chief Financial Officer, dated July 21, 2004</w:t>
            </w:r>
          </w:p>
        </w:tc>
      </w:tr>
      <w:tr>
        <w:trPr>
          <w:trHeight w:val="365"/>
        </w:trPr>
        <w:tc>
          <w:tcPr>
            <w:tcW w:w="600" w:type="dxa"/>
            <w:vAlign w:val="bottom"/>
          </w:tcPr>
          <w:p>
            <w:pPr>
              <w:spacing w:after="0"/>
              <w:rPr>
                <w:sz w:val="24"/>
                <w:szCs w:val="24"/>
                <w:color w:val="auto"/>
              </w:rPr>
            </w:pPr>
          </w:p>
        </w:tc>
        <w:tc>
          <w:tcPr>
            <w:tcW w:w="5800" w:type="dxa"/>
            <w:vAlign w:val="bottom"/>
            <w:gridSpan w:val="3"/>
          </w:tcPr>
          <w:p>
            <w:pPr>
              <w:ind w:left="50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0219"/>
          </w:cols>
          <w:pgMar w:left="240" w:top="459"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Leslie M. Muma, certify that:</w:t>
      </w:r>
    </w:p>
    <w:p>
      <w:pPr>
        <w:spacing w:after="0" w:line="7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157" w:lineRule="exact"/>
        <w:rPr>
          <w:rFonts w:ascii="Arial" w:cs="Arial" w:eastAsia="Arial" w:hAnsi="Arial"/>
          <w:sz w:val="18"/>
          <w:szCs w:val="18"/>
          <w:color w:val="auto"/>
        </w:rPr>
      </w:pPr>
    </w:p>
    <w:p>
      <w:pPr>
        <w:ind w:right="240" w:firstLine="8"/>
        <w:spacing w:after="0" w:line="370" w:lineRule="auto"/>
        <w:tabs>
          <w:tab w:leader="none" w:pos="17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right="32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18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5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380" w:firstLine="4"/>
        <w:spacing w:after="0" w:line="332" w:lineRule="auto"/>
        <w:tabs>
          <w:tab w:leader="none" w:pos="64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July 21,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M. Muma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6073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LESLIE M. MUMA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Kenneth R. Jensen, certify that:</w:t>
      </w:r>
    </w:p>
    <w:p>
      <w:pPr>
        <w:spacing w:after="0" w:line="7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w:t>
      </w:r>
    </w:p>
    <w:p>
      <w:pPr>
        <w:spacing w:after="0" w:line="1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material fact or omit to state a material fact necessary to make the statements made, in light of the circumstances under which such statements were made, not misleading with respect to the period covered by this quarterly report;</w:t>
      </w:r>
    </w:p>
    <w:p>
      <w:pPr>
        <w:spacing w:after="0" w:line="124" w:lineRule="exact"/>
        <w:rPr>
          <w:sz w:val="20"/>
          <w:szCs w:val="20"/>
          <w:color w:val="auto"/>
        </w:rPr>
      </w:pPr>
    </w:p>
    <w:p>
      <w:pPr>
        <w:ind w:right="32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18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5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380" w:firstLine="4"/>
        <w:spacing w:after="0" w:line="332" w:lineRule="auto"/>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 July 21,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6073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Executive Vice President,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Financial Officer, Treasurer and Assistant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5"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Solely for the purposes of complying with 18 U.S.C. Section 1350, I, the undersigned President and Chief Executive Officer of Fiserv, Inc. (the “Company”), hereby certify that the Quarterly Report on Form 10-Q of the Company for the quarter ended June 30, 2004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M. Muma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2294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LESLIE M. MUMA</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July 21, 2004</w:t>
      </w:r>
    </w:p>
    <w:p>
      <w:pPr>
        <w:sectPr>
          <w:pgSz w:w="11900" w:h="16838" w:orient="portrait"/>
          <w:cols w:equalWidth="0" w:num="1">
            <w:col w:w="11420"/>
          </w:cols>
          <w:pgMar w:left="240" w:top="12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Solely for the purposes of complying with 18 U.S.C. Section 1350, I, the undersigned Senior Executive Vice President, Chief Financial Officer, Treasurer and Assistant Secretary of Fiserv, Inc. (the “Company”), hereby certify that the Quarterly Report on Form 10-Q of the Company for the quarter ended June 30, 2004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Kenneth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2294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KENNETH R. JENSEN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July 21,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2019-12-13T17:15:29Z</dcterms:created>
  <dcterms:modified xsi:type="dcterms:W3CDTF">2019-12-13T17:15:29Z</dcterms:modified>
</cp:coreProperties>
</file>