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File No. 333-227436</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$64,900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September 20, 2018)</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171450</wp:posOffset>
            </wp:positionV>
            <wp:extent cx="6172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selling shareholder named in this prospectus supplement is offering (the “offering”) to sell 5,000,000 shares (the “shares”) of our common stock, par value $0.01 per share (“common stock”). We will not receive any proceeds from the sale of the shares of common stock by the selling shareholder.</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ticker symbol “FISV.” The last reported sale price of our common stock on August 18, 2020 was $102.67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560" w:firstLine="551"/>
        <w:spacing w:after="0" w:line="243" w:lineRule="auto"/>
        <w:rPr>
          <w:sz w:val="20"/>
          <w:szCs w:val="20"/>
          <w:color w:val="auto"/>
        </w:rPr>
      </w:pPr>
      <w:r>
        <w:rPr>
          <w:rFonts w:ascii="Arial" w:cs="Arial" w:eastAsia="Arial" w:hAnsi="Arial"/>
          <w:sz w:val="22"/>
          <w:szCs w:val="22"/>
          <w:b w:val="1"/>
          <w:bCs w:val="1"/>
          <w:color w:val="auto"/>
        </w:rPr>
        <w:t>Investing in our common stock involves risks. See “</w:t>
      </w:r>
      <w:r>
        <w:rPr>
          <w:rFonts w:ascii="Arial" w:cs="Arial" w:eastAsia="Arial" w:hAnsi="Arial"/>
          <w:sz w:val="22"/>
          <w:szCs w:val="22"/>
          <w:b w:val="1"/>
          <w:bCs w:val="1"/>
          <w:u w:val="single" w:color="auto"/>
          <w:color w:val="auto"/>
        </w:rPr>
        <w:t>Risk Factors” beginning on page S-7 of this prospectus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supplement and the risk factors incorporated by reference into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60960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7"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shareholder.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shareholder, before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490,000,000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will be ready for delivery on or about August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Sole Bookrunner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KKR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Lead Manager and Settlement Agent</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BTIG</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Co-Managers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Academy Securities</w:t>
            </w:r>
          </w:p>
        </w:tc>
        <w:tc>
          <w:tcPr>
            <w:tcW w:w="22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AmeriVet Securities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Bancroft Capital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Blaylock Van, LLC</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Cabrera Capital</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CastleOak</w:t>
            </w:r>
          </w:p>
        </w:tc>
      </w:tr>
      <w:tr>
        <w:trPr>
          <w:trHeight w:val="216"/>
        </w:trPr>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8"/>
              </w:rPr>
              <w:t>Markets LLC</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85"/>
              </w:rPr>
              <w:t>Securities,</w:t>
            </w:r>
          </w:p>
        </w:tc>
      </w:tr>
      <w:tr>
        <w:trPr>
          <w:trHeight w:val="234"/>
        </w:trPr>
        <w:tc>
          <w:tcPr>
            <w:tcW w:w="2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L.P.</w:t>
            </w:r>
          </w:p>
        </w:tc>
      </w:tr>
      <w:tr>
        <w:trPr>
          <w:trHeight w:val="30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C.L. King &amp; Associates</w:t>
            </w:r>
          </w:p>
        </w:tc>
        <w:tc>
          <w:tcPr>
            <w:tcW w:w="22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Guzman &amp; Company</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Loop Capital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3"/>
              </w:rPr>
              <w:t>Mischler Financial</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Ramirez &amp; Co., Inc.</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 Seelaus &amp;</w:t>
            </w:r>
          </w:p>
        </w:tc>
      </w:tr>
      <w:tr>
        <w:trPr>
          <w:trHeight w:val="216"/>
        </w:trPr>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Markets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Group, Inc.</w:t>
            </w: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Co., LLC</w:t>
            </w:r>
          </w:p>
        </w:tc>
      </w:t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Roberts &amp; Ryan</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Siebert Williams Shank</w:t>
            </w:r>
          </w:p>
        </w:tc>
        <w:tc>
          <w:tcPr>
            <w:tcW w:w="3620" w:type="dxa"/>
            <w:vAlign w:val="bottom"/>
            <w:gridSpan w:val="2"/>
          </w:tcPr>
          <w:p>
            <w:pPr>
              <w:ind w:left="1200"/>
              <w:spacing w:after="0"/>
              <w:rPr>
                <w:sz w:val="20"/>
                <w:szCs w:val="20"/>
                <w:color w:val="auto"/>
              </w:rPr>
            </w:pPr>
            <w:r>
              <w:rPr>
                <w:rFonts w:ascii="Arial" w:cs="Arial" w:eastAsia="Arial" w:hAnsi="Arial"/>
                <w:sz w:val="18"/>
                <w:szCs w:val="18"/>
                <w:b w:val="1"/>
                <w:bCs w:val="1"/>
                <w:color w:val="auto"/>
              </w:rPr>
              <w:t>Telsey Advisory Group</w:t>
            </w:r>
          </w:p>
        </w:tc>
        <w:tc>
          <w:tcPr>
            <w:tcW w:w="2980" w:type="dxa"/>
            <w:vAlign w:val="bottom"/>
            <w:gridSpan w:val="2"/>
          </w:tcPr>
          <w:p>
            <w:pPr>
              <w:ind w:left="800"/>
              <w:spacing w:after="0"/>
              <w:rPr>
                <w:sz w:val="20"/>
                <w:szCs w:val="20"/>
                <w:color w:val="auto"/>
              </w:rPr>
            </w:pPr>
            <w:r>
              <w:rPr>
                <w:rFonts w:ascii="Arial" w:cs="Arial" w:eastAsia="Arial" w:hAnsi="Arial"/>
                <w:sz w:val="18"/>
                <w:szCs w:val="18"/>
                <w:b w:val="1"/>
                <w:bCs w:val="1"/>
                <w:color w:val="auto"/>
                <w:w w:val="95"/>
              </w:rPr>
              <w:t>Tigress Financial Partners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August 18,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282575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680" w:type="dxa"/>
            <w:vAlign w:val="bottom"/>
            <w:gridSpan w:val="3"/>
          </w:tcPr>
          <w:p>
            <w:pPr>
              <w:ind w:left="10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ROSPECTUS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UPPLEMENT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78"/>
              </w:rPr>
              <w:t>Page</w:t>
            </w:r>
          </w:p>
        </w:tc>
        <w:tc>
          <w:tcPr>
            <w:tcW w:w="5160" w:type="dxa"/>
            <w:vAlign w:val="bottom"/>
          </w:tcPr>
          <w:p>
            <w:pPr>
              <w:ind w:left="19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ROSPECTUS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86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w:t>
              </w:r>
              <w:r>
                <w:rPr>
                  <w:rFonts w:ascii="Arial" w:cs="Arial" w:eastAsia="Arial" w:hAnsi="Arial"/>
                  <w:sz w:val="14"/>
                  <w:szCs w:val="14"/>
                  <w:u w:val="single" w:color="auto"/>
                  <w:color w:val="0000EE"/>
                </w:rPr>
                <w:t>BOUT THIS</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ROSPECTUS</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UPPLEMENT</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S-ii</w:t>
            </w:r>
          </w:p>
        </w:tc>
        <w:tc>
          <w:tcPr>
            <w:tcW w:w="5160" w:type="dxa"/>
            <w:vAlign w:val="bottom"/>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w:t>
              </w:r>
              <w:r>
                <w:rPr>
                  <w:rFonts w:ascii="Arial" w:cs="Arial" w:eastAsia="Arial" w:hAnsi="Arial"/>
                  <w:sz w:val="14"/>
                  <w:szCs w:val="14"/>
                  <w:u w:val="single" w:color="auto"/>
                  <w:color w:val="0000EE"/>
                </w:rPr>
                <w:t>BOUT THIS</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ROSPECTUS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w:t>
              </w:r>
              <w:r>
                <w:rPr>
                  <w:rFonts w:ascii="Arial" w:cs="Arial" w:eastAsia="Arial" w:hAnsi="Arial"/>
                  <w:sz w:val="14"/>
                  <w:szCs w:val="14"/>
                  <w:u w:val="single" w:color="auto"/>
                  <w:color w:val="0000EE"/>
                </w:rPr>
                <w:t>HERE</w:t>
              </w:r>
              <w:r>
                <w:rPr>
                  <w:rFonts w:ascii="Arial" w:cs="Arial" w:eastAsia="Arial" w:hAnsi="Arial"/>
                  <w:sz w:val="18"/>
                  <w:szCs w:val="18"/>
                  <w:u w:val="single" w:color="auto"/>
                  <w:color w:val="0000EE"/>
                </w:rPr>
                <w:t xml:space="preserve"> Y</w:t>
              </w:r>
              <w:r>
                <w:rPr>
                  <w:rFonts w:ascii="Arial" w:cs="Arial" w:eastAsia="Arial" w:hAnsi="Arial"/>
                  <w:sz w:val="14"/>
                  <w:szCs w:val="14"/>
                  <w:u w:val="single" w:color="auto"/>
                  <w:color w:val="0000EE"/>
                </w:rPr>
                <w:t>OU</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AN</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IND</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ORE</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NFORMATION</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S-iii</w:t>
            </w:r>
          </w:p>
        </w:tc>
        <w:tc>
          <w:tcPr>
            <w:tcW w:w="5160" w:type="dxa"/>
            <w:vAlign w:val="bottom"/>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ORWARD</w:t>
              </w:r>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OOKING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TATEMENTS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ORWARD</w:t>
              </w:r>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OOKING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TATEMENTS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S-iv</w:t>
            </w:r>
          </w:p>
        </w:tc>
        <w:tc>
          <w:tcPr>
            <w:tcW w:w="5160" w:type="dxa"/>
            <w:vAlign w:val="bottom"/>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w:t>
              </w:r>
              <w:r>
                <w:rPr>
                  <w:rFonts w:ascii="Arial" w:cs="Arial" w:eastAsia="Arial" w:hAnsi="Arial"/>
                  <w:sz w:val="14"/>
                  <w:szCs w:val="14"/>
                  <w:u w:val="single" w:color="auto"/>
                  <w:color w:val="0000EE"/>
                </w:rPr>
                <w:t>ISERV</w:t>
              </w:r>
              <w:r>
                <w:rPr>
                  <w:rFonts w:ascii="Arial" w:cs="Arial" w:eastAsia="Arial" w:hAnsi="Arial"/>
                  <w:sz w:val="18"/>
                  <w:szCs w:val="18"/>
                  <w:u w:val="single" w:color="auto"/>
                  <w:color w:val="0000EE"/>
                </w:rPr>
                <w:t>, I</w:t>
              </w:r>
              <w:r>
                <w:rPr>
                  <w:rFonts w:ascii="Arial" w:cs="Arial" w:eastAsia="Arial" w:hAnsi="Arial"/>
                  <w:sz w:val="14"/>
                  <w:szCs w:val="14"/>
                  <w:u w:val="single" w:color="auto"/>
                  <w:color w:val="0000EE"/>
                </w:rPr>
                <w:t>NC</w:t>
              </w:r>
              <w:r>
                <w:rPr>
                  <w:rFonts w:ascii="Arial" w:cs="Arial" w:eastAsia="Arial" w:hAnsi="Arial"/>
                  <w:sz w:val="18"/>
                  <w:szCs w:val="18"/>
                  <w:u w:val="single" w:color="auto"/>
                  <w:color w:val="0000EE"/>
                </w:rPr>
                <w:t>.</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UMMARY</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S-1</w:t>
            </w:r>
          </w:p>
        </w:tc>
        <w:tc>
          <w:tcPr>
            <w:tcW w:w="5160" w:type="dxa"/>
            <w:vAlign w:val="bottom"/>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w:t>
              </w:r>
              <w:r>
                <w:rPr>
                  <w:rFonts w:ascii="Arial" w:cs="Arial" w:eastAsia="Arial" w:hAnsi="Arial"/>
                  <w:sz w:val="14"/>
                  <w:szCs w:val="14"/>
                  <w:u w:val="single" w:color="auto"/>
                  <w:color w:val="0000EE"/>
                </w:rPr>
                <w:t>ATIOS OF</w:t>
              </w:r>
              <w:r>
                <w:rPr>
                  <w:rFonts w:ascii="Arial" w:cs="Arial" w:eastAsia="Arial" w:hAnsi="Arial"/>
                  <w:sz w:val="18"/>
                  <w:szCs w:val="18"/>
                  <w:u w:val="single" w:color="auto"/>
                  <w:color w:val="0000EE"/>
                </w:rPr>
                <w:t xml:space="preserve"> E</w:t>
              </w:r>
              <w:r>
                <w:rPr>
                  <w:rFonts w:ascii="Arial" w:cs="Arial" w:eastAsia="Arial" w:hAnsi="Arial"/>
                  <w:sz w:val="14"/>
                  <w:szCs w:val="14"/>
                  <w:u w:val="single" w:color="auto"/>
                  <w:color w:val="0000EE"/>
                </w:rPr>
                <w:t>ARNINGS TO</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IXED</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HARGES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w:t>
              </w:r>
              <w:r>
                <w:rPr>
                  <w:rFonts w:ascii="Arial" w:cs="Arial" w:eastAsia="Arial" w:hAnsi="Arial"/>
                  <w:sz w:val="14"/>
                  <w:szCs w:val="14"/>
                  <w:u w:val="single" w:color="auto"/>
                  <w:color w:val="0000EE"/>
                </w:rPr>
                <w:t>ISK</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ACTORS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S-7</w:t>
            </w:r>
          </w:p>
        </w:tc>
        <w:tc>
          <w:tcPr>
            <w:tcW w:w="5160" w:type="dxa"/>
            <w:vAlign w:val="bottom"/>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SE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ROCEEDS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SE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ROCEEDS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S-8</w:t>
            </w:r>
          </w:p>
        </w:tc>
        <w:tc>
          <w:tcPr>
            <w:tcW w:w="516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EBT</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ECURITIES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ELLING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HAREHOLDER</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S-8</w:t>
            </w:r>
          </w:p>
        </w:tc>
        <w:tc>
          <w:tcPr>
            <w:tcW w:w="516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APITAL</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TOCK</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190"/>
        </w:trPr>
        <w:tc>
          <w:tcPr>
            <w:tcW w:w="4860" w:type="dxa"/>
            <w:vAlign w:val="bottom"/>
            <w:gridSpan w:val="4"/>
          </w:tcPr>
          <w:p>
            <w:pPr>
              <w:spacing w:after="0" w:line="190" w:lineRule="exact"/>
              <w:rPr>
                <w:rFonts w:ascii="Arial" w:cs="Arial" w:eastAsia="Arial" w:hAnsi="Arial"/>
                <w:sz w:val="18"/>
                <w:szCs w:val="18"/>
                <w:color w:val="0000EE"/>
              </w:rPr>
            </w:pPr>
            <w:hyperlink w:anchor="page15">
              <w:r>
                <w:rPr>
                  <w:rFonts w:ascii="Arial" w:cs="Arial" w:eastAsia="Arial" w:hAnsi="Arial"/>
                  <w:sz w:val="18"/>
                  <w:szCs w:val="18"/>
                  <w:color w:val="0000EE"/>
                </w:rPr>
                <w:t>M</w:t>
              </w:r>
              <w:r>
                <w:rPr>
                  <w:rFonts w:ascii="Arial" w:cs="Arial" w:eastAsia="Arial" w:hAnsi="Arial"/>
                  <w:sz w:val="14"/>
                  <w:szCs w:val="14"/>
                  <w:color w:val="0000EE"/>
                </w:rPr>
                <w:t>ATERIAL</w:t>
              </w:r>
              <w:r>
                <w:rPr>
                  <w:rFonts w:ascii="Arial" w:cs="Arial" w:eastAsia="Arial" w:hAnsi="Arial"/>
                  <w:sz w:val="18"/>
                  <w:szCs w:val="18"/>
                  <w:color w:val="0000EE"/>
                </w:rPr>
                <w:t xml:space="preserve"> U.S. F</w:t>
              </w:r>
              <w:r>
                <w:rPr>
                  <w:rFonts w:ascii="Arial" w:cs="Arial" w:eastAsia="Arial" w:hAnsi="Arial"/>
                  <w:sz w:val="14"/>
                  <w:szCs w:val="14"/>
                  <w:color w:val="0000EE"/>
                </w:rPr>
                <w:t>EDERAL</w:t>
              </w:r>
              <w:r>
                <w:rPr>
                  <w:rFonts w:ascii="Arial" w:cs="Arial" w:eastAsia="Arial" w:hAnsi="Arial"/>
                  <w:sz w:val="18"/>
                  <w:szCs w:val="18"/>
                  <w:color w:val="0000EE"/>
                </w:rPr>
                <w:t xml:space="preserve"> I</w:t>
              </w:r>
              <w:r>
                <w:rPr>
                  <w:rFonts w:ascii="Arial" w:cs="Arial" w:eastAsia="Arial" w:hAnsi="Arial"/>
                  <w:sz w:val="14"/>
                  <w:szCs w:val="14"/>
                  <w:color w:val="0000EE"/>
                </w:rPr>
                <w:t>NCOME</w:t>
              </w:r>
              <w:r>
                <w:rPr>
                  <w:rFonts w:ascii="Arial" w:cs="Arial" w:eastAsia="Arial" w:hAnsi="Arial"/>
                  <w:sz w:val="18"/>
                  <w:szCs w:val="18"/>
                  <w:color w:val="0000EE"/>
                </w:rPr>
                <w:t xml:space="preserve"> T</w:t>
              </w:r>
              <w:r>
                <w:rPr>
                  <w:rFonts w:ascii="Arial" w:cs="Arial" w:eastAsia="Arial" w:hAnsi="Arial"/>
                  <w:sz w:val="14"/>
                  <w:szCs w:val="14"/>
                  <w:color w:val="0000EE"/>
                </w:rPr>
                <w:t>AX</w:t>
              </w:r>
              <w:r>
                <w:rPr>
                  <w:rFonts w:ascii="Arial" w:cs="Arial" w:eastAsia="Arial" w:hAnsi="Arial"/>
                  <w:sz w:val="18"/>
                  <w:szCs w:val="18"/>
                  <w:color w:val="0000EE"/>
                </w:rPr>
                <w:t xml:space="preserve"> C</w:t>
              </w:r>
              <w:r>
                <w:rPr>
                  <w:rFonts w:ascii="Arial" w:cs="Arial" w:eastAsia="Arial" w:hAnsi="Arial"/>
                  <w:sz w:val="14"/>
                  <w:szCs w:val="14"/>
                  <w:color w:val="0000EE"/>
                </w:rPr>
                <w:t>ONSIDERATIONS TO</w:t>
              </w:r>
            </w:hyperlink>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60" w:type="dxa"/>
            <w:vAlign w:val="bottom"/>
          </w:tcPr>
          <w:p>
            <w:pPr>
              <w:ind w:left="200"/>
              <w:spacing w:after="0" w:line="190"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EPOSITARY</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HARES</w:t>
              </w:r>
            </w:hyperlink>
          </w:p>
        </w:tc>
        <w:tc>
          <w:tcPr>
            <w:tcW w:w="3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w:t>
              </w:r>
              <w:r>
                <w:rPr>
                  <w:rFonts w:ascii="Arial" w:cs="Arial" w:eastAsia="Arial" w:hAnsi="Arial"/>
                  <w:sz w:val="14"/>
                  <w:szCs w:val="14"/>
                  <w:color w:val="0000EE"/>
                </w:rPr>
                <w:t>ON</w:t>
              </w:r>
              <w:r>
                <w:rPr>
                  <w:rFonts w:ascii="Arial" w:cs="Arial" w:eastAsia="Arial" w:hAnsi="Arial"/>
                  <w:sz w:val="18"/>
                  <w:szCs w:val="18"/>
                  <w:color w:val="0000EE"/>
                </w:rPr>
                <w:t>-U.S. H</w:t>
              </w:r>
              <w:r>
                <w:rPr>
                  <w:rFonts w:ascii="Arial" w:cs="Arial" w:eastAsia="Arial" w:hAnsi="Arial"/>
                  <w:sz w:val="14"/>
                  <w:szCs w:val="14"/>
                  <w:color w:val="0000EE"/>
                </w:rPr>
                <w:t>OLDERS OF</w:t>
              </w:r>
              <w:r>
                <w:rPr>
                  <w:rFonts w:ascii="Arial" w:cs="Arial" w:eastAsia="Arial" w:hAnsi="Arial"/>
                  <w:sz w:val="18"/>
                  <w:szCs w:val="18"/>
                  <w:color w:val="0000EE"/>
                </w:rPr>
                <w:t xml:space="preserve"> C</w:t>
              </w:r>
              <w:r>
                <w:rPr>
                  <w:rFonts w:ascii="Arial" w:cs="Arial" w:eastAsia="Arial" w:hAnsi="Arial"/>
                  <w:sz w:val="14"/>
                  <w:szCs w:val="14"/>
                  <w:color w:val="0000EE"/>
                </w:rPr>
                <w:t>OMMON</w:t>
              </w:r>
              <w:r>
                <w:rPr>
                  <w:rFonts w:ascii="Arial" w:cs="Arial" w:eastAsia="Arial" w:hAnsi="Arial"/>
                  <w:sz w:val="18"/>
                  <w:szCs w:val="18"/>
                  <w:color w:val="0000EE"/>
                </w:rPr>
                <w:t xml:space="preserve"> S</w:t>
              </w:r>
              <w:r>
                <w:rPr>
                  <w:rFonts w:ascii="Arial" w:cs="Arial" w:eastAsia="Arial" w:hAnsi="Arial"/>
                  <w:sz w:val="14"/>
                  <w:szCs w:val="14"/>
                  <w:color w:val="0000EE"/>
                </w:rPr>
                <w:t>TOCK</w:t>
              </w:r>
            </w:hyperlink>
          </w:p>
        </w:tc>
        <w:tc>
          <w:tcPr>
            <w:tcW w:w="380" w:type="dxa"/>
            <w:vAlign w:val="bottom"/>
          </w:tcPr>
          <w:p>
            <w:pPr>
              <w:spacing w:after="0"/>
              <w:rPr>
                <w:sz w:val="17"/>
                <w:szCs w:val="17"/>
                <w:color w:val="auto"/>
              </w:rPr>
            </w:pP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S-9</w:t>
            </w:r>
          </w:p>
        </w:tc>
        <w:tc>
          <w:tcPr>
            <w:tcW w:w="5160" w:type="dxa"/>
            <w:vAlign w:val="bottom"/>
          </w:tcPr>
          <w:p>
            <w:pPr>
              <w:ind w:left="200"/>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W</w:t>
              </w:r>
              <w:r>
                <w:rPr>
                  <w:rFonts w:ascii="Arial" w:cs="Arial" w:eastAsia="Arial" w:hAnsi="Arial"/>
                  <w:sz w:val="14"/>
                  <w:szCs w:val="14"/>
                  <w:u w:val="single" w:color="auto"/>
                  <w:color w:val="0000EE"/>
                </w:rPr>
                <w:t>ARRANTS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86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w:t>
              </w:r>
              <w:r>
                <w:rPr>
                  <w:rFonts w:ascii="Arial" w:cs="Arial" w:eastAsia="Arial" w:hAnsi="Arial"/>
                  <w:sz w:val="14"/>
                  <w:szCs w:val="14"/>
                  <w:u w:val="single" w:color="auto"/>
                  <w:color w:val="0000EE"/>
                </w:rPr>
                <w:t>NDERWRITING</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ONFLICTS OF</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NTEREST</w:t>
              </w:r>
              <w:r>
                <w:rPr>
                  <w:rFonts w:ascii="Arial" w:cs="Arial" w:eastAsia="Arial" w:hAnsi="Arial"/>
                  <w:sz w:val="18"/>
                  <w:szCs w:val="18"/>
                  <w:u w:val="single" w:color="auto"/>
                  <w:color w:val="0000EE"/>
                </w:rPr>
                <w:t xml:space="preserve"> )</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S-12</w:t>
            </w:r>
          </w:p>
        </w:tc>
        <w:tc>
          <w:tcPr>
            <w:tcW w:w="5160" w:type="dxa"/>
            <w:vAlign w:val="bottom"/>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P</w:t>
              </w:r>
              <w:r>
                <w:rPr>
                  <w:rFonts w:ascii="Arial" w:cs="Arial" w:eastAsia="Arial" w:hAnsi="Arial"/>
                  <w:sz w:val="14"/>
                  <w:szCs w:val="14"/>
                  <w:u w:val="single" w:color="auto"/>
                  <w:color w:val="0000EE"/>
                </w:rPr>
                <w:t>URCHASE</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ONTRACTS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EGAL</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ATTERS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S-18</w:t>
            </w:r>
          </w:p>
        </w:tc>
        <w:tc>
          <w:tcPr>
            <w:tcW w:w="5160" w:type="dxa"/>
            <w:vAlign w:val="bottom"/>
          </w:tcPr>
          <w:p>
            <w:pPr>
              <w:ind w:left="2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w:t>
              </w:r>
              <w:r>
                <w:rPr>
                  <w:rFonts w:ascii="Arial" w:cs="Arial" w:eastAsia="Arial" w:hAnsi="Arial"/>
                  <w:sz w:val="14"/>
                  <w:szCs w:val="14"/>
                  <w:u w:val="single" w:color="auto"/>
                  <w:color w:val="0000EE"/>
                </w:rPr>
                <w:t>ESCRIPTION OF</w:t>
              </w:r>
              <w:r>
                <w:rPr>
                  <w:rFonts w:ascii="Arial" w:cs="Arial" w:eastAsia="Arial" w:hAnsi="Arial"/>
                  <w:sz w:val="18"/>
                  <w:szCs w:val="18"/>
                  <w:u w:val="single" w:color="auto"/>
                  <w:color w:val="0000EE"/>
                </w:rPr>
                <w:t xml:space="preserve"> U</w:t>
              </w:r>
              <w:r>
                <w:rPr>
                  <w:rFonts w:ascii="Arial" w:cs="Arial" w:eastAsia="Arial" w:hAnsi="Arial"/>
                  <w:sz w:val="14"/>
                  <w:szCs w:val="14"/>
                  <w:u w:val="single" w:color="auto"/>
                  <w:color w:val="0000EE"/>
                </w:rPr>
                <w:t>NITS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6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w:t>
              </w:r>
              <w:r>
                <w:rPr>
                  <w:rFonts w:ascii="Arial" w:cs="Arial" w:eastAsia="Arial" w:hAnsi="Arial"/>
                  <w:sz w:val="14"/>
                  <w:szCs w:val="14"/>
                  <w:u w:val="single" w:color="auto"/>
                  <w:color w:val="0000EE"/>
                </w:rPr>
                <w:t>XPERTS</w:t>
              </w:r>
            </w:hyperlink>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S-18</w:t>
            </w:r>
          </w:p>
        </w:tc>
        <w:tc>
          <w:tcPr>
            <w:tcW w:w="5160" w:type="dxa"/>
            <w:vAlign w:val="bottom"/>
          </w:tcPr>
          <w:p>
            <w:pPr>
              <w:ind w:left="2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w:t>
              </w:r>
              <w:r>
                <w:rPr>
                  <w:rFonts w:ascii="Arial" w:cs="Arial" w:eastAsia="Arial" w:hAnsi="Arial"/>
                  <w:sz w:val="14"/>
                  <w:szCs w:val="14"/>
                  <w:u w:val="single" w:color="auto"/>
                  <w:color w:val="0000EE"/>
                </w:rPr>
                <w:t>ELLING</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HAREHOLDERS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w:t>
              </w:r>
              <w:r>
                <w:rPr>
                  <w:rFonts w:ascii="Arial" w:cs="Arial" w:eastAsia="Arial" w:hAnsi="Arial"/>
                  <w:sz w:val="14"/>
                  <w:szCs w:val="14"/>
                  <w:u w:val="single" w:color="auto"/>
                  <w:color w:val="0000EE"/>
                </w:rPr>
                <w:t>LAN OF</w:t>
              </w:r>
              <w:r>
                <w:rPr>
                  <w:rFonts w:ascii="Arial" w:cs="Arial" w:eastAsia="Arial" w:hAnsi="Arial"/>
                  <w:sz w:val="18"/>
                  <w:szCs w:val="18"/>
                  <w:u w:val="single" w:color="auto"/>
                  <w:color w:val="0000EE"/>
                </w:rPr>
                <w:t xml:space="preserve"> D</w:t>
              </w:r>
              <w:r>
                <w:rPr>
                  <w:rFonts w:ascii="Arial" w:cs="Arial" w:eastAsia="Arial" w:hAnsi="Arial"/>
                  <w:sz w:val="14"/>
                  <w:szCs w:val="14"/>
                  <w:u w:val="single" w:color="auto"/>
                  <w:color w:val="0000EE"/>
                </w:rPr>
                <w:t>ISTRIBUTION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w:t>
              </w:r>
              <w:r>
                <w:rPr>
                  <w:rFonts w:ascii="Arial" w:cs="Arial" w:eastAsia="Arial" w:hAnsi="Arial"/>
                  <w:sz w:val="14"/>
                  <w:szCs w:val="14"/>
                  <w:u w:val="single" w:color="auto"/>
                  <w:color w:val="0000EE"/>
                </w:rPr>
                <w:t>HERE</w:t>
              </w:r>
              <w:r>
                <w:rPr>
                  <w:rFonts w:ascii="Arial" w:cs="Arial" w:eastAsia="Arial" w:hAnsi="Arial"/>
                  <w:sz w:val="18"/>
                  <w:szCs w:val="18"/>
                  <w:u w:val="single" w:color="auto"/>
                  <w:color w:val="0000EE"/>
                </w:rPr>
                <w:t xml:space="preserve"> Y</w:t>
              </w:r>
              <w:r>
                <w:rPr>
                  <w:rFonts w:ascii="Arial" w:cs="Arial" w:eastAsia="Arial" w:hAnsi="Arial"/>
                  <w:sz w:val="14"/>
                  <w:szCs w:val="14"/>
                  <w:u w:val="single" w:color="auto"/>
                  <w:color w:val="0000EE"/>
                </w:rPr>
                <w:t>OU</w:t>
              </w:r>
              <w:r>
                <w:rPr>
                  <w:rFonts w:ascii="Arial" w:cs="Arial" w:eastAsia="Arial" w:hAnsi="Arial"/>
                  <w:sz w:val="18"/>
                  <w:szCs w:val="18"/>
                  <w:u w:val="single" w:color="auto"/>
                  <w:color w:val="0000EE"/>
                </w:rPr>
                <w:t xml:space="preserve"> C</w:t>
              </w:r>
              <w:r>
                <w:rPr>
                  <w:rFonts w:ascii="Arial" w:cs="Arial" w:eastAsia="Arial" w:hAnsi="Arial"/>
                  <w:sz w:val="14"/>
                  <w:szCs w:val="14"/>
                  <w:u w:val="single" w:color="auto"/>
                  <w:color w:val="0000EE"/>
                </w:rPr>
                <w:t>AN</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IND</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ORE</w:t>
              </w:r>
              <w:r>
                <w:rPr>
                  <w:rFonts w:ascii="Arial" w:cs="Arial" w:eastAsia="Arial" w:hAnsi="Arial"/>
                  <w:sz w:val="18"/>
                  <w:szCs w:val="18"/>
                  <w:u w:val="single" w:color="auto"/>
                  <w:color w:val="0000EE"/>
                </w:rPr>
                <w:t xml:space="preserve"> I</w:t>
              </w:r>
              <w:r>
                <w:rPr>
                  <w:rFonts w:ascii="Arial" w:cs="Arial" w:eastAsia="Arial" w:hAnsi="Arial"/>
                  <w:sz w:val="14"/>
                  <w:szCs w:val="14"/>
                  <w:u w:val="single" w:color="auto"/>
                  <w:color w:val="0000EE"/>
                </w:rPr>
                <w:t>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w:t>
              </w:r>
              <w:r>
                <w:rPr>
                  <w:rFonts w:ascii="Arial" w:cs="Arial" w:eastAsia="Arial" w:hAnsi="Arial"/>
                  <w:sz w:val="14"/>
                  <w:szCs w:val="14"/>
                  <w:u w:val="single" w:color="auto"/>
                  <w:color w:val="0000EE"/>
                </w:rPr>
                <w:t>EGAL</w:t>
              </w:r>
              <w:r>
                <w:rPr>
                  <w:rFonts w:ascii="Arial" w:cs="Arial" w:eastAsia="Arial" w:hAnsi="Arial"/>
                  <w:sz w:val="18"/>
                  <w:szCs w:val="18"/>
                  <w:u w:val="single" w:color="auto"/>
                  <w:color w:val="0000EE"/>
                </w:rPr>
                <w:t xml:space="preserve"> M</w:t>
              </w:r>
              <w:r>
                <w:rPr>
                  <w:rFonts w:ascii="Arial" w:cs="Arial" w:eastAsia="Arial" w:hAnsi="Arial"/>
                  <w:sz w:val="14"/>
                  <w:szCs w:val="14"/>
                  <w:u w:val="single" w:color="auto"/>
                  <w:color w:val="0000EE"/>
                </w:rPr>
                <w:t>ATTERS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w:t>
              </w:r>
              <w:r>
                <w:rPr>
                  <w:rFonts w:ascii="Arial" w:cs="Arial" w:eastAsia="Arial" w:hAnsi="Arial"/>
                  <w:sz w:val="14"/>
                  <w:szCs w:val="14"/>
                  <w:u w:val="single" w:color="auto"/>
                  <w:color w:val="0000EE"/>
                </w:rPr>
                <w:t>XPERTS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This document has two parts. The first part is this prospectus supplement, which describes the specific terms of this offering. The second part is the accompanying prospectus, which provides more general information, some of which may not apply to this offering. You should read the entire prospectus supplement, as well as the accompanying prospectus and the documents incorporated by reference that are described under “Where You Can Find More Information” in this prospectus supplement and the accompanying prospectus. In the event that the description of the offering in this prospectus supplement is inconsistent with the accompanying prospectus, you should rely on the information contained in this prospectus supplement.</w:t>
      </w:r>
    </w:p>
    <w:p>
      <w:pPr>
        <w:spacing w:after="0" w:line="16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Fiserv, Inc., the selling shareholder, and the underwriters have not authorized any other person to provide you with different or additional information other than that contained or incorporated by reference in this prospectus supplement, the accompanying prospectus and any free writing prospectus that we have authorized for use in connection with this offering. The selling shareholder and the underwriters are not making an offer to sell these securities in any jurisdiction where the offer or sale is not permitted. You should not assume that the information contained in or incorporated by reference into this prospectus supplement, the accompanying prospectus and any free writing prospectus filed by us with the SEC is accurate as of any date other than its respective date. Our business, financial condition, liquidity, results of operations and prospects may have changed since those dates.</w:t>
      </w:r>
    </w:p>
    <w:p>
      <w:pPr>
        <w:spacing w:after="0" w:line="1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otherwise indicated or unless the context requires otherwise, references in this prospectus supplement to “we,” “our,” “us” and “Fiserv” refer to Fiserv, Inc., a Wisconsin corporation, and its consolidated subsidiaries.</w:t>
      </w:r>
    </w:p>
    <w:p>
      <w:pPr>
        <w:spacing w:after="0" w:line="166"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b w:val="1"/>
          <w:bCs w:val="1"/>
          <w:color w:val="auto"/>
        </w:rPr>
        <w:t xml:space="preserve">PRIIPs Regulation/Prohibition of sales to EEA and UK retail investors – </w:t>
      </w:r>
      <w:r>
        <w:rPr>
          <w:rFonts w:ascii="Arial" w:cs="Arial" w:eastAsia="Arial" w:hAnsi="Arial"/>
          <w:sz w:val="16"/>
          <w:szCs w:val="16"/>
          <w:color w:val="auto"/>
        </w:rPr>
        <w:t>The shares are not intended to be offered, sold or otherwise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shares or otherwise making them available to retail investors in the EEA or in the UK has been prepared and therefore offering or selling the shares or otherwise making them available to any retail investor in the EEA or in the UK may be unlawful under the PRIIPs Regulation.</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communication of this prospectus supplement, the accompanying prospectus, any related free writing prospectus and any other document or materials relating to the issue of the shares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persons outside the United Kingdom and those persons in the United Kingdom who have professional experience in matters relating to investments who fall within the definition of investment professionals (as defined in Article 19(5) of the Financial Services and Markets Act 2000 (Financial Promotion) Order 2005 (as amended, the “Financial Promotion Order”)), or who fall within Article 49(2)(a) to (d) of the Financial Promotion Order (all such persons together being referred to as “relevant persons”). In the United Kingdom, the shares offered hereby are only available to, and any investment or investment activity to which this prospectus supplement, the accompanying prospectus, any related free writing prospectus or any other document or materials relating to the issue of the shares offered hereby relates will be engaged in only with, relevant persons. Any person in the United Kingdom that is not a relevant person should not act or rely on this prospectus supplement, the accompanying prospectus, any related free writing prospectus or any other document or materials relating to the issue of the shares offered hereby or any of their contents.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file annual, quarterly and current reports, proxy statements and other information with the SEC. We have also filed with the SEC a registration statement on Form S-3, including exhibits, with respect to the shares offered by this prospectus supplement. This prospectus supplement and the accompanying prospectus are part of the registration statement, but do not contain all of the information included in the registration statement or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exhibits. Our filings with the SEC are available to the public through the SEC’s Internet site at http://www.sec.gov.</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 and the accompanying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we file with the SEC after the date of this prospectus supplement will automatically update and supersede information included or incorporated by reference in this prospectus supplement and the accompanying prospectus.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Securities Exchange Act of 1934, as amended (the “Exchange Act”) after the date of this prospectus supplement and before the end of the offering of the securities pursuant to this prospectus supplement:</w:t>
      </w:r>
    </w:p>
    <w:p>
      <w:pPr>
        <w:spacing w:after="0" w:line="8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20">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22">
        <w:r>
          <w:rPr>
            <w:rFonts w:ascii="Arial" w:cs="Arial" w:eastAsia="Arial" w:hAnsi="Arial"/>
            <w:sz w:val="18"/>
            <w:szCs w:val="18"/>
            <w:u w:val="single" w:color="auto"/>
            <w:color w:val="0000EE"/>
          </w:rPr>
          <w:t>June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w:t>
      </w:r>
      <w:hyperlink r:id="rId23">
        <w:r>
          <w:rPr>
            <w:rFonts w:ascii="Arial" w:cs="Arial" w:eastAsia="Arial" w:hAnsi="Arial"/>
            <w:sz w:val="18"/>
            <w:szCs w:val="18"/>
            <w:u w:val="single" w:color="auto"/>
            <w:color w:val="0000EE"/>
          </w:rPr>
          <w:t>Exhibits 23.1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99.1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July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w:t>
      </w:r>
      <w:hyperlink r:id="rId26">
        <w:r>
          <w:rPr>
            <w:rFonts w:ascii="Arial" w:cs="Arial" w:eastAsia="Arial" w:hAnsi="Arial"/>
            <w:sz w:val="18"/>
            <w:szCs w:val="18"/>
            <w:u w:val="single" w:color="auto"/>
            <w:color w:val="0000EE"/>
          </w:rPr>
          <w:t>Exhibits 23.2</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99.4</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8">
        <w:r>
          <w:rPr>
            <w:rFonts w:ascii="Arial" w:cs="Arial" w:eastAsia="Arial" w:hAnsi="Arial"/>
            <w:sz w:val="18"/>
            <w:szCs w:val="18"/>
            <w:u w:val="single" w:color="auto"/>
            <w:color w:val="0000EE"/>
          </w:rPr>
          <w:t xml:space="preserve">99.5 </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February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March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April 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April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May 13,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May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 xml:space="preserve">June 19,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August 5, 2020</w:t>
        </w:r>
      </w:hyperlink>
      <w:r>
        <w:rPr>
          <w:rFonts w:ascii="Arial" w:cs="Arial" w:eastAsia="Arial" w:hAnsi="Arial"/>
          <w:sz w:val="18"/>
          <w:szCs w:val="18"/>
          <w:color w:val="000000"/>
        </w:rPr>
        <w:t>;</w:t>
      </w:r>
    </w:p>
    <w:p>
      <w:pPr>
        <w:spacing w:after="0" w:line="89" w:lineRule="exact"/>
        <w:rPr>
          <w:rFonts w:ascii="Arial" w:cs="Arial" w:eastAsia="Arial" w:hAnsi="Arial"/>
          <w:sz w:val="18"/>
          <w:szCs w:val="18"/>
          <w:color w:val="0000EE"/>
        </w:rPr>
      </w:pPr>
    </w:p>
    <w:p>
      <w:pPr>
        <w:ind w:left="1080" w:right="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information in the Definitive Proxy Statement and the Supplement to Proxy Statement for our 2020 annual meeting filed with the SEC on </w:t>
      </w:r>
      <w:hyperlink r:id="rId37">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8">
        <w:r>
          <w:rPr>
            <w:rFonts w:ascii="Arial" w:cs="Arial" w:eastAsia="Arial" w:hAnsi="Arial"/>
            <w:sz w:val="18"/>
            <w:szCs w:val="18"/>
            <w:u w:val="single" w:color="auto"/>
            <w:color w:val="0000EE"/>
          </w:rPr>
          <w:t>May 8, 2020</w:t>
        </w:r>
      </w:hyperlink>
      <w:r>
        <w:rPr>
          <w:rFonts w:ascii="Arial" w:cs="Arial" w:eastAsia="Arial" w:hAnsi="Arial"/>
          <w:sz w:val="18"/>
          <w:szCs w:val="18"/>
          <w:color w:val="auto"/>
        </w:rPr>
        <w:t xml:space="preserve">, respectively, that are incorporated by reference into our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dated September 3, 1986, and any amendment or report updating that description.</w:t>
      </w:r>
    </w:p>
    <w:p>
      <w:pPr>
        <w:spacing w:after="0" w:line="170" w:lineRule="exact"/>
        <w:rPr>
          <w:rFonts w:ascii="Arial" w:cs="Arial" w:eastAsia="Arial" w:hAnsi="Arial"/>
          <w:sz w:val="18"/>
          <w:szCs w:val="18"/>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Notwithstanding the foregoing, documents or portions thereof containing information furnished under Items 2.02 and 7.01 of any Current Report on Form 8-K, including the related exhibits under Item 9.01, are not incorporated by reference into this prospectus supplement.</w:t>
      </w:r>
    </w:p>
    <w:p>
      <w:pPr>
        <w:spacing w:after="0" w:line="146"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any of these filings, at no cost, by request directed to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Fiserv,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255 Fiserv Drive</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Brookfield, WI 53045</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879-5000</w:t>
      </w:r>
    </w:p>
    <w:p>
      <w:pPr>
        <w:spacing w:after="0" w:line="9"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211" w:lineRule="exact"/>
        <w:rPr>
          <w:rFonts w:ascii="Arial" w:cs="Arial" w:eastAsia="Arial" w:hAnsi="Arial"/>
          <w:sz w:val="18"/>
          <w:szCs w:val="18"/>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can also find these filings on our website at www.fiserv.com. We are not incorporating the information on our website other than these filings into this prospectus supplement.</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into this prospectus supplement and the accompanying prospectus contain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included or incorporated by reference into this prospectus supplement and the accompanying prospectus involve significant risks and uncertainties, and a number of factors, both foreseen and unforeseen, could cause actual results to differ materially from our current expectations. The factors that may affect our results include, among others, the following, many of which are, and will be amplified by the COVID-19 pandemic: the duration and intensity of the COVID-19 pandemic; governmental and private sector responses to the COVID-19 pandemic and the impact of such responses on us; the impact of the COVID-19 pandemic on our employees, clients, vendors, operations and sales; the possibility that we may be unable to achieve expected synergies and operating efficiencies from the acquisition of First Data Corporation (“First Data”) within the expected time frames or at all or to successfully integrate the operations of First Data into our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that may increase our costs of borrowing; adverse impacts from currency exchange rates or currency controls; and other factors identified in our Annual Report on Form 10-K for the year ended December 31, 2019, our Quarterly Report on Form 10-Q for the three months ended June 30, 2020 and in other documents that we file with the Securities and Exchange Commission. You should consider these factors carefully in evaluating forward-looking statements and are cautioned not to place undue reliance on such statements, which speak only as of the date of this prospectus supplement or the date of the incorporated document. We undertake no obligation to update forward-looking statements to reflect events or circumstances occurring after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This summary highlights information contained or incorporated by reference into this prospectus supplement and the accompanying prospectus. This summary may not contain all of the information that may be important to you. You should read this entire prospectus supplement, including the “Risk Factors” section beginning on page S-7 of this prospectus supplement, the accompanying prospectus, the risk factors discussed in our most recent Annual Report on Form 10-K and our most recent Quarterly Report on Form 10-Q and the other information incorporated by reference carefully before making a decision to invest in our common stock.</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Fiserv</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are a leading global provider of payments and financial services technology solutions. We are publicly traded on the NASDAQ Global Select Market and part of the S&amp;P 500 Index. We serve clients around the globe, including banks, credit unions, other financial institutions and merchants. We aspire to move money and information in a way that moves the world by delivering superior value for our clients through leading technology, targeted innovation and excellence in everything we do. We achieve this through active portfolio management of our businesses, enhancing the overall value of our existing client relationships, improving operational effectiveness, being disciplined in our allocation of capital, and differentiating our products and services through innovation. Our long-term priorities are to (i) deliver integration value from the First Data acquisition; (ii) continue to build high-quality revenue while meeting our earnings goals; (iii) enhance client relationships with an emphasis on digital and payment solutions; and (iv) deliver innovation and integration which enables differentiated value for our clients.</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2019, we had approximately $10.2 billion in total revenue, $1.6 billion in operating income and $2.8 billion of net cash provided by operating activities from continuing operations. In the first half of 2020, we had $7.2 billion in total revenue, $794 million in operating income and $1.9 billion of net cash provided by operating activities from continuing operations.</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July 29, 2019, we acquired First Data (the “merger”), a global leader in commerce-enabling technology and solutions for merchants, financial institutions and card issuers. Effective in the first quarter of 2020, we realigned our reportable segments to correspond with changes to our operating model to reflect our new management structure and organizational responsibilities following the acquisition of First Data. Our new reportable segments are: Merchant Acceptance (“Acceptance”), Financial Technology (“Fintech”) and Payments and Network (“Payments”).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principal executive offices are located at 255 Fiserv Drive, Brookfield, WI 53045, and our telephone number is (262) 879-5000.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businesses in our Acceptance segment provide a wide range of products and services to merchants around the world, including point-of-sale (“POS”) merchant acquiring and e-commerce services, mobile payment services, security and fraud protection products, and our cloud-based Clover</w:t>
      </w:r>
      <w:r>
        <w:rPr>
          <w:rFonts w:ascii="Arial" w:cs="Arial" w:eastAsia="Arial" w:hAnsi="Arial"/>
          <w:sz w:val="13"/>
          <w:szCs w:val="13"/>
          <w:color w:val="auto"/>
        </w:rPr>
        <w:t>®</w:t>
      </w:r>
      <w:r>
        <w:rPr>
          <w:rFonts w:ascii="Arial" w:cs="Arial" w:eastAsia="Arial" w:hAnsi="Arial"/>
          <w:sz w:val="16"/>
          <w:szCs w:val="16"/>
          <w:color w:val="auto"/>
        </w:rPr>
        <w:t xml:space="preserve"> POS platform, which includes a marketplace for proprietary and third-party business applications. The products and services in the global Acceptance businesses are distributed through a variety of channels, including through direct sales teams, strategic partnerships with indirect non-bank sales forces, independent software vendors, and bank and non-bank partners in the form of joint venture alliances, revenue sharing alliances and referral agreements. Many merchants, financial institutions and distribution partners within the Acceptance segment are also customers of our other segments.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Fintech</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The businesses in our Fintech segment provide financial institutions around the world with the technology solutions they need to run their operations, including an institution’s general ledger and central information files and products and services that enable financial institutions to process customer deposit and loan accounts.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In addition, some of the businesses in the Fintech segment provide products or services to corporate clients to facilitate the management of financial processes and transactions. Many of the products and services offered in the Fintech segment are integrated with solutions from our other segments.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Corporate and Other supports the reporting segments above, and consists of amortization of acquisition-related intangible assets, unallocated corporate expenses and other activities that are not considered when management evaluates segment performance, such as gains on sales of businesses, costs associated with acquisition and divestiture activity, and our Output Solutions postage reimbursements. Corporate and Other also includes the historical results of our Investment Services business, of which we sold a 60% controlling interest in February 2020, as well as certain transition services revenue associated with various dispositions.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 Agreement and Registration Rights Agreement</w:t>
      </w:r>
    </w:p>
    <w:p>
      <w:pPr>
        <w:spacing w:after="0" w:line="121"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color w:val="auto"/>
        </w:rPr>
        <w:t>Simultaneously with the execution of the merger agreement relating to the First Data acquisition, we entered into a shareholder agreement (the “Shareholder Agreement”) and registration rights agreement (the “Registration Rights Agreement”) with New Omaha Holdings L.P. (“New Omaha”).</w:t>
      </w:r>
    </w:p>
    <w:p>
      <w:pPr>
        <w:spacing w:after="0" w:line="184" w:lineRule="exact"/>
        <w:rPr>
          <w:sz w:val="20"/>
          <w:szCs w:val="20"/>
          <w:color w:val="auto"/>
        </w:rPr>
      </w:pPr>
    </w:p>
    <w:p>
      <w:pPr>
        <w:jc w:val="both"/>
        <w:ind w:left="300" w:right="140" w:firstLine="426"/>
        <w:spacing w:after="0" w:line="301" w:lineRule="auto"/>
        <w:rPr>
          <w:sz w:val="20"/>
          <w:szCs w:val="20"/>
          <w:color w:val="auto"/>
        </w:rPr>
      </w:pPr>
      <w:r>
        <w:rPr>
          <w:rFonts w:ascii="Arial" w:cs="Arial" w:eastAsia="Arial" w:hAnsi="Arial"/>
          <w:sz w:val="16"/>
          <w:szCs w:val="16"/>
          <w:color w:val="auto"/>
        </w:rPr>
        <w:t>Pursuant to the Shareholder Agreement, New Omaha is permitted to transfer shares of common stock (A) in open market transactions under Rule 144 under the Securities Act of 1933, as amended (the “Securities Act”), (B) in privately negotiated transactions, or (C) via public offerings, and, with respect to each of (A), (B) and (C), subject to certain volume and other limitations. The Shareholder Agreement will terminate when the aggregate ownership percentage of shares of our common stock held by New Omaha and certain of its affiliates falls below 3%.</w:t>
      </w:r>
    </w:p>
    <w:p>
      <w:pPr>
        <w:spacing w:after="0" w:line="15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Pursuant to the Registration Rights Agreement, New Omaha is entitled to certain shelf registration rights, demand registration rights and piggyback registration rights with respect to shares of common stock it acquired in the merger, in each case, subject to certain limitations. The Registration Rights Agreement will terminate when the aggregate ownership percentage of the issued and outstanding shares of our common stock held by New Omaha and its affiliate transferees falls below 2% and such shares may be freely sold without restriction or limitation pursuant to Rule 144.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Recent Market Conditions</w:t>
      </w:r>
    </w:p>
    <w:p>
      <w:pPr>
        <w:spacing w:after="0" w:line="229"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In December 2019, a novel strain of coronavirus (“COVID-19”) was identified and has since continued to spread and negatively impact the economy of the United States and other countries around the world. In March 2020, the World Health Organization recognized the COVID-19 outbreak as a pandemic. 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Accordingly, the COVID-19 pandemic has adversely impacted global economic activity and has contributed to significant volatility in financial markets during 2020.</w:t>
      </w:r>
    </w:p>
    <w:p>
      <w:pPr>
        <w:spacing w:after="0" w:line="178"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Our operating performance is subject to global economic and market conditions, as well as their impacts on levels of consumer spending. As a result of the COVID-19 pandemic and the related decline in global economic activity, we experienced a significant decrease in payments volume and transactions during the last two weeks of March and throughout the second quarter that negatively impacted our merchant acquiring and payment-related businesses, which earn transaction-based fees, as well as modest declines in other businesses. Merchant acquiring and payment volumes began to recover in May 2020 and continued to improve throughout June and July 2020 as economic activity renewed. While such recent business trends demonstrated positive momentum, the uncertainty caused by the ongoing COVID-19 pandemic creates an economic environment where our future financial results remain difficult to anticipate.</w:t>
      </w:r>
    </w:p>
    <w:p>
      <w:pPr>
        <w:spacing w:after="0" w:line="177"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In response to the COVID-19 pandemic, we have taken several actions since the onset of the pandemic to protect the health, safety and well-being of our employees while maintaining business continuity. These actions include, among others, requiring a majority of our employees to work remotely, limiting or suspending non-essential travel, suspending all non-essential visitors to our facilities, disinfecting facilities and workspaces extensively and frequently, providing personal protective equipment to associates and requiring employees who must be present at our facilities to adhere to a variety of safety protocols. In addition, we have expanded paid time-off for employees impacted by COVID-19, provided supplemental pay for certain employees involved in critical infrastructure who could not work remotely, and expanded our Fiserv Cares program to benefit employees in need around the world. We expect to continue such safety measures for the foreseeable future and may take further actions, or adapt these existing policies, as government authorities may require or recommend or as we may determine to be in the best interest of our employees, clients and vendors.</w:t>
      </w:r>
    </w:p>
    <w:p>
      <w:pPr>
        <w:spacing w:after="0" w:line="181" w:lineRule="exact"/>
        <w:rPr>
          <w:sz w:val="20"/>
          <w:szCs w:val="20"/>
          <w:color w:val="auto"/>
        </w:rPr>
      </w:pPr>
    </w:p>
    <w:p>
      <w:pPr>
        <w:ind w:left="300" w:right="60" w:firstLine="426"/>
        <w:spacing w:after="0" w:line="290" w:lineRule="auto"/>
        <w:rPr>
          <w:sz w:val="20"/>
          <w:szCs w:val="20"/>
          <w:color w:val="auto"/>
        </w:rPr>
      </w:pPr>
      <w:r>
        <w:rPr>
          <w:rFonts w:ascii="Arial" w:cs="Arial" w:eastAsia="Arial" w:hAnsi="Arial"/>
          <w:sz w:val="16"/>
          <w:szCs w:val="16"/>
          <w:color w:val="auto"/>
        </w:rPr>
        <w:t>We have also taken several actions to manage discretionary costs including, among others, limiting third-party spending and the temporary suspension of certain employee-related benefits, including company matching contributions to the Fiserv 401(k) Savings Plan as well as the discount on shares purchased under the Fiserv, Inc. Amended and Restated Employee Stock Purchase Plan. In addition, we are reassessing and deferring certain capital expenditures that were originally planned for 2020. We will continue to monitor and assess developments related to COVID-19 and implement appropriate actions to minimize the risk to our operations of any material adverse developments. Ultimately, the extent of the impact of the COVID-19 pandemic on our future operational and financial performance will depend on, among other matters, the duration and intensity of the COVID-19 pandemic; governmental and private sector responses to the pandemic and the impact of such responses on us; and the impact of the pandemic on our employees, clients, vendors, operations and sales, all of which are uncertain and cannot be predicted.</w:t>
      </w:r>
    </w:p>
    <w:p>
      <w:pPr>
        <w:spacing w:after="0" w:line="165"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See “Risk Factors” beginning on page S-7 of this prospectus supplement and the risk factors incorporated by reference into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8"/>
          <w:szCs w:val="18"/>
          <w:i w:val="1"/>
          <w:iCs w:val="1"/>
          <w:color w:val="auto"/>
        </w:rPr>
        <w:t>This summary of the offering highlights some of the information contained in this prospectus supplement. The summary may not contain all of the information that is important to you. You should carefully read the information contained and incorporated by reference in this prospectus supplement in order to understand the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Selling Shareholder</w:t>
            </w:r>
          </w:p>
        </w:tc>
        <w:tc>
          <w:tcPr>
            <w:tcW w:w="6980" w:type="dxa"/>
            <w:vAlign w:val="bottom"/>
          </w:tcPr>
          <w:p>
            <w:pPr>
              <w:ind w:left="180"/>
              <w:spacing w:after="0"/>
              <w:rPr>
                <w:sz w:val="20"/>
                <w:szCs w:val="20"/>
                <w:color w:val="auto"/>
              </w:rPr>
            </w:pPr>
            <w:r>
              <w:rPr>
                <w:rFonts w:ascii="Arial" w:cs="Arial" w:eastAsia="Arial" w:hAnsi="Arial"/>
                <w:sz w:val="18"/>
                <w:szCs w:val="18"/>
                <w:color w:val="auto"/>
              </w:rPr>
              <w:t>New Omaha Holdings L.P.</w:t>
            </w:r>
          </w:p>
        </w:tc>
      </w:tr>
      <w:tr>
        <w:trPr>
          <w:trHeight w:val="473"/>
        </w:trPr>
        <w:tc>
          <w:tcPr>
            <w:tcW w:w="4040" w:type="dxa"/>
            <w:vAlign w:val="bottom"/>
          </w:tcPr>
          <w:p>
            <w:pPr>
              <w:ind w:left="180"/>
              <w:spacing w:after="0"/>
              <w:rPr>
                <w:sz w:val="20"/>
                <w:szCs w:val="20"/>
                <w:color w:val="auto"/>
              </w:rPr>
            </w:pPr>
            <w:r>
              <w:rPr>
                <w:rFonts w:ascii="Arial" w:cs="Arial" w:eastAsia="Arial" w:hAnsi="Arial"/>
                <w:sz w:val="18"/>
                <w:szCs w:val="18"/>
                <w:color w:val="auto"/>
                <w:w w:val="94"/>
              </w:rPr>
              <w:t>Common Stock Offered by the Selling Shareholder</w:t>
            </w:r>
          </w:p>
        </w:tc>
        <w:tc>
          <w:tcPr>
            <w:tcW w:w="6980" w:type="dxa"/>
            <w:vAlign w:val="bottom"/>
          </w:tcPr>
          <w:p>
            <w:pPr>
              <w:ind w:left="180"/>
              <w:spacing w:after="0"/>
              <w:rPr>
                <w:sz w:val="20"/>
                <w:szCs w:val="20"/>
                <w:color w:val="auto"/>
              </w:rPr>
            </w:pPr>
            <w:r>
              <w:rPr>
                <w:rFonts w:ascii="Arial" w:cs="Arial" w:eastAsia="Arial" w:hAnsi="Arial"/>
                <w:sz w:val="18"/>
                <w:szCs w:val="18"/>
                <w:color w:val="auto"/>
              </w:rPr>
              <w:t>5,000,000 shares of Fiserv common stock, par value $0.01 per share.</w:t>
            </w:r>
          </w:p>
        </w:tc>
      </w:tr>
      <w:tr>
        <w:trPr>
          <w:trHeight w:val="473"/>
        </w:trPr>
        <w:tc>
          <w:tcPr>
            <w:tcW w:w="404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6980" w:type="dxa"/>
            <w:vAlign w:val="bottom"/>
          </w:tcPr>
          <w:p>
            <w:pPr>
              <w:ind w:left="180"/>
              <w:spacing w:after="0"/>
              <w:rPr>
                <w:sz w:val="20"/>
                <w:szCs w:val="20"/>
                <w:color w:val="auto"/>
              </w:rPr>
            </w:pPr>
            <w:r>
              <w:rPr>
                <w:rFonts w:ascii="Arial" w:cs="Arial" w:eastAsia="Arial" w:hAnsi="Arial"/>
                <w:sz w:val="18"/>
                <w:szCs w:val="18"/>
                <w:color w:val="auto"/>
              </w:rPr>
              <w:t>669,649,953 shares as of July 31, 2020</w:t>
            </w:r>
          </w:p>
        </w:tc>
      </w:tr>
      <w:tr>
        <w:trPr>
          <w:trHeight w:val="458"/>
        </w:trPr>
        <w:tc>
          <w:tcPr>
            <w:tcW w:w="4040" w:type="dxa"/>
            <w:vAlign w:val="bottom"/>
          </w:tcPr>
          <w:p>
            <w:pPr>
              <w:ind w:left="180"/>
              <w:spacing w:after="0"/>
              <w:rPr>
                <w:sz w:val="20"/>
                <w:szCs w:val="20"/>
                <w:color w:val="auto"/>
              </w:rPr>
            </w:pPr>
            <w:r>
              <w:rPr>
                <w:rFonts w:ascii="Arial" w:cs="Arial" w:eastAsia="Arial" w:hAnsi="Arial"/>
                <w:sz w:val="18"/>
                <w:szCs w:val="18"/>
                <w:color w:val="auto"/>
              </w:rPr>
              <w:t>Listing</w:t>
            </w:r>
          </w:p>
        </w:tc>
        <w:tc>
          <w:tcPr>
            <w:tcW w:w="6980" w:type="dxa"/>
            <w:vAlign w:val="bottom"/>
          </w:tcPr>
          <w:p>
            <w:pPr>
              <w:ind w:left="180"/>
              <w:spacing w:after="0"/>
              <w:rPr>
                <w:sz w:val="20"/>
                <w:szCs w:val="20"/>
                <w:color w:val="auto"/>
              </w:rPr>
            </w:pPr>
            <w:r>
              <w:rPr>
                <w:rFonts w:ascii="Arial" w:cs="Arial" w:eastAsia="Arial" w:hAnsi="Arial"/>
                <w:sz w:val="18"/>
                <w:szCs w:val="18"/>
                <w:color w:val="auto"/>
                <w:w w:val="96"/>
              </w:rPr>
              <w:t>Our common stock is listed on the Nasdaq Global Select Market under the ticker symbol</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“FISV.”</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980" w:type="dxa"/>
            <w:vAlign w:val="bottom"/>
          </w:tcPr>
          <w:p>
            <w:pPr>
              <w:ind w:left="180"/>
              <w:spacing w:after="0"/>
              <w:rPr>
                <w:sz w:val="20"/>
                <w:szCs w:val="20"/>
                <w:color w:val="auto"/>
              </w:rPr>
            </w:pPr>
            <w:r>
              <w:rPr>
                <w:rFonts w:ascii="Arial" w:cs="Arial" w:eastAsia="Arial" w:hAnsi="Arial"/>
                <w:sz w:val="18"/>
                <w:szCs w:val="18"/>
                <w:color w:val="auto"/>
              </w:rPr>
              <w:t>We will not receive any proceeds as a result of the sale of the shares by the selling</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shareholder.</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Lock-Up Agreements</w:t>
            </w:r>
          </w:p>
        </w:tc>
        <w:tc>
          <w:tcPr>
            <w:tcW w:w="6980" w:type="dxa"/>
            <w:vAlign w:val="bottom"/>
          </w:tcPr>
          <w:p>
            <w:pPr>
              <w:ind w:left="180"/>
              <w:spacing w:after="0"/>
              <w:rPr>
                <w:sz w:val="20"/>
                <w:szCs w:val="20"/>
                <w:color w:val="auto"/>
              </w:rPr>
            </w:pPr>
            <w:r>
              <w:rPr>
                <w:rFonts w:ascii="Arial" w:cs="Arial" w:eastAsia="Arial" w:hAnsi="Arial"/>
                <w:sz w:val="18"/>
                <w:szCs w:val="18"/>
                <w:color w:val="auto"/>
                <w:w w:val="96"/>
              </w:rPr>
              <w:t>In connection with this offering, we and the selling shareholder will agree that, subject to</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3"/>
              </w:rPr>
              <w:t>certain exceptions, the disposition of, or hedging with respect to, the shares of our common</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stock or securities convertible into or exchangeable for shares of our common stock, by us</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and the selling shareholder, will be restricted during the period ending 30 days after the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date of this prospectus supplement, except with the prior written consent of the</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underwriters. See “Underwriting” for a description of these lock-up agreements.</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6980" w:type="dxa"/>
            <w:vAlign w:val="bottom"/>
          </w:tcPr>
          <w:p>
            <w:pPr>
              <w:ind w:left="180"/>
              <w:spacing w:after="0"/>
              <w:rPr>
                <w:sz w:val="20"/>
                <w:szCs w:val="20"/>
                <w:color w:val="auto"/>
              </w:rPr>
            </w:pPr>
            <w:r>
              <w:rPr>
                <w:rFonts w:ascii="Arial" w:cs="Arial" w:eastAsia="Arial" w:hAnsi="Arial"/>
                <w:sz w:val="18"/>
                <w:szCs w:val="18"/>
                <w:color w:val="auto"/>
              </w:rPr>
              <w:t>Subject to the prior rights of the holders of any shares of our preferred stock that are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5"/>
              </w:rPr>
              <w:t>outstanding, our board of directors may at its discretion declare and pay dividends on our</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common stock out of our earnings or assets legally available for the payment of dividends.</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980" w:type="dxa"/>
            <w:vAlign w:val="bottom"/>
          </w:tcPr>
          <w:p>
            <w:pPr>
              <w:ind w:left="180"/>
              <w:spacing w:after="0"/>
              <w:rPr>
                <w:sz w:val="20"/>
                <w:szCs w:val="20"/>
                <w:color w:val="auto"/>
              </w:rPr>
            </w:pPr>
            <w:r>
              <w:rPr>
                <w:rFonts w:ascii="Arial" w:cs="Arial" w:eastAsia="Arial" w:hAnsi="Arial"/>
                <w:sz w:val="18"/>
                <w:szCs w:val="18"/>
                <w:color w:val="auto"/>
              </w:rPr>
              <w:t>Investment in our common stock involves risks. You should carefully consider the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information set forth in the section of this prospectus supplement entitled “Risk Factors” on</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8"/>
              </w:rPr>
              <w:t>page S-7, as well as other information included in or incorporated by reference into this</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8"/>
              </w:rPr>
              <w:t>prospectus supplement and the accompanying prospectus, before deciding whether to</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invest in our common stock.</w:t>
            </w:r>
          </w:p>
        </w:tc>
      </w:tr>
      <w:tr>
        <w:trPr>
          <w:trHeight w:val="445"/>
        </w:trPr>
        <w:tc>
          <w:tcPr>
            <w:tcW w:w="4040" w:type="dxa"/>
            <w:vAlign w:val="bottom"/>
          </w:tcPr>
          <w:p>
            <w:pPr>
              <w:ind w:left="180"/>
              <w:spacing w:after="0"/>
              <w:rPr>
                <w:sz w:val="20"/>
                <w:szCs w:val="20"/>
                <w:color w:val="auto"/>
              </w:rPr>
            </w:pPr>
            <w:r>
              <w:rPr>
                <w:rFonts w:ascii="Arial" w:cs="Arial" w:eastAsia="Arial" w:hAnsi="Arial"/>
                <w:sz w:val="18"/>
                <w:szCs w:val="18"/>
                <w:color w:val="auto"/>
              </w:rPr>
              <w:t>Conflicts of Interest</w:t>
            </w:r>
          </w:p>
        </w:tc>
        <w:tc>
          <w:tcPr>
            <w:tcW w:w="6980" w:type="dxa"/>
            <w:vAlign w:val="bottom"/>
          </w:tcPr>
          <w:p>
            <w:pPr>
              <w:ind w:left="180"/>
              <w:spacing w:after="0"/>
              <w:rPr>
                <w:sz w:val="20"/>
                <w:szCs w:val="20"/>
                <w:color w:val="auto"/>
              </w:rPr>
            </w:pPr>
            <w:r>
              <w:rPr>
                <w:rFonts w:ascii="Arial" w:cs="Arial" w:eastAsia="Arial" w:hAnsi="Arial"/>
                <w:sz w:val="18"/>
                <w:szCs w:val="18"/>
                <w:color w:val="auto"/>
              </w:rPr>
              <w:t>Affiliates of Kohlberg Kravis Roberts &amp; Co. L.P., or KKR, beneficially own (through</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3"/>
              </w:rPr>
              <w:t>investment in New Omaha) in excess of 10% of our issued and outstanding common stock.</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7"/>
              </w:rPr>
              <w:t>Because KKR Capital Markets LLC, an affiliate of KKR, is an underwriter in this offering</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w w:val="95"/>
              </w:rPr>
              <w:t>and its affiliates beneficially own in excess of 10% of our issued and outstanding common</w:t>
            </w:r>
          </w:p>
        </w:tc>
      </w:tr>
      <w:tr>
        <w:trPr>
          <w:trHeight w:val="230"/>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stock,</w:t>
            </w:r>
          </w:p>
        </w:tc>
      </w:tr>
      <w:tr>
        <w:trPr>
          <w:trHeight w:val="240"/>
        </w:trPr>
        <w:tc>
          <w:tcPr>
            <w:tcW w:w="404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06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6998970" cy="2506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71" w:lineRule="auto"/>
        <w:rPr>
          <w:sz w:val="20"/>
          <w:szCs w:val="20"/>
          <w:color w:val="auto"/>
        </w:rPr>
      </w:pPr>
      <w:r>
        <w:rPr>
          <w:rFonts w:ascii="Arial" w:cs="Arial" w:eastAsia="Arial" w:hAnsi="Arial"/>
          <w:sz w:val="17"/>
          <w:szCs w:val="17"/>
          <w:color w:val="auto"/>
        </w:rPr>
        <w:t>KKR Capital Markets LLC is deemed to have a “conflict of interest” under FINRA Rule 5121, or Rule 5121, of the Financial Industry Regulatory Authority, Inc., or FINRA. In addition, affiliates of KKR Capital Markets LLC hold limited partnership interests in New Omaha Holdings L.P., the selling shareholder in this offering, and therefore KKR Capital Markets LLC would also be deemed to have a “conflict of interest” under Rule 5121 because such affiliates of KKR Capital Markets LLC are receiving in the aggregate more than 5% of the net offering proceeds from this offering. Because of these relationships, the offering will be conducted in accordance with Rule 5121.</w:t>
      </w:r>
    </w:p>
    <w:p>
      <w:pPr>
        <w:spacing w:after="0" w:line="192" w:lineRule="exact"/>
        <w:rPr>
          <w:sz w:val="20"/>
          <w:szCs w:val="20"/>
          <w:color w:val="auto"/>
        </w:rPr>
      </w:pPr>
    </w:p>
    <w:p>
      <w:pPr>
        <w:ind w:left="4340"/>
        <w:spacing w:after="0" w:line="296" w:lineRule="auto"/>
        <w:rPr>
          <w:sz w:val="20"/>
          <w:szCs w:val="20"/>
          <w:color w:val="auto"/>
        </w:rPr>
      </w:pPr>
      <w:r>
        <w:rPr>
          <w:rFonts w:ascii="Arial" w:cs="Arial" w:eastAsia="Arial" w:hAnsi="Arial"/>
          <w:sz w:val="16"/>
          <w:szCs w:val="16"/>
          <w:color w:val="auto"/>
        </w:rPr>
        <w:t>Pursuant to that rule, the appointment of a “qualified independent underwriter” is not required in connection with this offering because a bona fide public market exists in the shares, as that term is defined in the rule. To comply with Rule 5121, KKR Capital Markets LLC will not confirm sales of the securities to any account over which it exercises discretionary authority without the specific written approval of the account holder.</w:t>
      </w:r>
    </w:p>
    <w:p>
      <w:pPr>
        <w:spacing w:after="0" w:line="18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See “Underwriting (Conflicts of Interest).”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Fiserv Consolidated Financial Information</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 xml:space="preserve">The summary consolidated financial information below was derived from our consolidated financial statements. The information set forth below is qualified in its entirety by, and should be read in conjunction with, our “Management’s Discussion and Analysis of Financial Condition and Results of Operations” and our consolidated financial statements and related notes incorporated by reference into this prospectus supplement and the accompanying prospectus. The financial results presented below have been affected by the First Data and other acquisitions, dispositions, transactional gains recorded by our unconsolidated affiliates, debt financing activities, foreign currency fluctuations, and by the Tax Cuts and Jobs Act enacted in December 2017. In addition, effective January 1, 2018, we adopted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its related amendments using the modified retrospective transition approach applied to all contracts. Under this transition approach, prior period amounts have not been restated.</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25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Total revenue</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$ 7,234</w:t>
            </w:r>
          </w:p>
        </w:tc>
        <w:tc>
          <w:tcPr>
            <w:tcW w:w="760" w:type="dxa"/>
            <w:vAlign w:val="bottom"/>
          </w:tcPr>
          <w:p>
            <w:pPr>
              <w:jc w:val="right"/>
              <w:spacing w:after="0"/>
              <w:rPr>
                <w:sz w:val="20"/>
                <w:szCs w:val="20"/>
                <w:color w:val="auto"/>
              </w:rPr>
            </w:pPr>
            <w:r>
              <w:rPr>
                <w:rFonts w:ascii="Arial" w:cs="Arial" w:eastAsia="Arial" w:hAnsi="Arial"/>
                <w:sz w:val="18"/>
                <w:szCs w:val="18"/>
                <w:color w:val="auto"/>
              </w:rPr>
              <w:t>$ 3,014</w:t>
            </w:r>
          </w:p>
        </w:tc>
        <w:tc>
          <w:tcPr>
            <w:tcW w:w="160" w:type="dxa"/>
            <w:vAlign w:val="bottom"/>
          </w:tcPr>
          <w:p>
            <w:pPr>
              <w:spacing w:after="0"/>
              <w:rPr>
                <w:sz w:val="18"/>
                <w:szCs w:val="18"/>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$10,187</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$ 5,823</w:t>
            </w:r>
          </w:p>
        </w:tc>
        <w:tc>
          <w:tcPr>
            <w:tcW w:w="760" w:type="dxa"/>
            <w:vAlign w:val="bottom"/>
          </w:tcPr>
          <w:p>
            <w:pPr>
              <w:jc w:val="right"/>
              <w:spacing w:after="0"/>
              <w:rPr>
                <w:sz w:val="20"/>
                <w:szCs w:val="20"/>
                <w:color w:val="auto"/>
              </w:rPr>
            </w:pPr>
            <w:r>
              <w:rPr>
                <w:rFonts w:ascii="Arial" w:cs="Arial" w:eastAsia="Arial" w:hAnsi="Arial"/>
                <w:sz w:val="18"/>
                <w:szCs w:val="18"/>
                <w:color w:val="auto"/>
              </w:rPr>
              <w:t>$ 5,696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794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9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386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914</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1,187</w:t>
            </w:r>
          </w:p>
        </w:tc>
        <w:tc>
          <w:tcPr>
            <w:tcW w:w="760" w:type="dxa"/>
            <w:vAlign w:val="bottom"/>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Fiserv, Inc.</w:t>
            </w:r>
          </w:p>
        </w:tc>
        <w:tc>
          <w:tcPr>
            <w:tcW w:w="1780" w:type="dxa"/>
            <w:vAlign w:val="bottom"/>
            <w:gridSpan w:val="2"/>
          </w:tcPr>
          <w:p>
            <w:pPr>
              <w:jc w:val="right"/>
              <w:ind w:right="104"/>
              <w:spacing w:after="0"/>
              <w:rPr>
                <w:sz w:val="20"/>
                <w:szCs w:val="20"/>
                <w:color w:val="auto"/>
              </w:rPr>
            </w:pPr>
            <w:r>
              <w:rPr>
                <w:rFonts w:ascii="Arial" w:cs="Arial" w:eastAsia="Arial" w:hAnsi="Arial"/>
                <w:sz w:val="18"/>
                <w:szCs w:val="18"/>
                <w:color w:val="auto"/>
              </w:rPr>
              <w:t>394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893</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1,187</w:t>
            </w:r>
          </w:p>
        </w:tc>
        <w:tc>
          <w:tcPr>
            <w:tcW w:w="76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360" w:hanging="422"/>
        <w:spacing w:after="0" w:line="286"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7"/>
          <w:szCs w:val="17"/>
          <w:color w:val="auto"/>
        </w:rPr>
        <w:t>The unaudited interim period financial information for the six months ended June 30, 2020 and 2019, in our opinion, includes all adjustments, which are normal and recurring in nature, necessary for a fair presentation for the periods shown. Results for the six months ended June 30, 2020 are not necessarily indicative of results to be expected for the full fiscal year.</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As of June 30,</w:t>
            </w:r>
          </w:p>
        </w:tc>
        <w:tc>
          <w:tcPr>
            <w:tcW w:w="360" w:type="dxa"/>
            <w:vAlign w:val="bottom"/>
          </w:tcPr>
          <w:p>
            <w:pPr>
              <w:spacing w:after="0"/>
              <w:rPr>
                <w:sz w:val="14"/>
                <w:szCs w:val="14"/>
                <w:color w:val="auto"/>
              </w:rPr>
            </w:pPr>
          </w:p>
        </w:tc>
        <w:tc>
          <w:tcPr>
            <w:tcW w:w="1940" w:type="dxa"/>
            <w:vAlign w:val="bottom"/>
            <w:gridSpan w:val="3"/>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jc w:val="right"/>
              <w:ind w:right="576"/>
              <w:spacing w:after="0" w:line="142" w:lineRule="exact"/>
              <w:rPr>
                <w:sz w:val="20"/>
                <w:szCs w:val="20"/>
                <w:color w:val="auto"/>
              </w:rPr>
            </w:pPr>
            <w:r>
              <w:rPr>
                <w:rFonts w:ascii="Arial" w:cs="Arial" w:eastAsia="Arial" w:hAnsi="Arial"/>
                <w:sz w:val="14"/>
                <w:szCs w:val="14"/>
                <w:b w:val="1"/>
                <w:bCs w:val="1"/>
                <w:color w:val="auto"/>
                <w:w w:val="98"/>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893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   415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77,093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77,539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debt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21,874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21,899</w:t>
            </w:r>
          </w:p>
        </w:tc>
        <w:tc>
          <w:tcPr>
            <w:tcW w:w="1260" w:type="dxa"/>
            <w:vAlign w:val="bottom"/>
          </w:tcPr>
          <w:p>
            <w:pPr>
              <w:jc w:val="right"/>
              <w:spacing w:after="0"/>
              <w:rPr>
                <w:sz w:val="20"/>
                <w:szCs w:val="20"/>
                <w:color w:val="auto"/>
              </w:rPr>
            </w:pPr>
            <w:r>
              <w:rPr>
                <w:rFonts w:ascii="Arial" w:cs="Arial" w:eastAsia="Arial" w:hAnsi="Arial"/>
                <w:sz w:val="18"/>
                <w:szCs w:val="18"/>
                <w:color w:val="auto"/>
              </w:rPr>
              <w:t>5,959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Fiserv, Inc. shareholders’ equity</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440" w:hanging="422"/>
        <w:spacing w:after="0" w:line="263" w:lineRule="auto"/>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unaudited interim period financial information as of June 30, 2020, in our opinion, includes all adjustments, which are normal and recurring in nature, necessary for a fair presentation for the period shown. Amounts as of June 30, 2020 are not necessarily indicative of amounts to be expected at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Investing in our common stock involves risks. Before investing, you should carefully consider the factors set forth below and the information included elsewhere in this prospectus supplement, the accompanying prospectus and the risk factors discussed in our most recent Annual Report on Form 10-K and our most recent Quarterly Report on Form 10-Q and the other documents we file with the SEC that are incorporated by reference herein and therein. See “Where You Can Find More Information” in this prospectus supplement and the accompanying prospectus. We also urge you to consider carefully the factors set forth under the heading “Forward-Looking Statements” in this prospectus supplement.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Fiserv’s Business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See “Risk Factors” in our Annual Report on Form 10-K for the year ended December 31, 2019 and our Quarterly Report on Form 10-Q for the fiscal quarter ended June 30, 2020, for a discussion of certain risks related to Fiserv’s business, including with respect to the COVID-19 pandemic. See “Where You Can Find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Future Sales Shares of Common Stock by New Omaha</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New Omaha may sell a substantial amount of our common stock and these sales or expectations of these sales could cause the market price of our common stock to fall.</w:t>
      </w:r>
    </w:p>
    <w:p>
      <w:pPr>
        <w:spacing w:after="0" w:line="6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After completion of this offering, New Omaha will own approximately 15.7% of our outstanding shares of common stock as of July 31, 2020. New Omaha is subject to a number of transfer restrictions described under the section entitled “Summary—Shareholder Agreement and Registration Rights Agreement” in this prospectus supplement. As the three-month anniversary of the effective time of the merger has passed as of the date of this prospectus supplement, New Omaha may sell its shares subject to certain limitations contained in the Shareholder Agreement. Under the Registration Rights Agreement, we have granted New Omaha registration rights, which permit, among others, underwritten offerings such as this offering. The Registration Rights Agreement will terminate when the aggregate ownership percentage of the issued and outstanding shares of our common stock held by New Omaha and its affiliate transferees falls below 2% and such shares may be freely sold without restrictions. The market price of our common stock could drop significantly if New Omaha sells its remaining shares or is perceived by the market as intending to sell such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will not receive any proceeds as a result of the sale of the shares by the selling shareholder described in this prospectus supplement and the accompanying prospectus.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jc w:val="both"/>
        <w:ind w:left="120" w:right="700" w:firstLine="440"/>
        <w:spacing w:after="0" w:line="342" w:lineRule="auto"/>
        <w:rPr>
          <w:sz w:val="20"/>
          <w:szCs w:val="20"/>
          <w:color w:val="auto"/>
        </w:rPr>
      </w:pPr>
      <w:r>
        <w:rPr>
          <w:rFonts w:ascii="Arial" w:cs="Arial" w:eastAsia="Arial" w:hAnsi="Arial"/>
          <w:sz w:val="16"/>
          <w:szCs w:val="16"/>
          <w:color w:val="auto"/>
        </w:rPr>
        <w:t>In connection with the First Data acquisition, we issued 110,425,667 shares of our common stock to New Omaha. New Omaha is selling 5,000,000 shares of our common stock in this offering pursuant to the terms of the Shareholder Agreement and Registration Rights Agreement.</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forth (i) the number of shares of and percentage of our common stock that New Omaha beneficially owned before this offering, (ii) the number of shares of our common stock to be sold in this offering by New Omaha and (iii) the number of shares of and percentage of our common stock that will be beneficially owned by New Omaha after this offering. The number of shares of our common stock outstanding as of July 31, 2020 was 669,649,953 shares. The information contained in the table below in respect of New Omaha has been obtained from New Omaha and has not been independently verified by us.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6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1"/>
              </w:rPr>
              <w:t>Shares Beneficially Owned</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 to be</w:t>
            </w:r>
          </w:p>
        </w:tc>
        <w:tc>
          <w:tcPr>
            <w:tcW w:w="2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Sold in the</w:t>
            </w:r>
          </w:p>
        </w:tc>
        <w:tc>
          <w:tcPr>
            <w:tcW w:w="20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Owned After the</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6"/>
              </w:rPr>
              <w:t>Prior to the Offering</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Offering</w:t>
            </w:r>
          </w:p>
        </w:tc>
        <w:tc>
          <w:tcPr>
            <w:tcW w:w="1220" w:type="dxa"/>
            <w:vAlign w:val="bottom"/>
            <w:gridSpan w:val="2"/>
          </w:tcPr>
          <w:p>
            <w:pPr>
              <w:jc w:val="center"/>
              <w:ind w:left="544"/>
              <w:spacing w:after="0"/>
              <w:rPr>
                <w:sz w:val="20"/>
                <w:szCs w:val="20"/>
                <w:color w:val="auto"/>
              </w:rPr>
            </w:pPr>
            <w:r>
              <w:rPr>
                <w:rFonts w:ascii="Arial" w:cs="Arial" w:eastAsia="Arial" w:hAnsi="Arial"/>
                <w:sz w:val="14"/>
                <w:szCs w:val="14"/>
                <w:b w:val="1"/>
                <w:bCs w:val="1"/>
                <w:color w:val="auto"/>
                <w:w w:val="95"/>
              </w:rPr>
              <w:t>Offering</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w:t>
            </w:r>
            <w:r>
              <w:rPr>
                <w:rFonts w:ascii="Arial" w:cs="Arial" w:eastAsia="Arial" w:hAnsi="Arial"/>
                <w:sz w:val="12"/>
                <w:szCs w:val="12"/>
                <w:b w:val="1"/>
                <w:bCs w:val="1"/>
                <w:color w:val="auto"/>
                <w:w w:val="87"/>
              </w:rPr>
              <w:t>(1)</w:t>
            </w:r>
          </w:p>
        </w:tc>
        <w:tc>
          <w:tcPr>
            <w:tcW w:w="4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2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w:t>
            </w:r>
            <w:r>
              <w:rPr>
                <w:rFonts w:ascii="Arial" w:cs="Arial" w:eastAsia="Arial" w:hAnsi="Arial"/>
                <w:sz w:val="12"/>
                <w:szCs w:val="12"/>
                <w:b w:val="1"/>
                <w:bCs w:val="1"/>
                <w:color w:val="auto"/>
                <w:w w:val="87"/>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Selling Shareholder:</w:t>
            </w: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New Omaha Holdings L.P.</w:t>
            </w:r>
            <w:r>
              <w:rPr>
                <w:rFonts w:ascii="Arial" w:cs="Arial" w:eastAsia="Arial" w:hAnsi="Arial"/>
                <w:sz w:val="15"/>
                <w:szCs w:val="15"/>
                <w:color w:val="auto"/>
              </w:rPr>
              <w:t>(2)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110,425,667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5,000,000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105,425,667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77"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8"/>
          <w:szCs w:val="18"/>
          <w:color w:val="auto"/>
        </w:rPr>
        <w:t>For purposes of this table, information as to the percentage of shares beneficially owned is calculated based on 669,649,953 shares of our common stock outstanding as of July 31, 2020.</w:t>
      </w:r>
    </w:p>
    <w:p>
      <w:pPr>
        <w:spacing w:after="0" w:line="75" w:lineRule="exact"/>
        <w:rPr>
          <w:rFonts w:ascii="Arial" w:cs="Arial" w:eastAsia="Arial" w:hAnsi="Arial"/>
          <w:sz w:val="15"/>
          <w:szCs w:val="15"/>
          <w:color w:val="auto"/>
        </w:rPr>
      </w:pPr>
    </w:p>
    <w:p>
      <w:pPr>
        <w:ind w:left="540" w:right="40" w:hanging="424"/>
        <w:spacing w:after="0" w:line="270"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7"/>
          <w:szCs w:val="17"/>
          <w:color w:val="auto"/>
        </w:rPr>
        <w:t>Each of New Omaha Holdings LLC (as the sole general partner of New Omaha Holdings L.P.); KKR 2006 Fund L.P. (as the sole member of New Omaha Holdings LLC); KKR Associates 2006 L.P. (as the general partner of KKR 2006 Fund L.P.); KKR 2006 GP LLC (as the general partner of KKR Associates 2006 L.P.); KKR Group Partnership L.P. (as the designated member of KKR 2006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be deemed to be the beneficial owner of any securities beneficially owned by New Omaha Holdings L.P. The principal business address for all such persons other than Mr. Roberts is c/o Kohlberg Kravis Roberts &amp; Co. L.P., 9 West 57th Street, Suite 4200, New York, NY 10019. The principal business address for Mr. Roberts is c/o Kohlberg Kravis Roberts &amp; Co. L.P., 2800 Sand Hill Road, Suite 200, Menlo Park, CA 94025.</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NON-U.S. HOLDERS OF COMMON STOCK</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summarizes certain United States federal income and estate tax consequences of the ownership and disposition of our common stock by a non-U.S. holder. You are a non-U.S. holder if you are, for United States federal income tax purposes: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or trust that in either case is not subject to United States federal income tax on a net income basis on income or gain from our common stock.</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This section does not consider the specific facts and circumstances that may be relevant to a particular non-U.S. holder and does not address the treatment of a non-U.S. holder under the laws of any state, local or foreign taxing jurisdiction. This section is based on the tax laws of the United States, including the Internal Revenue Code of 1986, as amended (the “Code”), existing and proposed regulations, and administrative and judicial interpretations, all as currently in effect. These authorities are subject to change, possibly on a retroactive basis.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common stock, the United States federal income tax treatment of a partner will generally depend on the status of the partner and the tax treatment of the partnership. A partner in a partnership holding the common stock should consult its tax advisor with regard to the United States federal income tax treatment of an investment in the common stock.</w:t>
      </w:r>
    </w:p>
    <w:p>
      <w:pPr>
        <w:spacing w:after="0" w:line="227" w:lineRule="exact"/>
        <w:rPr>
          <w:sz w:val="20"/>
          <w:szCs w:val="20"/>
          <w:color w:val="auto"/>
        </w:rPr>
      </w:pPr>
    </w:p>
    <w:p>
      <w:pPr>
        <w:ind w:left="280" w:right="200"/>
        <w:spacing w:after="0" w:line="342" w:lineRule="auto"/>
        <w:rPr>
          <w:sz w:val="20"/>
          <w:szCs w:val="20"/>
          <w:color w:val="auto"/>
        </w:rPr>
      </w:pPr>
      <w:r>
        <w:rPr>
          <w:rFonts w:ascii="Arial" w:cs="Arial" w:eastAsia="Arial" w:hAnsi="Arial"/>
          <w:sz w:val="16"/>
          <w:szCs w:val="16"/>
          <w:i w:val="1"/>
          <w:iCs w:val="1"/>
          <w:color w:val="auto"/>
        </w:rPr>
        <w:t>You should consult a tax advisor regarding the United States federal tax consequences of acquiring, holding and disposing of common stock in your particular circumstances, as well as any tax consequences that may arise under the laws of any state, local or foreign taxing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700341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make a distribution of cash or other property (other than certain distributions of our stock) in respect of our common stock, the distribution generally will be treated as a dividend to the extent of our current or accumulated earnings and profits, as determined under United States federal income tax principles. Any portion of a distribution that exceeds our current and accumulated earnings and profits will generally be treated first as a tax-free return of capital, on a share-by-share basis, to the extent of your tax basis in our common stock (and will reduce your basis in such common stock, but not below zero), and, to the extent such portion exceeds your tax basis in our common stock, the excess will be treated as gain from the taxable disposition of the common stock, the tax treatment of which is discussed below under “Gain on Disposition of Common Stock”.</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Except as described below, if you are a non-U.S. holder of common stock,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another payor:</w:t>
      </w:r>
    </w:p>
    <w:p>
      <w:pPr>
        <w:spacing w:after="0" w:line="92" w:lineRule="exact"/>
        <w:rPr>
          <w:sz w:val="20"/>
          <w:szCs w:val="20"/>
          <w:color w:val="auto"/>
        </w:rPr>
      </w:pPr>
    </w:p>
    <w:p>
      <w:pPr>
        <w:ind w:left="1080" w:right="26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valid Internal Revenue Service (“IRS”) Form W-8 or an acceptable substitute form upon which you certify, under penalties of perjury, your status as a non-United States person and your entitlement to the lower treaty rate with respect to such payments, or</w:t>
      </w:r>
    </w:p>
    <w:p>
      <w:pPr>
        <w:spacing w:after="0" w:line="51" w:lineRule="exact"/>
        <w:rPr>
          <w:rFonts w:ascii="Arial" w:cs="Arial" w:eastAsia="Arial" w:hAnsi="Arial"/>
          <w:sz w:val="17"/>
          <w:szCs w:val="17"/>
          <w:color w:val="auto"/>
        </w:rPr>
      </w:pPr>
    </w:p>
    <w:p>
      <w:pPr>
        <w:jc w:val="both"/>
        <w:ind w:left="1080" w:right="3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U.S. Treasury regulations.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you are eligible for a reduced rate of United States withholding tax under a tax treaty, you may obtain a refund of any amounts withheld in excess of that rate by filing a refund claim with the United States IRS.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IRS Form W-8ECI or an acceptable substitute form upon which you certify, under penalties of perjury, that:</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a non-United States person,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“Effectively connected” dividends are taxed at rates applicable to United States citizens, resident aliens and domestic United States corporations.</w:t>
      </w:r>
    </w:p>
    <w:p>
      <w:pPr>
        <w:spacing w:after="0" w:line="24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you are a non-U.S. holder, you generally will not be subject to United States federal income tax on gain that you recognize on a sale or other disposition of our common stock unless:</w:t>
      </w:r>
    </w:p>
    <w:p>
      <w:pPr>
        <w:spacing w:after="0" w:line="76" w:lineRule="exact"/>
        <w:rPr>
          <w:sz w:val="20"/>
          <w:szCs w:val="20"/>
          <w:color w:val="auto"/>
        </w:rPr>
      </w:pPr>
    </w:p>
    <w:p>
      <w:pPr>
        <w:jc w:val="both"/>
        <w:ind w:left="1080" w:right="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an individual, you hold the common stock as a capital asset, you are present in the United States for 183 or more days in the taxable year of the disposition and certain other conditions exist, or</w:t>
      </w:r>
    </w:p>
    <w:p>
      <w:pPr>
        <w:spacing w:after="0" w:line="75"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described below), at any time within the five-year period preceding the disposition or your holding period, whichever period is shorter, you are not eligible for a treaty exemption, and either (i) our common stock is not regularly traded on an established securities market during the calendar year in which the sale or other disposition occurs or (ii) you owned or are deemed to have owned, at any time within the five-year period preceding the disposition or your holding period, whichever period is shorter, more than 5% of our common stock.</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you are a non-U.S. holder and the gain from the taxable disposition of shares of our common stock is effectively connected with your conduct of a trade or business in the United States (and, if required by a tax treaty, the gain is attributable to a permanent establishment that you maintain in the United States), you will be subject to tax on the net gain derived from the disposition at rates applicable to United States citizens, resident aliens and domestic United States corporations. 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disposition, which may be offset by United States source capital losses, even though you are not considered a resident of the United States.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will be a United States real property holding corporation at any time that the fair market value of our “United States real property interests,” as defined in the Code and applicable Treasury regulations, equals or exceeds 50% of the aggregate fair market value of our worldwide real property interests and our other assets used or held for use in a trade or business (all as determined for the United States federal income tax purposes). We believe that we are not, and do not anticipate becoming in the foreseeable future, a United States real property holding corporation.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our common stock could be affected by this withholding if you are subject to the FATCA information reporting requirements and fail to comply with them or if you hold common stock through a non-U.S. person (e.g., a foreign bank or broker) that fails to comply with these requirements (even if payments to you would not otherwise have been subject to FATCA withholding). Foreign financial institutions located in jurisdictions that have an intergovernmental agreement with the United States with respect to FATCA may be subject to different rules. You should consult your own tax advisors regarding the relevant U.S. law and other official guidance on FATCA withholding.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Common stock held by a non-U.S. holder at the time of death will be included in the non-U.S. holder’s gross estate for United States federal estate tax purposes, unless an applicable estate tax treaty provides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If you are a non-U.S. holder, we and other payors are required to report payments of dividends on IRS Form 1042-S even if the payments are exempt from withholding. You are otherwise generally exempt from backup withholding and information reporting requirements with respect to dividend payments and the payment of the proceeds from the sale of common stock effected at a United States office of a broker provided that either</w:t>
      </w:r>
    </w:p>
    <w:p>
      <w:pPr>
        <w:spacing w:after="0" w:line="2" w:lineRule="exact"/>
        <w:rPr>
          <w:sz w:val="20"/>
          <w:szCs w:val="20"/>
          <w:color w:val="auto"/>
        </w:rPr>
      </w:pPr>
    </w:p>
    <w:p>
      <w:pPr>
        <w:ind w:left="120" w:right="60" w:hanging="4"/>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9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Payment of the proceeds from the sale of common stock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Amounts withheld under the backup withholding rules are not additional taxes and may be refunded or credited against your United States federal income tax liability, provided the required information is timely furnished to the 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Under the terms and subject to the conditions contained in an underwriting agreement, dated August 18, 2020, the selling shareholder has agreed to sell to the underwriters the number of shares of common stock listed next to their respective names in the following table:</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9660" w:type="dxa"/>
            <w:vAlign w:val="bottom"/>
            <w:vMerge w:val="restart"/>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9660" w:type="dxa"/>
            <w:vAlign w:val="bottom"/>
            <w:vMerge w:val="continue"/>
          </w:tcPr>
          <w:p>
            <w:pPr>
              <w:spacing w:after="0"/>
              <w:rPr>
                <w:sz w:val="15"/>
                <w:szCs w:val="15"/>
                <w:color w:val="auto"/>
              </w:rPr>
            </w:pPr>
          </w:p>
        </w:tc>
        <w:tc>
          <w:tcPr>
            <w:tcW w:w="100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KKR Capital Markets LLC</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AmeriVet Securities, Inc.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Bancroft Capital LLC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Blaylock Van, LLC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Cabrera Capital Markets LLC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Guzman &amp; Company</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R. Seelaus &amp; Co., LLC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 &amp; Ryan Investments, Inc.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Telsey Advisory Group LLC</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Tigress Financial Partners LLC</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9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shares of common stock in the offering if any are purchased.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propose initially to offer the shares of common stock directly to the public at the public offering price set forth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shareholder.</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0"/>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shareholder, before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490,000,000</w:t>
            </w:r>
          </w:p>
        </w:tc>
      </w:tr>
    </w:tbl>
    <w:p>
      <w:pPr>
        <w:spacing w:after="0" w:line="20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shares sold by the underwriters to securities dealers may be sold at a discount of up to $1.20 per share from the public offering price. After the initial offering of the shares, the underwriters may change the offering price and other selling terms. The offering of the shares by the underwriters is subject to receipt and acceptance and subject to the underwriters’ right to reject any order in whole or in part.</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estimate that our out of pocket expenses (excluding the underwriting discounts) for this offering will be approximately $350,000 and will be payable by us. We and the selling shareholder have agreed to indemnify the underwriters against certain liabilities under the Securities Act or contribute to payments which the underwriters may be required to make in respect of those liabilities.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Stock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listed on the Nasdaq Global Select Market under the ticker symbol “FISV.”</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it is required to purchase in the offering. Stabilizing transactions consist of various bids for or purchases of common stock made by the underwriters in the open market prior to the completion of the offering.</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and the selling shareholder will agree, for 30 days after the date of this prospectus supplement, without first obtaining the written consent of the underwriters, not to directly or indirectly, subject to certain exceptions:</w:t>
      </w:r>
    </w:p>
    <w:p>
      <w:pPr>
        <w:spacing w:after="0" w:line="76" w:lineRule="exact"/>
        <w:rPr>
          <w:sz w:val="20"/>
          <w:szCs w:val="20"/>
          <w:color w:val="auto"/>
        </w:rPr>
      </w:pPr>
    </w:p>
    <w:p>
      <w:pPr>
        <w:ind w:left="1080" w:right="1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common stock or any securities convertible into, or exercisable or exchangeable for our common stock;</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common stock or any securities convertible into, or exercisable or exchangeable for our common stock;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120" w:right="140" w:firstLine="440"/>
        <w:spacing w:after="0" w:line="275"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underwriters and their respective affiliates may make or hold a broad array of investments and actively trade debt and equity securities (or related derivative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securities) and financial instruments (including bank loans)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Affiliates of Kohlberg Kravis Roberts &amp; Co. L.P., or KKR, beneficially own (through investment in New Omaha) in excess of 10% of our issued and outstanding common stock. Because KKR Capital Markets LLC, an affiliate of KKR, is an underwriter in this offering and its affiliates beneficially own in excess of 10% of our issued and outstanding common stock, KKR Capital Markets LLC is deemed to have a “conflict of interest” under FINRA Rule 5121, or Rule 5121, of the Financial Industry Regulatory Authority, Inc., or FINRA. In addition, affiliates of KKR Capital Markets LLC hold limited partnership interests in New Omaha Holdings L.P., the selling shareholder in this offering, and therefore KKR Capital Markets LLC would also be deemed to have a “conflict of interest” under Rule 5121 because such affiliates of KKR Capital Markets LLC are receiving in the aggregate more than 5% of the net offering proceeds from this offering. Because of these relationships, the offering will be conducted in accordance with Rule 5121. Pursuant to that rule, the appointment of a “qualified independent underwriter” is not required in connection with this offering because a bona fide public market exists in the shares, as that term is defined in the rule. To comply with Rule 5121, KKR Capital Markets LLC will not confirm sales of the securities to any account over which it exercises discretionary authority without the specific written approval of the account holder.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are being offered for sale in the United States and in jurisdictions outside the United States, subject to applicable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Canadian Investors</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Prohibition of Sales to EEA and UK Retail Investors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shares to any retail investor in the EEA or in the UK. For the purposes of this provision:</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MiFID II; or</w:t>
      </w:r>
    </w:p>
    <w:p>
      <w:pPr>
        <w:spacing w:after="0" w:line="130" w:lineRule="exact"/>
        <w:rPr>
          <w:rFonts w:ascii="Arial" w:cs="Arial" w:eastAsia="Arial" w:hAnsi="Arial"/>
          <w:sz w:val="18"/>
          <w:szCs w:val="18"/>
          <w:color w:val="auto"/>
        </w:rPr>
      </w:pPr>
    </w:p>
    <w:p>
      <w:pPr>
        <w:ind w:left="1540" w:right="440" w:hanging="439"/>
        <w:spacing w:after="0" w:line="277"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customer within the meaning of the Insurance Distribution Directive, where that customer would not qualify as a professional client as defined in point (10) of Article 4(1) of MiFID II;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a qualified investor as defined in the Prospectus Regulation; and</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shares to be offered so as to enable an investor to decide to purchase or subscribe for the shares.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Consequently no key information document required by the PRIIPs Regulation for offering or selling the shares or otherwise making them available to retail investors in the EEA or in the UK has been prepared and therefore offering or selling the shares or otherwise making them available to any retail investor in the EEA or in the UK may be unlawful under the PRIIPs Regulation.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United Kingdom Investors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540" w:right="80" w:hanging="424"/>
        <w:spacing w:after="0" w:line="31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Fiserv and the selling shareholder named in this prospectus supplement; and</w:t>
      </w:r>
    </w:p>
    <w:p>
      <w:pPr>
        <w:spacing w:after="0" w:line="54" w:lineRule="exact"/>
        <w:rPr>
          <w:rFonts w:ascii="Arial" w:cs="Arial" w:eastAsia="Arial" w:hAnsi="Arial"/>
          <w:sz w:val="16"/>
          <w:szCs w:val="16"/>
          <w:color w:val="auto"/>
        </w:rPr>
      </w:pPr>
    </w:p>
    <w:p>
      <w:pPr>
        <w:ind w:left="540" w:right="2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Hong Kong Investors</w:t>
      </w:r>
    </w:p>
    <w:p>
      <w:pPr>
        <w:spacing w:after="0" w:line="11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Each underwriter (i) has not offered or sold and will not offer or sell in Hong Kong, by means of any document, any shares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shares,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SFO and any rules made under that Ordinance.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Japan Investors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Singapore Investors</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shares or caused such shares to be made the subject of an invitation for subscription or purchase and will not offer or sell such shares or cause such shares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shares,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120" w:right="80" w:firstLine="436"/>
        <w:spacing w:after="0" w:line="277" w:lineRule="auto"/>
        <w:tabs>
          <w:tab w:leader="none" w:pos="8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160" w:firstLine="436"/>
        <w:spacing w:after="0" w:line="259"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7" w:lineRule="exact"/>
        <w:rPr>
          <w:sz w:val="20"/>
          <w:szCs w:val="20"/>
          <w:color w:val="auto"/>
        </w:rPr>
      </w:pPr>
    </w:p>
    <w:p>
      <w:pPr>
        <w:ind w:left="120" w:right="320" w:firstLine="43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Fiserv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Switzerland Investors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shares described herein. The shares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shares constitutes a prospectus as such term is understood pursuant to article 652a or article 1156 of the Swiss Code of Obligations, and neither this document nor any other offering or marketing material relating to the shares may be publicly distributed or otherwise made publicly available in Switzerland.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Neither this document nor any other offering or marketing material relating to the offering, Fiserv or the shares has been or will be filed with or approved by any Swiss regulatory authority. The shares are not subject to the supervision of any Swiss regulatory authority, e.g., the Swiss Financial Markets Supervisory Authority FINMA, and investors in the shares will not benefit from protection or supervision by such authority</w:t>
      </w:r>
      <w:r>
        <w:rPr>
          <w:rFonts w:ascii="Arial" w:cs="Arial" w:eastAsia="Arial" w:hAnsi="Arial"/>
          <w:sz w:val="16"/>
          <w:szCs w:val="16"/>
          <w:i w:val="1"/>
          <w:iCs w:val="1"/>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Taiwan Investors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shares in Taiwan.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Certain legal matters in connection with the securities to be offered by this prospectus supplement will be passed upon for us by Sullivan &amp; Cromwell LLP, New York, New York and with respect to matters of Wisconsin law, by Lynn S. McCreary, our Chief Legal Officer. As of the date hereof, Ms. McCreary beneficially owned shares of Fiserv common stock representing less than 1% of the total outstanding shares of Fiserv common stock. Certain legal matters will be passed upon for the underwriters by Davis Polk &amp; Wardwell LLP, New York, New York.</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Fiserv</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consolidated financial statements of Fiserv, Inc. incorporated into this prospectus supplement by reference from Fiserv, Inc.’s Annual Report on Form 10-K for the year ended December 31, 2019, and the effectiveness of Fiserv, Inc.’s internal control over financial reporting, have been audited by Deloitte &amp; Touche LLP, an independent registered public accounting firm, as stated in their reports, which are incorporated by reference herein (which reports (1) express an unqualified opinion on the financial statements and include explanatory paragraphs regarding the company’s adoption of new accounting standards and (2) express an unqualified opinion on the effectiveness of internal control over financial reporting). Such consolidated financial statements have been so incorporated in reliance upon the reports of such firm given upon their authority as experts in accounting and auditing.</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Data</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consolidated financial statements and schedule of First Data Corporation as of December 31, 2018 and 2017, and for each of the three years in the period ended December 31, 2018, included in Fiserv, Inc.’s Current Report on Form 8-K, filed June 10, 2019 and incorporated by reference into this prospectus supplement and the accompanying prospectus, have been audited by Ernst &amp; Young LLP, an independent registered public accounting firm, as set forth in their report thereon, included therein, and incorporated by reference herein. Such consolidated financial statements and schedule have been incorporated by reference herein in reliance on such report given on the authority of such firm as experts in accounting and auditing.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634365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171450</wp:posOffset>
            </wp:positionV>
            <wp:extent cx="6172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 Common Stock, Preferred Stock, Depositary Shares,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offer and sell from time to time securities in one or more offerings in amounts, at prices and on terms that we will determine at the time of the offering. This prospectus provides you with a general description of the securities we may offer.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offer and sell the following securities: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debt securities, which may be convertible into our common stock or other securities or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preferred stock, which may be convertible into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depositary shares or debt securities;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contracts for the purchase or sale of our debt securities or equity securities or securities of third parties including any of our affiliates, a basket of such securities, an index or indices of such securities or any combination of the above;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units consisting of one or more debt securities or other securities.</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time securities are sold using this prospectus, we will provide a supplement to this prospectus containing specific information about the offering and the terms of the securities being sold, including the offering price. The supplement may also add, update or change information contained in this prospectus. You should read this prospectus and any prospectus supplement applicable to the specific issue of securities carefully before you invest.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offer and sell these securities to or through underwriters, dealers or agents, or directly to investors, on a continued or a delayed basis.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applicable prospectus supplement to this prospectus will provide the specific terms of the plan of distribution.</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selling shareholders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shareholders.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traded on the NASDAQ Global Select Market under the symbol “FISV.”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140" w:firstLine="440"/>
        <w:spacing w:after="0" w:line="300" w:lineRule="auto"/>
        <w:rPr>
          <w:sz w:val="20"/>
          <w:szCs w:val="20"/>
          <w:color w:val="auto"/>
        </w:rPr>
      </w:pPr>
      <w:r>
        <w:rPr>
          <w:rFonts w:ascii="Arial" w:cs="Arial" w:eastAsia="Arial" w:hAnsi="Arial"/>
          <w:sz w:val="19"/>
          <w:szCs w:val="19"/>
          <w:b w:val="1"/>
          <w:bCs w:val="1"/>
          <w:color w:val="auto"/>
        </w:rPr>
        <w:t>Investment in our securities involves risks. See “Risk Factors” in our most recent Annual Report on Form 10-K and subsequently filed Quarterly Reports on Form 10-Q and in any applicable prospectus supplement for a discussion of certain factors which should be considered in an investment of the securities which may be offered hereby.</w:t>
      </w:r>
    </w:p>
    <w:p>
      <w:pPr>
        <w:spacing w:after="0" w:line="135"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September 20, 2018.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85"/>
        </w:trPr>
        <w:tc>
          <w:tcPr>
            <w:tcW w:w="3700" w:type="dxa"/>
            <w:vAlign w:val="bottom"/>
            <w:vMerge w:val="restart"/>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69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2"/>
        </w:trPr>
        <w:tc>
          <w:tcPr>
            <w:tcW w:w="3700" w:type="dxa"/>
            <w:vAlign w:val="bottom"/>
            <w:vMerge w:val="continue"/>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Forward-Looking Statements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Fiserv, Inc</w:t>
              </w:r>
              <w:r>
                <w:rPr>
                  <w:rFonts w:ascii="Arial" w:cs="Arial" w:eastAsia="Arial" w:hAnsi="Arial"/>
                  <w:sz w:val="18"/>
                  <w:szCs w:val="18"/>
                  <w:color w:val="0000EE"/>
                </w:rPr>
                <w:t>.</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Ratios of Earnings to Fixed Charges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Use of Proceeds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Debt Securities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Capital Stock</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Depositary Shares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Warrants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Purchase Contracts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Units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Selling Shareholders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Plan of Distribution</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7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Experts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the context otherwise requires, in this prospectus, “we,” “us,” “our” or “ours” refer to Fiserv, Inc. and its consolidated subsidiaries.</w:t>
      </w:r>
    </w:p>
    <w:p>
      <w:pPr>
        <w:spacing w:after="0" w:line="237"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Under this shelf process, we may, from time to time, sell the securities or combinations of the securities described in this prospectus, and one or more of our shareholders may sell our common stock, in one or more offerings. This prospectus provides you with a general description of those securities. Each time we offer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together with the additional information described under the heading “Where You Can Find More Information.”</w:t>
      </w:r>
    </w:p>
    <w:p>
      <w:pPr>
        <w:spacing w:after="0" w:line="19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in any prospectus supplement and in any free writing prospectus we file with the SEC. “Incorporated by reference” means that we can disclose important information to you by referring you to another document filed separately with the SEC. We have not authorized any other person to provide you with different or additional information. If anyone provides you with different or additional information, you should not rely on it.</w:t>
      </w:r>
    </w:p>
    <w:p>
      <w:pPr>
        <w:spacing w:after="0" w:line="18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or any prospectus supplement, or the information we file or previously filed with the SEC that we incorporate by reference in this prospectus and any prospectus supplement, is accurate as of any date other than the respective dates of those documents. Our business, financial condition, liquidity, results of operations and prospects may have changed since those dates.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This prospectus and any prospectus supplement, and the information incorporated by reference in this prospectus or any prospectus supplement,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included or incorporated by reference in this prospectus or any supplement to this prospectus involve significant risks and uncertainties, and a number of factors, both foreseen and unforeseen, that could cause actual results to differ materially from our current expectations. The factors that may affect our results include, among others: pricing and other actions by competitors; the capacity of our technology to keep pace with a rapidly evolving marketplace;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the impact of our strategic initiatives; the impact of market and economic conditions on the financial services industry; and other factors identified in our most recent Annual Report on Form</w:t>
      </w:r>
    </w:p>
    <w:p>
      <w:pPr>
        <w:spacing w:after="0" w:line="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10-K and Quarterly Report on Form 10-Q and in other documents that we file with the SEC. You should consider these factors carefully in evaluating forward-looking statements and are cautioned not to place undue reliance on such statements, which speak only as of the date of this prospectus or the date of the incorporated document. We undertake no obligation to update forward-looking statements to reflect events or circumstances occurring after the date of this prospectus.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32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FISERV, INC.</w:t>
      </w:r>
    </w:p>
    <w:p>
      <w:pPr>
        <w:spacing w:after="0" w:line="2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 leading global provider of financial services technology. We are publicly traded on the NASDAQ Global Select Market and part of the S&amp;P 500</w:t>
      </w:r>
      <w:r>
        <w:rPr>
          <w:rFonts w:ascii="Arial" w:cs="Arial" w:eastAsia="Arial" w:hAnsi="Arial"/>
          <w:sz w:val="14"/>
          <w:szCs w:val="14"/>
          <w:color w:val="auto"/>
        </w:rPr>
        <w:t>®</w:t>
      </w:r>
      <w:r>
        <w:rPr>
          <w:rFonts w:ascii="Arial" w:cs="Arial" w:eastAsia="Arial" w:hAnsi="Arial"/>
          <w:sz w:val="17"/>
          <w:szCs w:val="17"/>
          <w:color w:val="auto"/>
        </w:rPr>
        <w:t xml:space="preserve"> Index. We serve clients worldwide, including banks, credit unions, investment management firms, leasing and finance companies, billers, retailers, and merchants. We provide account processing systems; electronic payments processing products and services, such as electronic bill payment and presentment services, account-to-account transfers, person-to-person payments, debit and credit card processing and services, and payments infrastructure services; internet and mobile banking systems; and related services including card and print personalization services, item processing and source capture services, loan origination and servicing products, and fraud and risk management products and services. Most of the services we provide are necessary for our clients to operate their businesses and are, therefore, non-discretionary in nature. Our operations are principally located in the United States where we operate data and transaction processing centers, provide technology support, develop software and payment solutions, and offer consulting services.</w:t>
      </w:r>
    </w:p>
    <w:p>
      <w:pPr>
        <w:spacing w:after="0" w:line="18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a Wisconsin corporation and our principal executive offices are located at 255 Fiserv Drive, Brookfield, Wisconsin 53045. Our telephone number is (262) 879-5000.</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ratios of consolidated earnings to fixed charges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9.0x</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7.2x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7.3x</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6.1x</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5.5x</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purposes of calculating the ratios of earnings to fixed charges, earnings consist of income from continuing operations before income taxes and income from investments in unconsolidated affiliates, plus fixed charges. Fixed charges consist of interest expensed, amortized discounts and capitalized expenses related to indebtedness and an estimate of interest within rental expense.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did not have any preferred stock outstanding and we did not pay or accrue any preferred stock dividends during the periods presented above. Accordingly, our ratios of earnings to combined fixed charges and preference dividends are the same as those presented in the table of ratios of earnings to fixed charges set forth above for each of the respective periods presented.</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the use of the net proceeds from the sales of the securities in the applicable prospectus supplement.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section describes the general terms and provisions of the debt securities that we may issue in the form of one or more series from time to time, separately, upon exercise of a debt warrant, in connection with a purchase contract or as part of a unit. The applicable prospectus supplement will describe the specific terms of the debt securities offered through that prospectus supplement as well as any general terms described in this section that will not apply to those debt securities. The debt securities will be issued under an indenture between us and U.S. Bank National Association, as trustee.</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summarized selected provisions of the indenture below. The summary is not complete. The indenture has been filed with the Securities and Exchange Commission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 or sections or defined terms of the indenture, those article or sections or defined terms are incorporated by reference herein or therein, as applicable. Capitalized terms used in the summary have the meanings specified in the indenture.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indenture provides that debt securities in separate series may be issued under the indenture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applicable prospectus supplement will set forth or describe the following terms of each series of such debt securities:</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person to whom any interest on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or rates that the debt securities will bear and the interest payment dates for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places where payments on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periods within which, and terms upon which, the debt securities may be redeemed, in whole or in part, at our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are defeasible and any changes or additions to the indenture’s defeasance provisions;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common stock or other securities or property and, if so, the terms and conditions upon which conversion will be effected;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with respect to the debt securities;</w:t>
      </w:r>
    </w:p>
    <w:p>
      <w:pPr>
        <w:spacing w:after="0" w:line="157" w:lineRule="exact"/>
        <w:rPr>
          <w:rFonts w:ascii="Arial" w:cs="Arial" w:eastAsia="Arial" w:hAnsi="Arial"/>
          <w:sz w:val="18"/>
          <w:szCs w:val="18"/>
          <w:color w:val="auto"/>
        </w:rPr>
      </w:pPr>
    </w:p>
    <w:p>
      <w:pPr>
        <w:ind w:left="5580" w:hanging="106"/>
        <w:spacing w:after="0"/>
        <w:tabs>
          <w:tab w:leader="none" w:pos="5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indenture does not limit the amount of debt securities that may be issued. The indenture allows debt securities to be issued up to the principal amount that we may authorize and may be in any currency or currency unit we designate.</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Debt securities, including Original Issue Discount Securities (as defined in the indenture), may be sold at a substantial discount below their principal amount. Special U.S. federal income tax considerations applicable to debt securities sold at an original issue discount may be described in the applicable prospectus supplement. In addition, special U.S. federal income tax or other considerations applicable to any debt securities that are denominated in a currency or currency unit other than U.S. dollars may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debt securities may be converted into our common stock or other securities or property, if at all, according to the terms and conditions of an applicable prospectus supplement. Such terms will include the conversion price, the conversion period, provisions as to whether conversion will be at our option or the option of the holders of such series of debt securities, the events requiring an adjustment of the conversion price, and provisions affecting conversion in the event of the redemption of such series of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Unless otherwise specified in the prospectus supplement, we may not consolidate with or merge into, or transfer, lease or otherwise dispose all or substantially all of our assets to, any person, and may not permit any person to consolidate with or merge into us, unless:</w:t>
      </w:r>
    </w:p>
    <w:p>
      <w:pPr>
        <w:spacing w:after="0" w:line="52" w:lineRule="exact"/>
        <w:rPr>
          <w:sz w:val="20"/>
          <w:szCs w:val="20"/>
          <w:color w:val="auto"/>
        </w:rPr>
      </w:pPr>
    </w:p>
    <w:p>
      <w:pPr>
        <w:ind w:left="1080" w:right="2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successor person (if any) is a corporation, limited liability company, partnership, trust or other entity organized and validly existing under the laws of any domestic jurisdiction and assumes our obligations with respect to the debt securities under the indenture;</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giving pro forma effect to the transaction, no event of default, and no event which, after notice or lapse of time or both, would become an event of default, exists; and</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stating that the transaction and the related supplemental indenture comply with the applicable provisions of the indenture and all applicable conditions precedent have been satisfied (Section 801).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that is not cured within 30 days;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deposit any sinking fund payment, when due, in respect of any debt security of that series, that is not cured within 30 days;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any of our other covenants in such indenture (other than a covenant included in such indenture solely for the benefit of a series other than that series or that is not made applicable to that</w:t>
      </w:r>
    </w:p>
    <w:p>
      <w:pPr>
        <w:spacing w:after="0" w:line="102" w:lineRule="exact"/>
        <w:rPr>
          <w:rFonts w:ascii="Arial" w:cs="Arial" w:eastAsia="Arial" w:hAnsi="Arial"/>
          <w:sz w:val="18"/>
          <w:szCs w:val="18"/>
          <w:color w:val="auto"/>
        </w:rPr>
      </w:pPr>
    </w:p>
    <w:p>
      <w:pPr>
        <w:ind w:left="5580" w:hanging="106"/>
        <w:spacing w:after="0"/>
        <w:tabs>
          <w:tab w:leader="none" w:pos="5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8" w:lineRule="auto"/>
        <w:rPr>
          <w:sz w:val="20"/>
          <w:szCs w:val="20"/>
          <w:color w:val="auto"/>
        </w:rPr>
      </w:pPr>
      <w:r>
        <w:rPr>
          <w:rFonts w:ascii="Arial" w:cs="Arial" w:eastAsia="Arial" w:hAnsi="Arial"/>
          <w:sz w:val="18"/>
          <w:szCs w:val="18"/>
          <w:color w:val="auto"/>
        </w:rPr>
        <w:t>series), that is not cured within 90 days after written notice has been given by the trustee, or the holders of at least 25% in principal amount of the outstanding debt securities of that series, as provided in such indenture; or</w:t>
      </w:r>
    </w:p>
    <w:p>
      <w:pPr>
        <w:spacing w:after="0" w:line="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of our significant subsidiaries.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(other than an event of default with respect to Fiserv, Inc. described in clause (5) above) with respect to the debt securities of any series at the time outstanding occurs and is continuing, either the trustee by notice to us or the holders of at least 25% in principal amount of the outstanding debt securities of that series by notice to us and the trustee may declare the principal amount of the debt securities of that series (or, in the case of any Original Issue Discount Security, such portion of the principal amount of such security as may be specified in the terms of such security) to be due and payable immediately. If an event of default with respect to Fiserv, Inc. described in clause (5)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indenture (Section 502). For information as to waiver of defaults, see “—Modification and Waiver” below.</w:t>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of debt securities, unless such holders have offered to the trustee reasonable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under the indenture, or for the appointment of a receiver or a trustee, or for any other remedy under the indenture, unless: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holder gives the trustee written notice of a continuing event of default with respect to the debt securities of that series;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outstanding debt securities of that series made a written request to pursue the remedy, and such holders have offered reasonable indemnity, to the trustee for losses incurred in connection with pursuit of the remedy; and</w:t>
      </w:r>
    </w:p>
    <w:p>
      <w:pPr>
        <w:spacing w:after="0" w:line="29" w:lineRule="exact"/>
        <w:rPr>
          <w:rFonts w:ascii="Arial" w:cs="Arial" w:eastAsia="Arial" w:hAnsi="Arial"/>
          <w:sz w:val="16"/>
          <w:szCs w:val="16"/>
          <w:color w:val="auto"/>
        </w:rPr>
      </w:pPr>
    </w:p>
    <w:p>
      <w:pPr>
        <w:ind w:left="1080" w:right="4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trustee fails to comply with the request, and does not receive from the holders of a majority in principal amount of the outstanding debt securities of that series a direction inconsistent with such request, within 60 days after such notice, request and offer (Section 507).</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However, such limitations do not apply to a suit instituted by a holder of a debt security to enforce the payment of the principal of or any premium or interest on such debt security on or after the applicable due date specified in such debt security or, if applicable, to convert such debt security (Sections 507 and 508).</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otherwise specified in the prospectus supplement, modifications and amendments of the indenture may be made by us and the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manner or currency of payment of principal of, or any premium or interest on, any debt security;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securities in a manner adverse to the holders of such debt securities;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ranking of any series of debt securities (Section 902).</w:t>
      </w:r>
    </w:p>
    <w:p>
      <w:pPr>
        <w:spacing w:after="0" w:line="225"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Unless otherwise specified in the prospectus supplement, the holders of a majority in principal amount of the outstanding debt securities of any series may waive compliance by us with certain restrictive provisions of the indenture (Section 902). The holders of a majority in principal amount of the outstanding debt securities of any series may also waive any past default under the indenture, except a default:</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payment of principal, premium or interest or the payment of any redemption, purchase or repurchase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arising from our failure to convert any debt security in accordance with the indenture;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certain covenants and provisions of the indenture which cannot be amended without the consent of the holder of each outstanding debt security of such series (Section 513).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indenture will be discharged and will cease to be of further effect as to any series of debt securities (except as to any surviving rights of registration of transfer or exchange of debt securities expressly provided for in the indenture or any other surviving rights expressly provided for in a supplemental indenture) when:</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debt securities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9" w:lineRule="exact"/>
        <w:rPr>
          <w:rFonts w:ascii="Arial" w:cs="Arial" w:eastAsia="Arial" w:hAnsi="Arial"/>
          <w:sz w:val="18"/>
          <w:szCs w:val="18"/>
          <w:color w:val="auto"/>
        </w:rPr>
      </w:pPr>
    </w:p>
    <w:p>
      <w:pPr>
        <w:ind w:left="1540" w:hanging="331"/>
        <w:spacing w:after="0" w:line="311"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debt securities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as trust funds U.S. dollars or U.S. government obligations in an</w:t>
      </w:r>
    </w:p>
    <w:p>
      <w:pPr>
        <w:spacing w:after="0" w:line="81" w:lineRule="exact"/>
        <w:rPr>
          <w:rFonts w:ascii="Arial" w:cs="Arial" w:eastAsia="Arial" w:hAnsi="Arial"/>
          <w:sz w:val="16"/>
          <w:szCs w:val="16"/>
          <w:color w:val="auto"/>
        </w:rPr>
      </w:pPr>
    </w:p>
    <w:p>
      <w:pPr>
        <w:ind w:left="5580" w:hanging="106"/>
        <w:spacing w:after="0"/>
        <w:tabs>
          <w:tab w:leader="none" w:pos="55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amount sufficient, to pay the entire indebtedness of such debt securities not delivered to the trustee for cancellation, for principal, premium, if any, and accrued interest to the stated maturity or redemption date;</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we have satisfied all conditions precedent to satisfaction and discharge of the indenture with respect to the debt securities (Section 401).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We will be discharged from all our obligations with respect to such debt securities (except for certain obligations to convert,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83" w:lineRule="exact"/>
        <w:rPr>
          <w:sz w:val="20"/>
          <w:szCs w:val="20"/>
          <w:color w:val="auto"/>
        </w:rPr>
      </w:pPr>
    </w:p>
    <w:p>
      <w:pPr>
        <w:ind w:left="1080" w:right="60" w:hanging="532"/>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we have received from, or there has been published by, the U.S.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3"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(5) under “—Events of Default,” at any time until 90 days after such deposit;</w:t>
      </w:r>
    </w:p>
    <w:p>
      <w:pPr>
        <w:spacing w:after="0" w:line="89"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deposit and defeasance will not result in a breach or violation of, or constitute a default under, any agreement or instrument to which we are a party or by which we are bound;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defeasance will not cause the trustee or the trust so created to be subject to the Investment Company Act of 1940 (Sections 1302 and 1304).</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Covenant Defeasance</w:t>
      </w:r>
      <w:r>
        <w:rPr>
          <w:rFonts w:ascii="Arial" w:cs="Arial" w:eastAsia="Arial" w:hAnsi="Arial"/>
          <w:sz w:val="17"/>
          <w:szCs w:val="17"/>
          <w:color w:val="auto"/>
        </w:rPr>
        <w:t>. The indenture provides that we may elect, at our option, that our failure to comply with certain restrictive covenants (but</w:t>
      </w:r>
      <w:r>
        <w:rPr>
          <w:rFonts w:ascii="Arial" w:cs="Arial" w:eastAsia="Arial" w:hAnsi="Arial"/>
          <w:sz w:val="17"/>
          <w:szCs w:val="17"/>
          <w:i w:val="1"/>
          <w:iCs w:val="1"/>
          <w:color w:val="auto"/>
        </w:rPr>
        <w:t xml:space="preserve"> </w:t>
      </w:r>
      <w:r>
        <w:rPr>
          <w:rFonts w:ascii="Arial" w:cs="Arial" w:eastAsia="Arial" w:hAnsi="Arial"/>
          <w:sz w:val="17"/>
          <w:szCs w:val="17"/>
          <w:color w:val="auto"/>
        </w:rPr>
        <w:t>not to conversion, if applicable), including those that may be described in the applicable prospectus supplement, and the occurrence of certain events of default which are described above in clause (4) under “—Events of Default” and any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covenant defeasance may occur only if we have delivered to the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under the heading —“Legal Defeasance and Covenant Defeasance” above are satisfied. If we exercise this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1303 and 1304).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description of our capital stock summarizes general terms and provisions that apply to our capital stock. Because this is only a summary it does not contain all of the information that may be important to you. The summary is subject to and qualified in its entirety by reference to our articles of incorporation and by-laws, which are filed as exhibits to the registration statement of which this prospectus is a part and incorporated by reference into this prospectus. See “Where You Can Find More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authorized capital stock consists of 1,800,000,000 shares of common stock, $.01 par value per share, and 25,000,000 shares of preferred stock, no par value per share. We will disclose in an applicable prospectus supplement the number of shares of our common stock then outstanding. As of the date of this prospectus, no shares of our preferred stock were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Subject to Section 180.1150 of the Wisconsin Business Corporation Law (described below under “—Statutory Provisions”), holders of our common stock are entitled to one vote for each share of common stock held by them on all matters properly presented to shareholders. Subject to the prior rights of the holders of any shares of our preferred stock that are outstanding, our board of directors may at its discretion declare and pay dividends on our common stock out of our earnings or assets legally available for the payment of dividends. Subject to the prior rights of the holders of any shares of our preferred stock that are outstanding, if we are liquidated, any amounts remaining after the discharge of outstanding indebtedness will be paid pro rata to the holders of our common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is authorized to issue our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we offer preferred stock, we will file the terms of the preferred stock with the SEC and the prospectus supplement relating to that offering will include a description of the specific terms of the offering, including the following specific terms:</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series, the number of shares offered and the liquidation value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rate, the dates on which the dividends will be payable and other terms relating to the payment of dividends on the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liquidation preference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voting rights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preferred stock is redeemable or subject to a sinking fund, and the terms of any such redemption or sinking fund;</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for any other securities, and the terms of any such conversion;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additional rights, preferences, qualifications, limitations and restrictions of the preferred stock.</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Statutory Provisions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Section 180.1150 of the Wisconsin Business Corporation Law provides that the voting power of public Wisconsin corporations such as us held by any person or persons acting as a group in excess of 20% of our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us and a significant shareholder, unless the board of directors of the corporation approves the business combination or the shareholder’s acquisition of shares before these shares are acquired.</w:t>
      </w:r>
    </w:p>
    <w:p>
      <w:pPr>
        <w:spacing w:after="0" w:line="192"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at our option, elect to offer fractional interests in shares of preferred stock rather than a full share of preferred stock. In that event, depositary receipts will be issued for depositary shares, each of which will represent a fraction of a share of a particular class or series of preferred stock, as described in the applicable prospectus supplement.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Any series of preferred stock represented by depositary shares will be deposited under a deposit agreement between Fiserv, Inc. and the depositary. The prospectus supplement relating to a series of depositary shares will set forth the name and address of the depositary for the depositary shares and summarize the material provisions of the deposit agreement. Subject to the terms of the deposit agreement, each owner of a depositary share will be entitled, in proportion to the applicable fraction of a share of preferred stock represented by such depositary share, to all the rights and preferences of the preferred stock represented by such depositary share, including dividend and liquidation rights and any right to convert or exchange the preferred stock into other securities.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will describe the particular terms of any depositary shares we offer in the applicable prospectus supplement. You should review the documents pursuant to which the depositary shares will be issued, which will be described in more detail in the applicable prospectus supplement.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issue warrants for the purchase of debt securities, preferred stock, common stock or other securities.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will be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76" w:lineRule="exact"/>
        <w:rPr>
          <w:sz w:val="20"/>
          <w:szCs w:val="20"/>
          <w:color w:val="auto"/>
        </w:rPr>
      </w:pPr>
    </w:p>
    <w:p>
      <w:pPr>
        <w:ind w:left="108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designation, aggregate principal amount, currencies, denominations and terms of the series of debt securities purchasable upon exercise of warrants to purchase debt securities and the price at which such debt securities may be purchased upon such exercise;</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the exercise of warrants to purchase common stock and the price at which such number of shares of common stock may be purchased upon such exercise;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purchasable upon the exercise of warrants to purchase preferred stock and the price at which such number of shares of such series of preferred stock may be purchased upon such exercise;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number of units of other securities purchasable upon the exercise of warrants to purchase other securities and the price at which such number of units of such other securities may be purchased upon such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federal income tax consequences applicable to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warrants outstanding as of the most recent practicable date;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such warrants.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Warrants will be issued in registered form only. Each warrant will entitle the holder thereof to purchase such principal amount of debt securities or such number of shares of preferred stock, common stock or other securities at such exercise price as will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will be specified in the prospectus supplement relating to such warrants.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the exercise of any warrants to purchase debt securities, preferred stock, common stock or other securities, holders of such warrants will not have any of the rights of holders of debt securities, preferred stock, common stock or other securities, as the case may be, purchasable upon such exercise, including the right to receive payments of principal of, premium, if any, or interest, if any, on the debt securities purchasable upon such exercise or to enforce covenants in the indenture, or to receive payments of dividends, if any, on the preferred stock, or common stock purchasable upon such exercise, or to exercise any applicable right to vote.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issue purchase contracts for the purchase or sale of our debt securities or equity securities or securities of third parties including any of our affiliates, a basket of such securities, an index or indices of such securities or any combination of the above as specified in the applicable prospectus supplement.</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purchase contracts obligating holders to purchase from us, and obligating us to sell to holders, at a future date, a specified or varying number of securities at a purchase price, which may be based on a formula. Alternatively, we may issue purchase contracts obligating us to purchase from holders, and obligating holders to sell to us, at a future date, a specified or varying number of securities at a purchase price, which may be based on a formula. We may satisfy our obligations, if any, with respect to any purchase contract by delivering the subject securities or by delivering the cash value of such purchase contract or the cash value of the property otherwise deliverable, as set forth in the applicable prospectus supplement. The applicable prospectus supplement will specify the methods by which the holders may purchase or sell such securities and any acceleration, cancellation or termination provisions or other provisions relating to the settlement of a purchase contract.</w:t>
      </w:r>
    </w:p>
    <w:p>
      <w:pPr>
        <w:spacing w:after="0" w:line="17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and these payments may be unsecured or prefunded and may be paid on a current or deferred basis. The purchase contracts may require holders thereof to secure their obligations under the contracts in a specified manner to be described in the applicable prospectus supplement. Alternatively, purchase contracts may require holders to satisfy their obligations thereunder when the purchase contracts are issued as described in the applicable prospectus supplement.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may also include debt obligations or other securities of third parties not affiliated with us, such as U.S. Treasury securities. Each unit will be issued so that the holder of the unit is also the holder of each security included in the unit. Thus, the holder of a unit will have the rights and obligations of a holder of each included security. The applicable unit agreement under which a unit is issued may provide that the securities included in the unit may not be held or transferred separately, at any time or any time before a specified date.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applicable prospectus supplement will describe the terms of the units offered pursuant to it, including one or more of the following:</w:t>
      </w:r>
    </w:p>
    <w:p>
      <w:pPr>
        <w:spacing w:after="0" w:line="142" w:lineRule="exact"/>
        <w:rPr>
          <w:sz w:val="20"/>
          <w:szCs w:val="20"/>
          <w:color w:val="auto"/>
        </w:rPr>
      </w:pPr>
    </w:p>
    <w:p>
      <w:pPr>
        <w:ind w:left="1080" w:right="2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any agreements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federal income tax considerations relevant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preceding description and any description of units in the applicable prospectus supplement does not purport to be complete and is subject to and is qualified in its entirety by reference to each unit agreement and, if applicable, collateral arrangements relating to such units.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register shares of common stock covered by this prospectus for re-offers and resales by any selling shareholders to be named in a prospectus supplement. Because we are a well-known seasoned issuer, as defined in Rule 405 of the Securities Act of 1933, as amended (the “Securities Act”), we may add secondary sales of shares of our common stock by any selling shareholders by filing a prospectus supplement with the SEC. We may register these shares to permit selling shareholders to resell their shares when they deem appropriate. A selling shareholder may resell all, a portion or none of such shareholder’s shares at any time and from time to time. Selling shareholders may also sell, transfer or otherwise dispose of some or all of their shares of our common stock in transactions exempt from the registration requirements of the Securities Act. We do not know when or in what amounts the selling shareholders may offer shares for sale under this prospectus and any prospectus supplement. We will not receive any proceeds from any sale of shares by a selling shareholder under this prospectus and any prospectus supplement. We may pay all expenses incurred with respect to the registration of the shares of common stock owned by the selling shareholders, other than underwriting fees, discounts or commissions, which will be borne by the selling shareholders. We will provide you with a prospectus supplement naming the selling shareholders, the amount of shares to be registered and sold and any other terms of the shares of common stock being sold by each selling shareholder.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may sell our securities, and any selling shareholder may sell shares of our common stock, in any one or more of the following ways from time to time: (i) through agents; (ii) to or through underwriters; (iii) through brokers or dealers; (iv) directly by us or any selling shareholders to purchasers, including through a specific bidding, auction or other process; or (v) through a combination of any of these methods of sale. The applicable prospectus supplement will contain the terms of the transaction, name or names of any underwriters, dealers, agents and the respective amounts of securities underwritten or purchased by them, the initial public offering price of the securities, and the applicable agent’s commission, dealer’s purchase price or underwriter’s discount. Any selling shareholders, dealers and agents participating in the distribution of the securities may be deemed to be underwriters, and compensation received by them on resale of the securities may be deemed to be underwriting discounts. Additionally, because selling shareholders may be deemed to be “underwriters” within the meaning of Section 2(11) of the Securities Act, selling shareholders may be subject to the prospectus delivery requirements of the Securities Act.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initial offering price, dealer purchase price, discount or commission may be changed from time to time.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84"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Offers to purchase securities may be solicited directly by us or any selling shareholder or by agents designated by us from time to time. Any such agent may be deemed to be an underwriter, as that term is defined in the Securities Act, of the securities so offered and sold.</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they purchase any of them.</w:t>
      </w:r>
    </w:p>
    <w:p>
      <w:pPr>
        <w:spacing w:after="0" w:line="178"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will sell such securities, and any selling shareholder will sell shares of our common stock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 In addition, any selling shareholder may sell shares of our common stock in ordinary brokerage transactions or in transactions in which a broker solicits purchases.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Offers to purchase securities may be solicited directly by us or any selling shareholder and the sale thereof may be made by us or any selling shareholder directly to institutional investors or others, who may be deemed to be underwriters within the meaning of the Securities Act with respect to any resale thereof.</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Agents, underwriters and dealers may be entitled under relevant agreements with us or any selling shareholder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applicable prospectus supplement. We may pay all expenses incurred with respect to the registration of the shares of common stock owned by any selling shareholders, other than underwriting fees, discounts or commissions, which will be borne by the selling shareholders.</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any selling shareholder may also sell shares of our common stock through various arrangements involving mandatorily or optionally exchangeable securities, and this prospectus may be delivered in connection with those sales.</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or any selling shareholder may enter into derivative, sale or forward sale transactions with third parties, or sell securities not covered by this prospectus to third parties in privately negotiated transactions. If the applicable prospectus supplement indicates, in connection with those transactions, the third parties may sell securities covered by this prospectus and the applicable prospectus supplement, including in short sale transactions and by issuing securities not covered by this prospectus but convertible into, or exchangeable for or representing beneficial interests in such securities covered by this prospectus, or the return of which is derived in whole or in part from the value of such securities. The third parties may use securities received under derivative, sale or forward sale transactions, or securities pledged by us or any selling shareholder or borrowed from us, any selling shareholder or others to settle those sales or to close out any related open borrowings of stock, and may use securities received from us or any selling shareholder in settlement of those transactions to close out any related open borrowings of stock. The third party in such sale transactions will be an underwriter and will be identified in the applicable prospectus supplement (or a post-effective amendment).</w:t>
      </w:r>
    </w:p>
    <w:p>
      <w:pPr>
        <w:spacing w:after="0" w:line="1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Additionally, any selling shareholder may engage in hedging transactions with broker-dealers in connection with distributions of shares or otherwise. In those transactions, broker-dealers may engage in short sales of shares in the course of hedging the positions they assume with such selling shareholder. Any selling shareholder also may sell shares short and redeliver shares to close out such short positions. Any selling shareholder may also enter into option or other transactions with broker-dealers which require the delivery of shares to the broker-dealer. The broker-dealer may then resell or otherwise transfer such shares pursuant to this prospectus. Any selling shareholder also may loan or pledge shares, and the borrower or pledgee may sell or otherwise transfer the shares so loaned or pledged pursuant to this prospectus. Such borrower or pledgee also may transfer those shares to investors in our securities or the selling shareholder’s securities or in connection with the offering of other securities not covered by this prospectus.</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Underwriters, broker-dealers or agents may receive compensation in the form of commissions, discounts or concessions from us or any selling shareholder.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or any selling shareholder may arrange for other broker-dealers to participate in the resales.</w:t>
      </w:r>
    </w:p>
    <w:p>
      <w:pPr>
        <w:spacing w:after="0" w:line="17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we shall not be obligated to do so. No assurance can be given as to the liquidity of the trading market for any of the securities.</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Agents, underwriters and dealers may engage in transactions with, or perform services for, us, our subsidiaries or any selling shareholder in the ordinary course of business.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in accordance with Regulation M under the Securities Exchange Act of 1934, as amended (the “Exchange Act”). Overallotment involves sales in excess of the offering size, which create a short position.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place and time of delivery for securities will be set forth in the accompanying prospectus supplement for such securities.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the registration statement, but does not contain all of the information included in the registration statement or the exhibits. You may read and copy the registration statement and any other document that we file at the SEC’s public reference room at 100 F Street, N.E., Washington D.C. 20549. You can call the SEC at 1-800-SEC-0330 for further information on the operation of the public reference room. You can also find our public filings with the SEC on the internet at a web site maintained by the SEC located at http://www.sec.gov.</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we file with the SEC will automatically update and supersede information contained in this prospectus.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We incorporate by reference the documents listed below and any future filings we make with the SEC under Sections 13(a), 13(c), 14 or 15(d) of the Exchange Act after the date of this prospectus and before the end of the offering of the securities pursuant to this prospectus:</w:t>
      </w:r>
    </w:p>
    <w:p>
      <w:pPr>
        <w:spacing w:after="0" w:line="5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2017;</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93">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4">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0000EE"/>
        </w:rPr>
      </w:pPr>
      <w:hyperlink r:id="rId95">
        <w:r>
          <w:rPr>
            <w:rFonts w:ascii="Arial" w:cs="Arial" w:eastAsia="Arial" w:hAnsi="Arial"/>
            <w:sz w:val="18"/>
            <w:szCs w:val="18"/>
            <w:color w:val="auto"/>
          </w:rPr>
          <w:t xml:space="preserve">our Current Reports on Form 8-K as filed with the SEC on each of </w:t>
        </w:r>
        <w:r>
          <w:rPr>
            <w:rFonts w:ascii="Arial" w:cs="Arial" w:eastAsia="Arial" w:hAnsi="Arial"/>
            <w:sz w:val="18"/>
            <w:szCs w:val="18"/>
            <w:u w:val="single" w:color="auto"/>
            <w:color w:val="0000EE"/>
          </w:rPr>
          <w:t>February 7, 2018</w:t>
        </w:r>
        <w:r>
          <w:rPr>
            <w:rFonts w:ascii="Arial" w:cs="Arial" w:eastAsia="Arial" w:hAnsi="Arial"/>
            <w:sz w:val="18"/>
            <w:szCs w:val="18"/>
            <w:color w:val="auto"/>
          </w:rPr>
          <w:t xml:space="preserve"> (excluding the furnished portions thereof), </w:t>
        </w:r>
        <w:r>
          <w:rPr>
            <w:rFonts w:ascii="Arial" w:cs="Arial" w:eastAsia="Arial" w:hAnsi="Arial"/>
            <w:sz w:val="18"/>
            <w:szCs w:val="18"/>
            <w:u w:val="single" w:color="auto"/>
            <w:color w:val="0000EE"/>
          </w:rPr>
          <w:t>February</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EE"/>
          </w:rPr>
          <w:t>27, 2018</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6">
        <w:r>
          <w:rPr>
            <w:rFonts w:ascii="Arial" w:cs="Arial" w:eastAsia="Arial" w:hAnsi="Arial"/>
            <w:sz w:val="18"/>
            <w:szCs w:val="18"/>
            <w:u w:val="single" w:color="auto"/>
            <w:color w:val="0000EE"/>
          </w:rPr>
          <w:t>April 2, 2018</w:t>
        </w:r>
      </w:hyperlink>
      <w:hyperlink r:id="rId9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7">
        <w:r>
          <w:rPr>
            <w:rFonts w:ascii="Arial" w:cs="Arial" w:eastAsia="Arial" w:hAnsi="Arial"/>
            <w:sz w:val="18"/>
            <w:szCs w:val="18"/>
            <w:u w:val="single" w:color="auto"/>
            <w:color w:val="0000EE"/>
          </w:rPr>
          <w:t>May 24, 2018</w:t>
        </w:r>
      </w:hyperlink>
      <w:hyperlink r:id="rId9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98">
        <w:r>
          <w:rPr>
            <w:rFonts w:ascii="Arial" w:cs="Arial" w:eastAsia="Arial" w:hAnsi="Arial"/>
            <w:sz w:val="18"/>
            <w:szCs w:val="18"/>
            <w:u w:val="single" w:color="auto"/>
            <w:color w:val="0000EE"/>
          </w:rPr>
          <w:t>September 20</w:t>
        </w:r>
      </w:hyperlink>
      <w:hyperlink r:id="rId95">
        <w:r>
          <w:rPr>
            <w:rFonts w:ascii="Arial" w:cs="Arial" w:eastAsia="Arial" w:hAnsi="Arial"/>
            <w:sz w:val="18"/>
            <w:szCs w:val="18"/>
            <w:color w:val="000000"/>
          </w:rPr>
          <w:t>, 2018 and</w:t>
        </w:r>
        <w:r>
          <w:rPr>
            <w:rFonts w:ascii="Arial" w:cs="Arial" w:eastAsia="Arial" w:hAnsi="Arial"/>
            <w:sz w:val="18"/>
            <w:szCs w:val="18"/>
            <w:color w:val="0000EE"/>
          </w:rPr>
          <w:t xml:space="preserve"> </w:t>
        </w:r>
      </w:hyperlink>
      <w:hyperlink r:id="rId99">
        <w:r>
          <w:rPr>
            <w:rFonts w:ascii="Arial" w:cs="Arial" w:eastAsia="Arial" w:hAnsi="Arial"/>
            <w:sz w:val="18"/>
            <w:szCs w:val="18"/>
            <w:u w:val="single" w:color="auto"/>
            <w:color w:val="0000EE"/>
          </w:rPr>
          <w:t>September 20, 2018</w:t>
        </w:r>
      </w:hyperlink>
      <w:hyperlink r:id="rId95">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right="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100">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September 3, 1986, and any amendment or report updating that description.</w:t>
      </w:r>
    </w:p>
    <w:p>
      <w:pPr>
        <w:spacing w:after="0" w:line="170" w:lineRule="exact"/>
        <w:rPr>
          <w:rFonts w:ascii="Arial" w:cs="Arial" w:eastAsia="Arial" w:hAnsi="Arial"/>
          <w:sz w:val="18"/>
          <w:szCs w:val="18"/>
          <w:color w:val="0000EE"/>
        </w:rPr>
      </w:pPr>
    </w:p>
    <w:p>
      <w:pPr>
        <w:ind w:left="120" w:right="320"/>
        <w:spacing w:after="0" w:line="277" w:lineRule="auto"/>
        <w:rPr>
          <w:sz w:val="20"/>
          <w:szCs w:val="20"/>
          <w:color w:val="auto"/>
        </w:rPr>
      </w:pPr>
      <w:r>
        <w:rPr>
          <w:rFonts w:ascii="Arial" w:cs="Arial" w:eastAsia="Arial" w:hAnsi="Arial"/>
          <w:sz w:val="18"/>
          <w:szCs w:val="18"/>
          <w:color w:val="auto"/>
        </w:rPr>
        <w:t>Notwithstanding the foregoing, documents or portions thereof containing information furnished under Items 2.02 and 7.01 of any Current Report on Form 8-K, including the related exhibits under Item 9.01, are not incorporated by reference in this prospectus.</w:t>
      </w:r>
    </w:p>
    <w:p>
      <w:pPr>
        <w:spacing w:after="0" w:line="170"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You may request a copy of any of these filings, at no cost, by request directed to us at the following address or telephone number:</w:t>
      </w:r>
    </w:p>
    <w:p>
      <w:pPr>
        <w:spacing w:after="0" w:line="117"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Fiserv, Inc.</w:t>
      </w:r>
    </w:p>
    <w:p>
      <w:pPr>
        <w:spacing w:after="0" w:line="2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255 Fiserv Drive</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Brookfield, WI 53045</w:t>
      </w:r>
    </w:p>
    <w:p>
      <w:pPr>
        <w:spacing w:after="0" w:line="9" w:lineRule="exact"/>
        <w:rPr>
          <w:rFonts w:ascii="Arial" w:cs="Arial" w:eastAsia="Arial" w:hAnsi="Arial"/>
          <w:sz w:val="18"/>
          <w:szCs w:val="18"/>
          <w:color w:val="0000EE"/>
        </w:rPr>
      </w:pPr>
    </w:p>
    <w:p>
      <w:pPr>
        <w:ind w:left="5500" w:hanging="438"/>
        <w:spacing w:after="0"/>
        <w:tabs>
          <w:tab w:leader="none" w:pos="5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879-5000</w:t>
      </w:r>
    </w:p>
    <w:p>
      <w:pPr>
        <w:spacing w:after="0" w:line="9"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211" w:lineRule="exact"/>
        <w:rPr>
          <w:rFonts w:ascii="Arial" w:cs="Arial" w:eastAsia="Arial" w:hAnsi="Arial"/>
          <w:sz w:val="18"/>
          <w:szCs w:val="18"/>
          <w:color w:val="0000EE"/>
        </w:rPr>
      </w:pPr>
    </w:p>
    <w:p>
      <w:pPr>
        <w:jc w:val="both"/>
        <w:ind w:left="120" w:right="40" w:firstLine="440"/>
        <w:spacing w:after="0" w:line="277" w:lineRule="auto"/>
        <w:rPr>
          <w:sz w:val="20"/>
          <w:szCs w:val="20"/>
          <w:color w:val="auto"/>
        </w:rPr>
      </w:pPr>
      <w:r>
        <w:rPr>
          <w:rFonts w:ascii="Arial" w:cs="Arial" w:eastAsia="Arial" w:hAnsi="Arial"/>
          <w:sz w:val="18"/>
          <w:szCs w:val="18"/>
          <w:color w:val="auto"/>
        </w:rPr>
        <w:t>You can also find these filings on our website at www.fiserv.com. We are not incorporating the information on our website other than these filings into this prospectus.</w:t>
      </w:r>
    </w:p>
    <w:p>
      <w:pPr>
        <w:spacing w:after="0" w:line="170" w:lineRule="exact"/>
        <w:rPr>
          <w:rFonts w:ascii="Arial" w:cs="Arial" w:eastAsia="Arial" w:hAnsi="Arial"/>
          <w:sz w:val="18"/>
          <w:szCs w:val="18"/>
          <w:color w:val="0000EE"/>
        </w:rPr>
      </w:pPr>
    </w:p>
    <w:p>
      <w:pPr>
        <w:jc w:val="both"/>
        <w:ind w:left="120" w:right="4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respective date of such documents. Our business, financial condition, results of operations and prospects may have changed since that date.</w:t>
      </w:r>
    </w:p>
    <w:p>
      <w:pPr>
        <w:spacing w:after="0" w:line="81"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validity of the securities offered by this prospectus will be passed upon for us by Foley &amp; Lardner LLP. The validity of the securities offered by this prospectus will be passed upon for any underwriters or agents by counsel named in the applicable prospectus supplement.</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consolidated financial statements incorporated in this prospectus by reference to Fiserv, Inc.’s Annual Report on Form 10-K for the year ended December 31, 2017 and the effectiveness of Fiserv, Inc.’s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320" w:top="459" w:right="5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174625</wp:posOffset>
            </wp:positionV>
            <wp:extent cx="61722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6172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Sole Bookrunner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KKR</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Lead Manager and Settlement Agent</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BTIG</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Co-Managers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Academy Securities</w:t>
            </w:r>
          </w:p>
        </w:tc>
        <w:tc>
          <w:tcPr>
            <w:tcW w:w="22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AmeriVet Securities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Bancroft Capital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Blaylock Van, LLC</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Cabrera Capital</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CastleOak</w:t>
            </w:r>
          </w:p>
        </w:tc>
      </w:tr>
      <w:tr>
        <w:trPr>
          <w:trHeight w:val="216"/>
        </w:trPr>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8"/>
              </w:rPr>
              <w:t>Markets LLC</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85"/>
              </w:rPr>
              <w:t>Securities,</w:t>
            </w:r>
          </w:p>
        </w:tc>
      </w:tr>
      <w:tr>
        <w:trPr>
          <w:trHeight w:val="234"/>
        </w:trPr>
        <w:tc>
          <w:tcPr>
            <w:tcW w:w="2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L.P.</w:t>
            </w:r>
          </w:p>
        </w:tc>
      </w:tr>
      <w:tr>
        <w:trPr>
          <w:trHeight w:val="30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C.L. King &amp; Associates</w:t>
            </w:r>
          </w:p>
        </w:tc>
        <w:tc>
          <w:tcPr>
            <w:tcW w:w="22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Guzman &amp; Company</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Loop Capital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3"/>
              </w:rPr>
              <w:t>Mischler Financial</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Ramirez &amp; Co., Inc.</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 Seelaus &amp;</w:t>
            </w:r>
          </w:p>
        </w:tc>
      </w:tr>
      <w:tr>
        <w:trPr>
          <w:trHeight w:val="216"/>
        </w:trPr>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Markets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Group, Inc.</w:t>
            </w:r>
          </w:p>
        </w:tc>
        <w:tc>
          <w:tcPr>
            <w:tcW w:w="1860" w:type="dxa"/>
            <w:vAlign w:val="bottom"/>
          </w:tcPr>
          <w:p>
            <w:pPr>
              <w:spacing w:after="0"/>
              <w:rPr>
                <w:sz w:val="18"/>
                <w:szCs w:val="18"/>
                <w:color w:val="auto"/>
              </w:rPr>
            </w:pP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Co., LLC</w:t>
            </w:r>
          </w:p>
        </w:tc>
      </w:t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Roberts &amp; Ryan</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Siebert Williams Shank</w:t>
            </w:r>
          </w:p>
        </w:tc>
        <w:tc>
          <w:tcPr>
            <w:tcW w:w="3620" w:type="dxa"/>
            <w:vAlign w:val="bottom"/>
            <w:gridSpan w:val="2"/>
          </w:tcPr>
          <w:p>
            <w:pPr>
              <w:ind w:left="1200"/>
              <w:spacing w:after="0"/>
              <w:rPr>
                <w:sz w:val="20"/>
                <w:szCs w:val="20"/>
                <w:color w:val="auto"/>
              </w:rPr>
            </w:pPr>
            <w:r>
              <w:rPr>
                <w:rFonts w:ascii="Arial" w:cs="Arial" w:eastAsia="Arial" w:hAnsi="Arial"/>
                <w:sz w:val="18"/>
                <w:szCs w:val="18"/>
                <w:b w:val="1"/>
                <w:bCs w:val="1"/>
                <w:color w:val="auto"/>
              </w:rPr>
              <w:t>Telsey Advisory Group</w:t>
            </w:r>
          </w:p>
        </w:tc>
        <w:tc>
          <w:tcPr>
            <w:tcW w:w="2980" w:type="dxa"/>
            <w:vAlign w:val="bottom"/>
            <w:gridSpan w:val="2"/>
          </w:tcPr>
          <w:p>
            <w:pPr>
              <w:ind w:left="800"/>
              <w:spacing w:after="0"/>
              <w:rPr>
                <w:sz w:val="20"/>
                <w:szCs w:val="20"/>
                <w:color w:val="auto"/>
              </w:rPr>
            </w:pPr>
            <w:r>
              <w:rPr>
                <w:rFonts w:ascii="Arial" w:cs="Arial" w:eastAsia="Arial" w:hAnsi="Arial"/>
                <w:sz w:val="18"/>
                <w:szCs w:val="18"/>
                <w:b w:val="1"/>
                <w:bCs w:val="1"/>
                <w:color w:val="auto"/>
                <w:w w:val="95"/>
              </w:rPr>
              <w:t>Tigress Financial Partners</w:t>
            </w:r>
          </w:p>
        </w:tc>
      </w:tr>
    </w:tbl>
    <w:p>
      <w:pPr>
        <w:spacing w:after="0" w:line="200" w:lineRule="exact"/>
        <w:rPr>
          <w:sz w:val="20"/>
          <w:szCs w:val="20"/>
          <w:color w:val="auto"/>
        </w:rPr>
      </w:pPr>
    </w:p>
    <w:p>
      <w:pPr>
        <w:sectPr>
          <w:pgSz w:w="11900" w:h="16838" w:orient="portrait"/>
          <w:cols w:equalWidth="0" w:num="1">
            <w:col w:w="11120"/>
          </w:cols>
          <w:pgMar w:left="320" w:top="459" w:right="459"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August 18, 2020</w:t>
      </w:r>
    </w:p>
    <w:p>
      <w:pPr>
        <w:sectPr>
          <w:pgSz w:w="11900" w:h="16838" w:orient="portrait"/>
          <w:cols w:equalWidth="0" w:num="1">
            <w:col w:w="11120"/>
          </w:cols>
          <w:pgMar w:left="320" w:top="459" w:right="459" w:bottom="227" w:gutter="0" w:footer="0" w:header="0"/>
          <w:type w:val="continuous"/>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526415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586105</wp:posOffset>
            </wp:positionV>
            <wp:extent cx="699516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262"/>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lvl w:ilvl="1">
      <w:lvlJc w:val="left"/>
      <w:lvlText w:val="(%2)"/>
      <w:numFmt w:val="lowerRoman"/>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lvl w:ilvl="1">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lvl w:ilvl="1">
      <w:lvlJc w:val="left"/>
      <w:lvlText w:val="-"/>
      <w:numFmt w:val="bullet"/>
      <w:start w:val="1"/>
    </w:lvl>
  </w:abstractNum>
  <w:abstractNum w:abstractNumId="23">
    <w:nsid w:val="7C3DBD3D"/>
    <w:multiLevelType w:val="hybridMultilevel"/>
    <w:lvl w:ilvl="0">
      <w:lvlJc w:val="left"/>
      <w:lvlText w:val="(%1)"/>
      <w:numFmt w:val="decimal"/>
      <w:start w:val="5"/>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lvl w:ilvl="1">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jpe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jpe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9" Type="http://schemas.openxmlformats.org/officeDocument/2006/relationships/hyperlink" Target="http://www.sec.gov/ix?doc=/Archives/edgar/data/798354/000079835420000006/fisv1231201910-k.htm" TargetMode="External"/><Relationship Id="rId20" Type="http://schemas.openxmlformats.org/officeDocument/2006/relationships/hyperlink" Target="http://www.sec.gov/ix?doc=/Archives/edgar/data/798354/000079835420000013/fisv0331202010-q.htm" TargetMode="External"/><Relationship Id="rId21" Type="http://schemas.openxmlformats.org/officeDocument/2006/relationships/hyperlink" Target="http://www.sec.gov/ix?doc=/Archives/edgar/data/798354/000079835420000020/fisv0630202010-q.htm" TargetMode="External"/><Relationship Id="rId22" Type="http://schemas.openxmlformats.org/officeDocument/2006/relationships/hyperlink" Target="http://www.sec.gov/Archives/edgar/data/798354/000119312519168740/d747718d8k.htm" TargetMode="External"/><Relationship Id="rId23" Type="http://schemas.openxmlformats.org/officeDocument/2006/relationships/hyperlink" Target="http://www.sec.gov/Archives/edgar/data/798354/000119312519168740/d747718dex231.htm" TargetMode="External"/><Relationship Id="rId24" Type="http://schemas.openxmlformats.org/officeDocument/2006/relationships/hyperlink" Target="http://www.sec.gov/Archives/edgar/data/798354/000119312519168740/d747718dex991.htm" TargetMode="External"/><Relationship Id="rId25" Type="http://schemas.openxmlformats.org/officeDocument/2006/relationships/hyperlink" Target="http://www.sec.gov/ix?doc=/Archives/edgar/data/798354/000119312519205574/d780843d8k.htm" TargetMode="External"/><Relationship Id="rId26" Type="http://schemas.openxmlformats.org/officeDocument/2006/relationships/hyperlink" Target="http://www.sec.gov/Archives/edgar/data/798354/000119312519205574/d780843dex232.htm" TargetMode="External"/><Relationship Id="rId27" Type="http://schemas.openxmlformats.org/officeDocument/2006/relationships/hyperlink" Target="http://www.sec.gov/Archives/edgar/data/798354/000119312519205574/d780843dex994.htm" TargetMode="External"/><Relationship Id="rId28" Type="http://schemas.openxmlformats.org/officeDocument/2006/relationships/hyperlink" Target="http://www.sec.gov/Archives/edgar/data/798354/000119312519205574/d780843dex995.htm" TargetMode="External"/><Relationship Id="rId29" Type="http://schemas.openxmlformats.org/officeDocument/2006/relationships/hyperlink" Target="http://www.sec.gov/ix?doc=/Archives/edgar/data/798354/000119312520038448/d856005d8k.htm" TargetMode="External"/><Relationship Id="rId30" Type="http://schemas.openxmlformats.org/officeDocument/2006/relationships/hyperlink" Target="http://www.sec.gov/ix?doc=/Archives/edgar/data/798354/000119312520083844/d901988d8k.htm" TargetMode="External"/><Relationship Id="rId31" Type="http://schemas.openxmlformats.org/officeDocument/2006/relationships/hyperlink" Target="http://www.sec.gov/ix?doc=/Archives/edgar/data/798354/000079835420000009/segmentrealignmentsupp.htm" TargetMode="External"/><Relationship Id="rId32" Type="http://schemas.openxmlformats.org/officeDocument/2006/relationships/hyperlink" Target="http://www.sec.gov/ix?doc=/Archives/edgar/data/798354/000119312520103974/d889670d8k.htm" TargetMode="External"/><Relationship Id="rId33" Type="http://schemas.openxmlformats.org/officeDocument/2006/relationships/hyperlink" Target="http://www.sec.gov/ix?doc=/Archives/edgar/data/798354/000119312520141688/d930141d8k.htm" TargetMode="External"/><Relationship Id="rId34" Type="http://schemas.openxmlformats.org/officeDocument/2006/relationships/hyperlink" Target="http://www.sec.gov/ix?doc=/Archives/edgar/data/798354/000119312520144033/d920401d8k.htm" TargetMode="External"/><Relationship Id="rId35" Type="http://schemas.openxmlformats.org/officeDocument/2006/relationships/hyperlink" Target="http://www.sec.gov/ix?doc=/Archives/edgar/data/798354/000119312520174255/d940767d8k.htm" TargetMode="External"/><Relationship Id="rId36" Type="http://schemas.openxmlformats.org/officeDocument/2006/relationships/hyperlink" Target="http://www.sec.gov/ix?doc=/Archives/edgar/data/798354/000079835420000018/q2-20earningsform8xk.htm" TargetMode="External"/><Relationship Id="rId37" Type="http://schemas.openxmlformats.org/officeDocument/2006/relationships/hyperlink" Target="http://www.sec.gov/Archives/edgar/data/798354/000119312520094642/d873092ddef14a.htm" TargetMode="External"/><Relationship Id="rId38" Type="http://schemas.openxmlformats.org/officeDocument/2006/relationships/hyperlink" Target="http://www.sec.gov/Archives/edgar/data/798354/000119312520137692/d927474ddefa14a.htm" TargetMode="External"/><Relationship Id="rId92" Type="http://schemas.openxmlformats.org/officeDocument/2006/relationships/hyperlink" Target="http://www.sec.gov/Archives/edgar/data/798354/000079835418000005/fisv1231201710-k.htm" TargetMode="External"/><Relationship Id="rId93" Type="http://schemas.openxmlformats.org/officeDocument/2006/relationships/hyperlink" Target="http://www.sec.gov/Archives/edgar/data/798354/000079835418000009/fisv0331201810-q.htm" TargetMode="External"/><Relationship Id="rId94" Type="http://schemas.openxmlformats.org/officeDocument/2006/relationships/hyperlink" Target="http://www.sec.gov/Archives/edgar/data/798354/000079835418000017/fisv0630201810-q.htm" TargetMode="External"/><Relationship Id="rId95" Type="http://schemas.openxmlformats.org/officeDocument/2006/relationships/hyperlink" Target="http://www.sec.gov/Archives/edgar/data/798354/000119312518061085/d640937d8k.htm" TargetMode="External"/><Relationship Id="rId96" Type="http://schemas.openxmlformats.org/officeDocument/2006/relationships/hyperlink" Target="http://www.sec.gov/Archives/edgar/data/798354/000119312518104904/d536689d8k.htm" TargetMode="External"/><Relationship Id="rId97" Type="http://schemas.openxmlformats.org/officeDocument/2006/relationships/hyperlink" Target="http://www.sec.gov/Archives/edgar/data/798354/000079835418000011/fiserv2018annualmeeting8-k.htm" TargetMode="External"/><Relationship Id="rId98" Type="http://schemas.openxmlformats.org/officeDocument/2006/relationships/hyperlink" Target="http://www.sec.gov/Archives/edgar/data/798354/000119312518278050/d621931d8k.htm" TargetMode="External"/><Relationship Id="rId99" Type="http://schemas.openxmlformats.org/officeDocument/2006/relationships/hyperlink" Target="http://www.sec.gov/Archives/edgar/data/798354/000119312518278051/d626570d8k.htm" TargetMode="External"/><Relationship Id="rId100" Type="http://schemas.openxmlformats.org/officeDocument/2006/relationships/hyperlink" Target="http://www.sec.gov/Archives/edgar/data/798354/0000950131-98-00130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2020-08-20T15:32:03Z</dcterms:created>
  <dcterms:modified xsi:type="dcterms:W3CDTF">2020-08-20T15:32:03Z</dcterms:modified>
</cp:coreProperties>
</file>