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Ratings*: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Format: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 (T+3):</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 / Yield:</w:t>
      </w:r>
    </w:p>
    <w:p>
      <w:pPr>
        <w:spacing w:after="0" w:line="140" w:lineRule="exact"/>
        <w:rPr>
          <w:sz w:val="24"/>
          <w:szCs w:val="24"/>
          <w:color w:val="auto"/>
        </w:rPr>
      </w:pPr>
    </w:p>
    <w:p>
      <w:pPr>
        <w:spacing w:after="0"/>
        <w:rPr>
          <w:sz w:val="20"/>
          <w:szCs w:val="20"/>
          <w:color w:val="auto"/>
        </w:rPr>
      </w:pPr>
      <w:r>
        <w:rPr>
          <w:rFonts w:ascii="Arial" w:cs="Arial" w:eastAsia="Arial" w:hAnsi="Arial"/>
          <w:sz w:val="17"/>
          <w:szCs w:val="17"/>
          <w:color w:val="auto"/>
        </w:rPr>
        <w:t>Spread to Benchmark Treasury:</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color w:val="auto"/>
        </w:rPr>
        <w:t>Minimum Denominations: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CUSIP / ISIN:</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333-227436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20, 2018</w:t>
      </w:r>
    </w:p>
    <w:p>
      <w:pPr>
        <w:spacing w:after="0" w:line="200" w:lineRule="exact"/>
        <w:rPr>
          <w:sz w:val="24"/>
          <w:szCs w:val="24"/>
          <w:color w:val="auto"/>
        </w:rPr>
      </w:pPr>
    </w:p>
    <w:p>
      <w:pPr>
        <w:spacing w:after="0" w:line="237" w:lineRule="exact"/>
        <w:rPr>
          <w:sz w:val="24"/>
          <w:szCs w:val="24"/>
          <w:color w:val="auto"/>
        </w:rPr>
      </w:pPr>
    </w:p>
    <w:p>
      <w:pPr>
        <w:jc w:val="center"/>
        <w:ind w:right="3200"/>
        <w:spacing w:after="0"/>
        <w:rPr>
          <w:sz w:val="20"/>
          <w:szCs w:val="20"/>
          <w:color w:val="auto"/>
        </w:rPr>
      </w:pPr>
      <w:r>
        <w:rPr>
          <w:rFonts w:ascii="Arial" w:cs="Arial" w:eastAsia="Arial" w:hAnsi="Arial"/>
          <w:sz w:val="18"/>
          <w:szCs w:val="18"/>
          <w:b w:val="1"/>
          <w:bCs w:val="1"/>
          <w:color w:val="auto"/>
        </w:rPr>
        <w:t>Final Term Sheet</w:t>
      </w:r>
    </w:p>
    <w:p>
      <w:pPr>
        <w:spacing w:after="0" w:line="225" w:lineRule="exact"/>
        <w:rPr>
          <w:sz w:val="24"/>
          <w:szCs w:val="24"/>
          <w:color w:val="auto"/>
        </w:rPr>
      </w:pPr>
    </w:p>
    <w:p>
      <w:pPr>
        <w:jc w:val="center"/>
        <w:ind w:right="3200"/>
        <w:spacing w:after="0"/>
        <w:rPr>
          <w:sz w:val="20"/>
          <w:szCs w:val="20"/>
          <w:color w:val="auto"/>
        </w:rPr>
      </w:pPr>
      <w:r>
        <w:rPr>
          <w:rFonts w:ascii="Arial" w:cs="Arial" w:eastAsia="Arial" w:hAnsi="Arial"/>
          <w:sz w:val="18"/>
          <w:szCs w:val="18"/>
          <w:b w:val="1"/>
          <w:bCs w:val="1"/>
          <w:color w:val="auto"/>
        </w:rPr>
        <w:t>Fiserv, Inc.</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$1,000,000,000 3.800% Senior Notes Due October 1, 2023</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$1,000,000,000 4.200% Senior Notes Due October 1, 2028</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Fiserv, Inc.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Baa2 (stable) by Moody’s and BBB (stable) by S&amp;P</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 Registered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September 20, 2018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September 25, 2018</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3.800% Notes due 2023</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$1,000,000,000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October 1, 2023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April 1 and October 1 of each year, beginning April 1,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UST 2.750% due August 31, 2023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99-01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xml:space="preserve"> / 2.960%</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T+85 bps</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3.810%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3.800%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99.954% of the principal amount</w:t>
      </w:r>
    </w:p>
    <w:p>
      <w:pPr>
        <w:spacing w:after="0" w:line="117"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At any time prior to September 1, 2023, Make-Whole Call as set forth in the preliminary prospectus supplement (T+15 bps). At any time on or after September 1, 2023, at 100% of the principal amount plus accrued and unpaid interest to, but not including, the redemption date as set forth in the preliminary prospectus supplement.</w:t>
      </w:r>
    </w:p>
    <w:p>
      <w:pPr>
        <w:spacing w:after="0" w:line="79" w:lineRule="exact"/>
        <w:rPr>
          <w:sz w:val="24"/>
          <w:szCs w:val="24"/>
          <w:color w:val="auto"/>
        </w:rPr>
      </w:pPr>
    </w:p>
    <w:p>
      <w:pPr>
        <w:ind w:right="3480"/>
        <w:spacing w:after="0" w:line="402" w:lineRule="auto"/>
        <w:rPr>
          <w:sz w:val="20"/>
          <w:szCs w:val="20"/>
          <w:color w:val="auto"/>
        </w:rPr>
      </w:pPr>
      <w:r>
        <w:rPr>
          <w:rFonts w:ascii="Arial" w:cs="Arial" w:eastAsia="Arial" w:hAnsi="Arial"/>
          <w:sz w:val="18"/>
          <w:szCs w:val="18"/>
          <w:color w:val="auto"/>
        </w:rPr>
        <w:t>$2,000 and any integral multiple of $1,000 in excess thereof 337738 AQ1 / US337738AQ13</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4.200% Notes due 2028</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$1,000,000,000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October 1, 2028</w:t>
      </w:r>
    </w:p>
    <w:p>
      <w:pPr>
        <w:sectPr>
          <w:pgSz w:w="11900" w:h="16838" w:orient="portrait"/>
          <w:cols w:equalWidth="0" w:num="2">
            <w:col w:w="2500" w:space="700"/>
            <w:col w:w="78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jc w:val="center"/>
        <w:ind w:right="2500"/>
        <w:spacing w:after="0"/>
        <w:rPr>
          <w:sz w:val="20"/>
          <w:szCs w:val="20"/>
          <w:color w:val="auto"/>
        </w:rPr>
      </w:pPr>
      <w:r>
        <w:rPr>
          <w:rFonts w:ascii="Arial" w:cs="Arial" w:eastAsia="Arial" w:hAnsi="Arial"/>
          <w:sz w:val="16"/>
          <w:szCs w:val="16"/>
          <w:color w:val="auto"/>
        </w:rPr>
        <w:t>April 1 and October 1 of each year, beginning 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-269875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460" w:space="720"/>
            <w:col w:w="6820"/>
          </w:cols>
          <w:pgMar w:left="440" w:top="382" w:right="459" w:bottom="1440" w:gutter="0" w:footer="0" w:header="0"/>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UST 2.875% due August 15, 2028</w:t>
      </w:r>
    </w:p>
    <w:p>
      <w:pPr>
        <w:spacing w:after="0" w:line="140"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 /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98-10 / 3.074%</w:t>
      </w:r>
    </w:p>
    <w:p>
      <w:pPr>
        <w:spacing w:after="0" w:line="140"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T+115 bps</w:t>
      </w:r>
    </w:p>
    <w:p>
      <w:pPr>
        <w:spacing w:after="0" w:line="151"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4.224%</w:t>
      </w:r>
    </w:p>
    <w:p>
      <w:pPr>
        <w:spacing w:after="0" w:line="140"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Coupon: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4.200%</w:t>
      </w:r>
    </w:p>
    <w:p>
      <w:pPr>
        <w:spacing w:after="0" w:line="140"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99.805% of the principal amount</w:t>
      </w:r>
    </w:p>
    <w:p>
      <w:pPr>
        <w:spacing w:after="0" w:line="140"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At any time prior to July 1, 2028, Make-Whole Call as set forth in the preliminary prospectus supplement (T+20 bps). At any time on or after July 1, 2028, at 100% of the principal amount plus accrued and unpaid interest to, but not including, the redemption date as set forth in the preliminary prospectus supplement.</w:t>
      </w:r>
    </w:p>
    <w:p>
      <w:pPr>
        <w:spacing w:after="0" w:line="79"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rPr>
          <w:sz w:val="20"/>
          <w:szCs w:val="20"/>
          <w:color w:val="auto"/>
        </w:rPr>
      </w:pPr>
      <w:r>
        <w:rPr>
          <w:rFonts w:ascii="Arial" w:cs="Arial" w:eastAsia="Arial" w:hAnsi="Arial"/>
          <w:sz w:val="17"/>
          <w:szCs w:val="17"/>
          <w:color w:val="auto"/>
        </w:rPr>
        <w:t>Minimum Denominations:</w:t>
      </w:r>
    </w:p>
    <w:p>
      <w:pPr>
        <w:spacing w:after="0" w:line="20" w:lineRule="exact"/>
        <w:rPr>
          <w:sz w:val="20"/>
          <w:szCs w:val="20"/>
          <w:color w:val="auto"/>
        </w:rPr>
      </w:pPr>
      <w:r>
        <w:rPr>
          <w:sz w:val="20"/>
          <w:szCs w:val="20"/>
          <w:color w:val="auto"/>
        </w:rPr>
        <w:br w:type="column"/>
      </w:r>
    </w:p>
    <w:p>
      <w:pPr>
        <w:jc w:val="center"/>
        <w:ind w:right="2480"/>
        <w:spacing w:after="0"/>
        <w:rPr>
          <w:sz w:val="20"/>
          <w:szCs w:val="20"/>
          <w:color w:val="auto"/>
        </w:rPr>
      </w:pPr>
      <w:r>
        <w:rPr>
          <w:rFonts w:ascii="Arial" w:cs="Arial" w:eastAsia="Arial" w:hAnsi="Arial"/>
          <w:sz w:val="16"/>
          <w:szCs w:val="16"/>
          <w:color w:val="auto"/>
        </w:rPr>
        <w:t>$2,000 and any integral multiple of $1,000 in excess thereof</w:t>
      </w:r>
    </w:p>
    <w:p>
      <w:pPr>
        <w:spacing w:after="0" w:line="140"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337738 AR9 / US337738AR95</w:t>
      </w:r>
    </w:p>
    <w:p>
      <w:pPr>
        <w:spacing w:after="0" w:line="211"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line="6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0"/>
          </w:cols>
          <w:pgMar w:left="440" w:top="382" w:right="45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128"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Citizens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BB&amp;T Capital Markets, a division of BB&amp;T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Williams Capital Group,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Huntington Investment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Samuel A. Ramirez &amp; Company, Inc.</w:t>
      </w:r>
    </w:p>
    <w:p>
      <w:pPr>
        <w:spacing w:after="0" w:line="200" w:lineRule="exact"/>
        <w:rPr>
          <w:sz w:val="20"/>
          <w:szCs w:val="20"/>
          <w:color w:val="auto"/>
        </w:rPr>
      </w:pPr>
    </w:p>
    <w:p>
      <w:pPr>
        <w:sectPr>
          <w:pgSz w:w="11900" w:h="16838" w:orient="portrait"/>
          <w:cols w:equalWidth="0" w:num="2">
            <w:col w:w="3460" w:space="720"/>
            <w:col w:w="6820"/>
          </w:cols>
          <w:pgMar w:left="440" w:top="382" w:right="4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and a preliminary prospectus supplement with the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and preliminary prospectus supplement if you request it by calling Wells Fargo Securities, LLC toll-free at 1-800-645-3751 or by email to </w:t>
      </w:r>
      <w:r>
        <w:rPr>
          <w:rFonts w:ascii="Arial" w:cs="Arial" w:eastAsia="Arial" w:hAnsi="Arial"/>
          <w:sz w:val="18"/>
          <w:szCs w:val="18"/>
          <w:u w:val="single" w:color="auto"/>
          <w:color w:val="auto"/>
        </w:rPr>
        <w:t>wfscustomerservice@wellsfargo.com</w:t>
      </w:r>
      <w:r>
        <w:rPr>
          <w:rFonts w:ascii="Arial" w:cs="Arial" w:eastAsia="Arial" w:hAnsi="Arial"/>
          <w:sz w:val="18"/>
          <w:szCs w:val="18"/>
          <w:color w:val="auto"/>
        </w:rPr>
        <w:t xml:space="preserve"> or U.S. Bancorp Investments, Inc. toll-free at 1-877-558-2607.</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382"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2019-12-05T16:35:24Z</dcterms:created>
  <dcterms:modified xsi:type="dcterms:W3CDTF">2019-12-05T16:35:24Z</dcterms:modified>
</cp:coreProperties>
</file>