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51435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121920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6" w:lineRule="exact"/>
        <w:rPr>
          <w:sz w:val="24"/>
          <w:szCs w:val="24"/>
          <w:color w:val="auto"/>
        </w:rPr>
      </w:pPr>
    </w:p>
    <w:p>
      <w:pPr>
        <w:ind w:left="660" w:right="200" w:hanging="634"/>
        <w:spacing w:after="0" w:line="219" w:lineRule="auto"/>
        <w:tabs>
          <w:tab w:leader="none" w:pos="660" w:val="left"/>
        </w:tabs>
        <w:numPr>
          <w:ilvl w:val="0"/>
          <w:numId w:val="1"/>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60" w:right="180" w:hanging="634"/>
        <w:spacing w:after="0" w:line="219" w:lineRule="auto"/>
        <w:tabs>
          <w:tab w:leader="none" w:pos="660" w:val="left"/>
        </w:tabs>
        <w:numPr>
          <w:ilvl w:val="0"/>
          <w:numId w:val="2"/>
        </w:numPr>
        <w:rPr>
          <w:rFonts w:ascii="MS PGothic" w:cs="MS PGothic" w:eastAsia="MS PGothic" w:hAnsi="MS PGothic"/>
          <w:sz w:val="29"/>
          <w:szCs w:val="29"/>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7" w:lineRule="exact"/>
        <w:rPr>
          <w:sz w:val="24"/>
          <w:szCs w:val="24"/>
          <w:color w:val="auto"/>
        </w:rPr>
      </w:pPr>
    </w:p>
    <w:tbl>
      <w:tblPr>
        <w:tblLayout w:type="fixed"/>
        <w:tblInd w:w="1720" w:type="dxa"/>
        <w:tblCellMar>
          <w:top w:w="0" w:type="dxa"/>
          <w:left w:w="0" w:type="dxa"/>
          <w:bottom w:w="0" w:type="dxa"/>
          <w:right w:w="0" w:type="dxa"/>
        </w:tblCellMar>
      </w:tblPr>
      <w:tr>
        <w:trPr>
          <w:trHeight w:val="227"/>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40" w:type="dxa"/>
            <w:vAlign w:val="bottom"/>
          </w:tcPr>
          <w:p>
            <w:pPr>
              <w:jc w:val="center"/>
              <w:ind w:left="1942"/>
              <w:spacing w:after="0" w:line="149" w:lineRule="exact"/>
              <w:rPr>
                <w:sz w:val="20"/>
                <w:szCs w:val="20"/>
                <w:color w:val="auto"/>
              </w:rPr>
            </w:pPr>
            <w:r>
              <w:rPr>
                <w:rFonts w:ascii="Times New Roman" w:cs="Times New Roman" w:eastAsia="Times New Roman" w:hAnsi="Times New Roman"/>
                <w:sz w:val="14"/>
                <w:szCs w:val="14"/>
                <w:b w:val="1"/>
                <w:bCs w:val="1"/>
                <w:color w:val="auto"/>
              </w:rPr>
              <w:t>(I. R. S. Employer</w:t>
            </w:r>
          </w:p>
        </w:tc>
      </w:tr>
      <w:tr>
        <w:trPr>
          <w:trHeight w:val="190"/>
        </w:trPr>
        <w:tc>
          <w:tcPr>
            <w:tcW w:w="396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5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600 N. Vel R. Phillips Avenue, Milwaukee, WI 53203</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6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2.250% Senior Notes due 2025</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36" w:lineRule="exact"/>
        <w:rPr>
          <w:sz w:val="24"/>
          <w:szCs w:val="24"/>
          <w:color w:val="auto"/>
        </w:rPr>
      </w:pPr>
    </w:p>
    <w:p>
      <w:pPr>
        <w:ind w:right="1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304165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329565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29"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7"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9"/>
          <w:szCs w:val="19"/>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18, 2025, there were 554,433,824 shares of common stock, $0.01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334645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360045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2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530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1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00" w:type="dxa"/>
            <w:vAlign w:val="bottom"/>
            <w:gridSpan w:val="2"/>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4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4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20" w:type="dxa"/>
            <w:vAlign w:val="bottom"/>
            <w:tcBorders>
              <w:top w:val="single" w:sz="8" w:color="0000FF"/>
            </w:tcBorders>
          </w:tcPr>
          <w:p>
            <w:pPr>
              <w:spacing w:after="0"/>
              <w:rPr>
                <w:sz w:val="24"/>
                <w:szCs w:val="24"/>
                <w:color w:val="auto"/>
              </w:rPr>
            </w:pPr>
          </w:p>
        </w:tc>
        <w:tc>
          <w:tcPr>
            <w:tcW w:w="760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tcBorders>
              <w:top w:val="single" w:sz="8" w:color="0000FF"/>
            </w:tcBorders>
            <w:gridSpan w:val="10"/>
          </w:tcPr>
          <w:p>
            <w:pPr>
              <w:spacing w:after="0"/>
              <w:rPr>
                <w:sz w:val="18"/>
                <w:szCs w:val="18"/>
                <w:color w:val="auto"/>
              </w:rPr>
            </w:pPr>
          </w:p>
        </w:tc>
        <w:tc>
          <w:tcPr>
            <w:tcW w:w="502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4"/>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(Unaudited)</w:t>
      </w:r>
    </w:p>
    <w:p>
      <w:pPr>
        <w:spacing w:after="0" w:line="253"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76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76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Processing and services </w:t>
            </w:r>
            <w:r>
              <w:rPr>
                <w:rFonts w:ascii="Times New Roman" w:cs="Times New Roman" w:eastAsia="Times New Roman" w:hAnsi="Times New Roman"/>
                <w:sz w:val="21"/>
                <w:szCs w:val="21"/>
                <w:color w:val="auto"/>
                <w:vertAlign w:val="superscript"/>
              </w:rPr>
              <w:t>(1)</w:t>
            </w:r>
          </w:p>
        </w:tc>
        <w:tc>
          <w:tcPr>
            <w:tcW w:w="110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6"/>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Product</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07"/>
        </w:trPr>
        <w:tc>
          <w:tcPr>
            <w:tcW w:w="7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revenue</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w:t>
            </w:r>
          </w:p>
        </w:tc>
      </w:tr>
      <w:tr>
        <w:trPr>
          <w:trHeight w:val="19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product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3"/>
        </w:trPr>
        <w:tc>
          <w:tcPr>
            <w:tcW w:w="7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gain on sale of other assets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6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expenses</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3,702</w:t>
            </w:r>
          </w:p>
        </w:tc>
      </w:tr>
      <w:tr>
        <w:trPr>
          <w:trHeight w:val="21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 and loss from investments in unconsolidated affiliates</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3"/>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from investments in unconsolidated affiliates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13"/>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 and redeemable noncontrolling interest</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Fiserv, Inc.</w:t>
            </w:r>
          </w:p>
        </w:tc>
        <w:tc>
          <w:tcPr>
            <w:tcW w:w="110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Fiserv, Inc. per share: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10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10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70"/>
        </w:trPr>
        <w:tc>
          <w:tcPr>
            <w:tcW w:w="7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net income attributable to Fiserv, Inc. per share: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590.9</w:t>
            </w: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w:t>
            </w:r>
          </w:p>
        </w:tc>
      </w:tr>
    </w:tbl>
    <w:p>
      <w:pPr>
        <w:spacing w:after="0" w:line="202" w:lineRule="exact"/>
        <w:rPr>
          <w:sz w:val="20"/>
          <w:szCs w:val="20"/>
          <w:color w:val="auto"/>
        </w:rPr>
      </w:pPr>
    </w:p>
    <w:p>
      <w:pPr>
        <w:ind w:left="660" w:hanging="328"/>
        <w:spacing w:after="0" w:line="225" w:lineRule="auto"/>
        <w:tabs>
          <w:tab w:leader="none" w:pos="64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$36 million and $40 million for the three months ended March 31, 2025 and 2024, respectively (see Note 19).</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76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market value adjustment on derivatives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84"/>
        </w:trPr>
        <w:tc>
          <w:tcPr>
            <w:tcW w:w="76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(gains) on cash flow hedges included in cost of</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processing and services</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84"/>
        </w:trPr>
        <w:tc>
          <w:tcPr>
            <w:tcW w:w="764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 included in net interest</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4"/>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impacts of derivatives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 on defined benefit pension plans (see Note 1)</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impacts of defined benefit pension plans</w:t>
            </w:r>
          </w:p>
        </w:tc>
        <w:tc>
          <w:tcPr>
            <w:tcW w:w="10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7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Tax impacts of foreign currency translation</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 and redeemable noncontrolling interest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6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64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receivable, less allowance for doubtful accounts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36,584</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costs,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80,402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77,176</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64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and current maturities of 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Settlement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15,429</w:t>
            </w:r>
          </w:p>
        </w:tc>
      </w:tr>
      <w:tr>
        <w:trPr>
          <w:trHeight w:val="207"/>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23,730</w:t>
            </w: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3"/>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r>
      <w:tr>
        <w:trPr>
          <w:trHeight w:val="212"/>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49,490</w:t>
            </w:r>
          </w:p>
        </w:tc>
      </w:tr>
      <w:tr>
        <w:trPr>
          <w:trHeight w:val="19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18)</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Fiserv, Inc. Shareholders’ Equity:</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no par value: 25 million shares authorized; none issued</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$0.01 par value: 1,800 million shares authorized; 784 million shares issued</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23,080</w:t>
            </w:r>
          </w:p>
        </w:tc>
      </w:tr>
      <w:tr>
        <w:trPr>
          <w:trHeight w:val="219"/>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r>
      <w:tr>
        <w:trPr>
          <w:trHeight w:val="21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23,575</w:t>
            </w:r>
          </w:p>
        </w:tc>
      </w:tr>
      <w:tr>
        <w:trPr>
          <w:trHeight w:val="21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at cost, 228 million and 220 million shares,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(18,182)</w:t>
            </w:r>
          </w:p>
        </w:tc>
      </w:tr>
      <w:tr>
        <w:trPr>
          <w:trHeight w:val="207"/>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Fiserv, Inc. shareholders’ equity</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27,068</w:t>
            </w:r>
          </w:p>
        </w:tc>
      </w:tr>
      <w:tr>
        <w:trPr>
          <w:trHeight w:val="21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07"/>
        </w:trPr>
        <w:tc>
          <w:tcPr>
            <w:tcW w:w="7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27,686</w:t>
            </w:r>
          </w:p>
        </w:tc>
      </w:tr>
      <w:tr>
        <w:trPr>
          <w:trHeight w:val="235"/>
        </w:trPr>
        <w:tc>
          <w:tcPr>
            <w:tcW w:w="7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Fiserv, Inc.</w:t>
      </w:r>
    </w:p>
    <w:p>
      <w:pPr>
        <w:spacing w:after="0" w:line="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118"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4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other amortization</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gain on sale of other assets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from investments in unconsolidated affiliates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foreign currency exchange loss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7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 and dispositions:</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costs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9"/>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Contract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w:t>
            </w: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including capitalized software and other intangibles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acquisition of businesses, net of cash acquired</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Merchant cash advances, net</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194"/>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proceeds</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repayments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borrowings from (repayments of) commercial paper and short-term borrowings</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debt financing costs</w:t>
            </w:r>
          </w:p>
        </w:tc>
        <w:tc>
          <w:tcPr>
            <w:tcW w:w="10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treasury stock</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 including employee shares withheld for tax obligations</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activity, net</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and redeemable noncontrolling interest</w:t>
            </w:r>
          </w:p>
        </w:tc>
        <w:tc>
          <w:tcPr>
            <w:tcW w:w="10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balance</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w:t>
            </w:r>
          </w:p>
        </w:tc>
      </w:tr>
      <w:tr>
        <w:trPr>
          <w:trHeight w:val="207"/>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ending balance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3,191</w:t>
            </w:r>
          </w:p>
        </w:tc>
      </w:tr>
      <w:tr>
        <w:trPr>
          <w:trHeight w:val="23"/>
        </w:trPr>
        <w:tc>
          <w:tcPr>
            <w:tcW w:w="7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three months ended March 31, 2025 and 2024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maintains a majority controlling financial interest in certain entities, mostly related to consolidated merchant alliances (see Note 19). Noncontrolling interests represent the minority shareholders’ share of the net income or loss and equity in consolidated subsidiaries. The Company’s noncontrolling interests presented in the consolidated statements of income include net income (loss) attributable to noncontrolling interests and, in 2024, redeemable noncontrolling interest. Noncontrolling interests are presented as a component of equity in the consolidated balance sheets. Additional information regarding the Company’s redeemable noncontrolling interest is included in Note 11 to the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that are restricted from use due to contractual or legal restrictions are included in other long-term assets in the consolidated balance sheets. Cash and cash 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17"/>
                <w:szCs w:val="17"/>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91"/>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311"/>
        </w:trPr>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w:t>
            </w:r>
          </w:p>
        </w:tc>
        <w:tc>
          <w:tcPr>
            <w:tcW w:w="2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20" w:type="dxa"/>
            <w:vAlign w:val="bottom"/>
          </w:tcPr>
          <w:p>
            <w:pPr>
              <w:spacing w:after="0"/>
              <w:rPr>
                <w:sz w:val="17"/>
                <w:szCs w:val="17"/>
                <w:color w:val="auto"/>
              </w:rPr>
            </w:pPr>
          </w:p>
        </w:tc>
        <w:tc>
          <w:tcPr>
            <w:tcW w:w="5180" w:type="dxa"/>
            <w:vAlign w:val="bottom"/>
            <w:gridSpan w:val="2"/>
          </w:tcPr>
          <w:p>
            <w:pPr>
              <w:ind w:left="320"/>
              <w:spacing w:after="0" w:line="196" w:lineRule="exact"/>
              <w:rPr>
                <w:sz w:val="20"/>
                <w:szCs w:val="20"/>
                <w:color w:val="auto"/>
              </w:rPr>
            </w:pPr>
            <w:r>
              <w:rPr>
                <w:rFonts w:ascii="Times New Roman" w:cs="Times New Roman" w:eastAsia="Times New Roman" w:hAnsi="Times New Roman"/>
                <w:sz w:val="18"/>
                <w:szCs w:val="18"/>
                <w:color w:val="auto"/>
              </w:rPr>
              <w:t>Total cash and cash equivalents on the consolidated statements of</w:t>
            </w: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cash flows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$70 million and $71 million at March 31, 2025 and December 31, 2024,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 postage and insurance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Total prepaid expenses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Income tax receivables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Clover Capital cash advances, net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advance cash payments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Prepaid expenses represent advance payments for goods and services to be consumed in the future.</w:t>
      </w:r>
    </w:p>
    <w:p>
      <w:pPr>
        <w:spacing w:after="0" w:line="64"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receivables associated with transferable federal tax credits (see Note 15).</w:t>
      </w:r>
    </w:p>
    <w:p>
      <w:pPr>
        <w:spacing w:after="0" w:line="1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offers merchants advance access to capital, primarily through its Clover Capital program. Under this program, merchants sell fixed amounts of their future credit card receivables to the Company in exchange for an up-front purchase price payment. Future credit card receivables purchased by the Company under the Clover Capital program were $414 million and $397 million at March 31, 2025 and December 31, 2024, respectively. The Company maintained a reserve of $18 million and $16 million at March 31, 2025 and December 31, 2024, respectively, based on an estimate of uncollectible amounts.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also offers merchants within its international operations advance access to capital by providing them the opportunity to receive settlement cash payments in advance in exchange for their receivables from card issuers, including when the cardholders have elected to pay over time in installments. These local currency denominated arrangements are primarily associated with the Company’s operations in Latin America, the most significant of which are denominated in Argentine Peso and Brazilian Real.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Assets and Obligations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 of funds among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networks, bank partners, merchants or direct consumers. Settlement obligations represent amounts payable to merchants and payees.</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merchant settlement assets (included within settlement receivables) that relate to settlement obligations are held by partner banks to which the Company does not have legal ownership, but which the Company has the right to use, to satisfy the related settlement obligations. The Company records settlement obligations for amounts payable to merchants and for outstanding payment instruments issued to payees that have not yet been presented for settlement.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Merchant Credit Losses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amount of merchant collateral available to the Company was $576 million and $598 million at March 31, 2025 and December 31, 2024, respectively.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$28 million and $25 million for the three months ended March 31, 2025 and 2024, respectively.</w:t>
      </w:r>
    </w:p>
    <w:p>
      <w:pPr>
        <w:spacing w:after="0" w:line="14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maintains an allowance for merchant credit losses that are expected to exceed the amount of merchant collateral. The allowance includes estimated losses from anticipated chargebacks and fraud events that have been incurred on merchants’ payment transactions that have been processed but not yet reported to the Company, which is recorded within accounts payable and other current liabilities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$40 million at both March 31, 2025 and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operating segments. The Company’s most recent annual impairment assessment of its reporting units in the fourth quarter of 2024 determined that its goodwill was not impaired as the estimated fair values exceeded the carrying values for each of the Company’s reporting units. However, it is reasonably possible that future developments related to the interest or currency exchange rate environments; a shift in strategic initiatives; a deterioration in financial performance within a particular reporting unit; or significant changes in the composition of, or assumptions used in, the quantitative test for certain of the Company’s reporting units (such as an increase in risk-adjusted discount rates) could have a future material impact on one or more of the estimates and assumptions used to evaluate goodwill impairment. There is no accumulated goodwill impairment for the Company through March 31,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 including Argentina, resulted in foreign currency exchange losses of $18 million and $35 million for the three months ended March 31, 2025 and 2024, respectively, which is included within other expense, net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currency-denominated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 Additional information regarding the Company’s derivatives and hedging instruments is included in Note 7 to the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maintained frozen noncontributory defined benefit pension plans covering certain of its employees in the U.S. and United Kingdom (“U.K.”), which were terminated in September 2023. In March 2024, the Company entered into a group annuity insurance contract to provide for the administration of future payments to eligible plan participants of the terminated U.K. plan. In connection with the buy-in of this insurance policy, the plan’s projected benefit obligation was remeasured to the value of the group annuity insurance contract, resulting in an unrecognized loss, net of tax, of approximately $63 million recorded in accumulated other comprehensive loss within the consolidated balance sheet at March 31, 2024.</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Upon the settlement of the terminated plans, which was completed in the fourth quarter of 2024, the Company funded a plan termination liability shortfall for the U.S. defined benefit pension plan of $20 million and recognized a non-cash pre-tax pension settlement charge for the U.S. and U.K. plans of</w:t>
      </w:r>
    </w:p>
    <w:p>
      <w:pPr>
        <w:spacing w:after="0" w:line="427" w:lineRule="auto"/>
        <w:rPr>
          <w:sz w:val="20"/>
          <w:szCs w:val="20"/>
          <w:color w:val="auto"/>
        </w:rPr>
      </w:pPr>
      <w:r>
        <w:rPr>
          <w:rFonts w:ascii="Times New Roman" w:cs="Times New Roman" w:eastAsia="Times New Roman" w:hAnsi="Times New Roman"/>
          <w:sz w:val="18"/>
          <w:szCs w:val="18"/>
          <w:color w:val="auto"/>
        </w:rPr>
        <w:t xml:space="preserve">$147 million. The Company expects to receive a refund, net of excise tax, of approximately $40 million of residual surplus related to the U.K. plan in 2025. </w:t>
      </w:r>
      <w:r>
        <w:rPr>
          <w:rFonts w:ascii="Times New Roman" w:cs="Times New Roman" w:eastAsia="Times New Roman" w:hAnsi="Times New Roman"/>
          <w:sz w:val="18"/>
          <w:szCs w:val="18"/>
          <w:i w:val="1"/>
          <w:iCs w:val="1"/>
          <w:color w:val="auto"/>
        </w:rPr>
        <w:t>Interest Expense, Net</w:t>
      </w:r>
    </w:p>
    <w:p>
      <w:pPr>
        <w:spacing w:after="0" w:line="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1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311"/>
        </w:trPr>
        <w:tc>
          <w:tcPr>
            <w:tcW w:w="20" w:type="dxa"/>
            <w:vAlign w:val="bottom"/>
            <w:tcBorders>
              <w:bottom w:val="single" w:sz="8" w:color="CCEEFF"/>
            </w:tcBorders>
          </w:tcPr>
          <w:p>
            <w:pPr>
              <w:spacing w:after="0"/>
              <w:rPr>
                <w:sz w:val="24"/>
                <w:szCs w:val="24"/>
                <w:color w:val="auto"/>
              </w:rPr>
            </w:pPr>
          </w:p>
        </w:tc>
        <w:tc>
          <w:tcPr>
            <w:tcW w:w="7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 (Topic 280)</w:t>
      </w:r>
    </w:p>
    <w:p>
      <w:pPr>
        <w:spacing w:after="0" w:line="29" w:lineRule="exact"/>
        <w:rPr>
          <w:sz w:val="20"/>
          <w:szCs w:val="20"/>
          <w:color w:val="auto"/>
        </w:rPr>
      </w:pPr>
    </w:p>
    <w:p>
      <w:pPr>
        <w:ind w:right="440" w:firstLine="8"/>
        <w:spacing w:after="0" w:line="253" w:lineRule="auto"/>
        <w:tabs>
          <w:tab w:leader="none" w:pos="10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enhances and expands the current annual and interim requirements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information disclosures. Under the new disclosure requirements, entities are required to disclose, on an annual and interim basis: significant segment expense categories and amounts for each reportable segment that are included in the reported measure of segment profit or loss and regularly provided to the chief operating decision maker (“CODM”); an aggregate amount and qualitative description of other segment items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included in each reported measure of segment profit or loss for each reportable segment; measures of a segment’s profit or loss that are used by the CODM to assess segment performance and decide how to allocate resources; and disclosure of the title and position of the individual or the name of the group identified as the CODM. For public entities, the provisions within ASU 2023-07 are to be applied retrospectively for all comparative periods and were effective for fiscal years beginning after December 15, 2023, and for interim periods of fiscal years beginning after December 15, 2024. The Company adopted ASU 2023-07 effective for the year ended December 31, 2024, with retrospective application of the additional segment information for the years ended December 31, 2023 and 2022. Additional information regarding the Company’s reportable segments, including the application of the provisions of ASU 2023-07 for the three months ended March 31, 2025 and 2024, is included in Note 20 to the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In 2023, the FASB issued ASU No. 2023-09</w:t>
      </w:r>
      <w:r>
        <w:rPr>
          <w:rFonts w:ascii="Times New Roman" w:cs="Times New Roman" w:eastAsia="Times New Roman" w:hAnsi="Times New Roman"/>
          <w:sz w:val="17"/>
          <w:szCs w:val="17"/>
          <w:i w:val="1"/>
          <w:iCs w:val="1"/>
          <w:color w:val="auto"/>
        </w:rPr>
        <w:t>, Income Taxes (Topic 740) - Improvement to Income Tax Disclosures</w:t>
      </w:r>
      <w:r>
        <w:rPr>
          <w:rFonts w:ascii="Times New Roman" w:cs="Times New Roman" w:eastAsia="Times New Roman" w:hAnsi="Times New Roman"/>
          <w:sz w:val="17"/>
          <w:szCs w:val="17"/>
          <w:color w:val="auto"/>
        </w:rPr>
        <w:t xml:space="preserve"> (“ASU 2023-09”</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which establishes new income tax disclosure requirements in addition to modifying and eliminating certain existing requirements. ASU 2023-09 requires entities to consistently categorize and provide greater disaggregation of information within the income tax reconciliation to enable users of financial statements to understand the nature and magnitude of factors contributing to the difference between the effective and statutory tax rates. For public entities, the provisions within ASU 2023-09 are effective for fiscal years beginning after December 15, 2024, and for interim periods of fiscal years beginning after December 15, 2025. The Company is currently assessing the impact the adoption of ASU 2023-09 will have on its consolidated financial statement disclosures.</w:t>
      </w:r>
    </w:p>
    <w:p>
      <w:pPr>
        <w:spacing w:after="0" w:line="1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2024, the FASB issued ASU No. 2024-03, </w:t>
      </w:r>
      <w:r>
        <w:rPr>
          <w:rFonts w:ascii="Times New Roman" w:cs="Times New Roman" w:eastAsia="Times New Roman" w:hAnsi="Times New Roman"/>
          <w:sz w:val="18"/>
          <w:szCs w:val="18"/>
          <w:i w:val="1"/>
          <w:iCs w:val="1"/>
          <w:color w:val="auto"/>
        </w:rPr>
        <w:t xml:space="preserve">Income Statement - Reporting Comprehensive Income - Expense Disaggregation Disclosures (Subtopic 220-40): Disaggregation of Income Statement Expenses </w:t>
      </w:r>
      <w:r>
        <w:rPr>
          <w:rFonts w:ascii="Times New Roman" w:cs="Times New Roman" w:eastAsia="Times New Roman" w:hAnsi="Times New Roman"/>
          <w:sz w:val="18"/>
          <w:szCs w:val="18"/>
          <w:color w:val="auto"/>
        </w:rPr>
        <w:t>(“ASU 2024-03”), which requires disaggregation of certain expense captions into specified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disclosures within the footnotes to the financial statements. Under ASU 2024-03, entities will be required to disaggregate information, in tabular format, about specific natural expense categories underlying certain income statement expense line items that are considered ‘relevant’, such as purchases of inventory, employee compensation, depreciation, and intangible asset amortization. Additionally, ASU 2024-03 requires the disclosure of selling expenses, along with how an entity defines such expenses. For public entities, the provisions within ASU 2024-03 (as further clarified through ASU No. 2025-01, </w:t>
      </w:r>
      <w:r>
        <w:rPr>
          <w:rFonts w:ascii="Times New Roman" w:cs="Times New Roman" w:eastAsia="Times New Roman" w:hAnsi="Times New Roman"/>
          <w:sz w:val="18"/>
          <w:szCs w:val="18"/>
          <w:i w:val="1"/>
          <w:iCs w:val="1"/>
          <w:color w:val="auto"/>
        </w:rPr>
        <w:t>Income Statement - Reporting Comprehensive Income - Expense Disaggregation Disclosures (Subtopic 220-40)</w:t>
      </w:r>
      <w:r>
        <w:rPr>
          <w:rFonts w:ascii="Times New Roman" w:cs="Times New Roman" w:eastAsia="Times New Roman" w:hAnsi="Times New Roman"/>
          <w:sz w:val="18"/>
          <w:szCs w:val="18"/>
          <w:color w:val="auto"/>
        </w:rPr>
        <w:t>) are effective for the first annual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beginning after December 15, 2026, and for interim reporting periods within annual reporting periods beginning after December 15, 2027. The provisions within ASU 2024-03 are required to be applied prospectively; however, they may be applied retrospectively for all comparative periods following the effective date. The Company is currently assessing the impact the adoption of ASU 2024-03 will have on its consolidated financial statement disclosures.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operations are comprised of the Merchant and the Financial reportable segments (see Note 20). The table below presents the Company’s revenue disaggregated by business line, including a reconciliation with its reportable segments. The Company serves its global client base by working among its geographic teams across various regions, including the U.S. and Canada; Europe, Middle East and Africa (“EMEA”); Latin America (“LATAM”); and Asia Pacific (“APAC”). The majority of the Company’s revenue is earned in the U.S., with revenue generated within its EMEA, LATAM and APAC regions comprising approximately 14% and 15% of total revenue for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7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00" w:type="dxa"/>
            <w:vAlign w:val="bottom"/>
            <w:tcBorders>
              <w:top w:val="single" w:sz="8" w:color="0000FF"/>
            </w:tcBorders>
          </w:tcPr>
          <w:p>
            <w:pPr>
              <w:spacing w:after="0"/>
              <w:rPr>
                <w:sz w:val="24"/>
                <w:szCs w:val="24"/>
                <w:color w:val="auto"/>
              </w:rPr>
            </w:pPr>
          </w:p>
        </w:tc>
        <w:tc>
          <w:tcPr>
            <w:tcW w:w="65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Business Line</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77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Small Business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Enterprise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Total Merchant Solutions segment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Payments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Issuing</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Total Financial Solutions segment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40" w:type="dxa"/>
            <w:vAlign w:val="bottom"/>
            <w:gridSpan w:val="4"/>
          </w:tcPr>
          <w:p>
            <w:pPr>
              <w:ind w:left="120"/>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17"/>
                <w:szCs w:val="17"/>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4"/>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bl>
    <w:p>
      <w:pPr>
        <w:spacing w:after="0" w:line="2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relate to customer discounts (contract incentives) where revenue is recognized and payment of consideration under the contract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$309 million of revenue during the three months ended March 31, 2025 that was included in the contract liabilities balance at the beginning of the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Remaining Performance Obligations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and services revenue expected to be recognized in the future related to performance obligations that were unsatisfied (or partially unsatisfied) at March 31,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bl>
    <w:p>
      <w:pPr>
        <w:spacing w:after="0" w:line="2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the optional exemption under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identifiable assets acquired and liabilities assumed based on the estimated fair values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acquisitions. The results of operations for the following acquired businesses are included in the consolidated results of the Company from the respective dates of acquisition. Pro forma information for these acquired businesses is not provided because they did not have a material effect, individually or in the aggregate, on the Company’s consolidated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Payfare</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2, 2025, the Company acquired Payfare, Inc. (“Payfare”), a Canada-based provider of program management solutions powering instant access to earnings and banking solutions for workforces, for a purchase price, including deferred payments, of $95 million, net of $46 million of acquired cash. Payfare is included within the Financial Solutions (“Financial”) segment and expands the Company’s embedded finance capabilities.</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preliminary allocation of purchase price resulted in the recognition of identifiable intangible assets, including acquired software and technology, of approximately $37 million with an estimated useful life of 7 years, $55 million of goodwill and $49 million of other net assets, including acquired cash. The allocation of the purchase price is preliminary and is subject to further adjustment, pending additional refinement and final completion of valuations. Goodwill, which is not deductible for tax purposes, is primarily attributed to the anticipated value created by further enhancing the Company’s finance solutions in embedded banking, payments and lending for large enterprises and financial institutions.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CCV</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18, 2025, the Company acquired CCV Group B.V. (“CCV”), a Netherlands-based supplier of point-of sale (“POS”) payment solutions, for $229 million, net of $26 million of acquired cash. CCV is included within the Merchant Solutions (“Merchant”) segment and expands the Company’s network of payment solutions.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preliminary allocation of purchase price resulted in the recognition of identifiable intangible assets, including customer relationships, of approximately $96 million with an estimated useful life of 5 years, $121 million of goodwill and $38 million of other net assets, including acquired cash. The allocation of the purchase price is preliminary and is subject to further adjustment, pending additional refinement and final completion of valuations. Goodwill, which is not deductible for tax purposes, is primarily attributed to the anticipated value created by enabling the Company’s ability to accelerate the deployment of its Clover POS and business management platform, providing enhanced capabilities and innovation to an expansive combined merchant and partner base across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4"/>
                <w:szCs w:val="24"/>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7"/>
                <w:szCs w:val="17"/>
                <w:color w:val="auto"/>
              </w:rPr>
            </w:pPr>
          </w:p>
        </w:tc>
        <w:tc>
          <w:tcPr>
            <w:tcW w:w="146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7"/>
                <w:szCs w:val="17"/>
                <w:color w:val="auto"/>
              </w:rPr>
            </w:pPr>
          </w:p>
        </w:tc>
        <w:tc>
          <w:tcPr>
            <w:tcW w:w="15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17"/>
                <w:szCs w:val="17"/>
                <w:color w:val="auto"/>
              </w:rPr>
            </w:pPr>
          </w:p>
        </w:tc>
        <w:tc>
          <w:tcPr>
            <w:tcW w:w="138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$559 million and $534 million for the three months ended March 31, 2025 and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in Unconsolidated Affiliates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(loss)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decline in value, including any significant changes in business relationships with merchant alliances. A decline in value of an equity method investment determined to be other-than-temporary is recorded as a current-period impairment charge within income (loss) from investments in unconsolidated affiliates in the consolidated statements of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Company maintains ownership interests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merchant alliance and charges fees to the alliance based on contractual pricing (see Note 19). The Company’s investment in its merchant alliances was $1.2 billion at both March 31, 2025 and December 31, 2024, and is reported within investments in unconsolidated affiliates in the consolidated balance sheets.</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maintained a 40% ownership interest in the Wells Fargo Merchant Services merchant alliance (“WFMS”), which was accounted for as an equity method investment. The Company acquired its ownership, at fair value, in WFMS through its 2019 acquisition of First Data Corporation. In the third quarter of 2024, Wells Fargo Bank, National Association (“Wells Fargo”) provided the Company with a notice of non-renewal for WFMS. Upon the expiration of the joint venture on April 1, 2025, the Company received a cash payment of $453 million, which is subject to adjustment in the second quarter of 2025 upon completion of the contractual valuation and separation process.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 $595 million non-cash impairment as a result of an other-than-temporary decline in the fair value of its equity method investment in WFMS within loss from investments in unconsolidated affiliates, with the related tax benefit of $129 million recorded through the income tax provision, in the consolidated statement of income. The Company recorded an initial pre-tax impairment charge of $570 million in the third quarter of 2024 based upon the Company’s estimate of the fair value of its portion of WFMS. An additional $25 million pre-tax impairment charge was recorded in the fourth quarter of 2024 based upon the expected cash payment, as determined in accordance with the contractual valuation and separation process.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also maintains investments, over which it does not have significant influence, in various equity securities without a readily determinable fair value. Such investments totaled $259 million and $250 million at March 31, 2025 and December 31, 2024, respectively, and are primarily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net in the consolidated statements of income for the period. Adjustments made to the values recorded for certain equity securities and net gains from sales of equity securities were not significant during the three months ended March 31, 2025, and were $21 million during the three months ended March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 Instruments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and other non-derivative hedging instruments 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to the Indian Rupee. The notional amount of these derivatives was $449 million and $481 million at March 31, 2025 and December 31, 2024, respectively. Based on the amounts recorded in accumulated other comprehensive loss at March 31, 2025, the Company estimates that it will recognize losses of approximately $3 million in cost of processing and services during the next twelve months as foreign exchange forward contracts settle.</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 interest payments. The unamortized balance recorded in accumulated other comprehensive loss related to the Treasury Locks was</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$98 million and $101 million at March 31, 2025 and December 31, 2024, respectively. Based on the amounts recorded in accumulated other comprehensive loss at March 31, 2025, the Company estimates that it will recognize approximately $13 million in net interest expense during the next twelve months related to settled interest rate hedge contracts.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fixed-to-fixed cross-currency rate swap contracts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310"/>
        </w:trPr>
        <w:tc>
          <w:tcPr>
            <w:tcW w:w="20" w:type="dxa"/>
            <w:vAlign w:val="bottom"/>
          </w:tcPr>
          <w:p>
            <w:pPr>
              <w:spacing w:after="0"/>
              <w:rPr>
                <w:sz w:val="24"/>
                <w:szCs w:val="24"/>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311"/>
        </w:trPr>
        <w:tc>
          <w:tcPr>
            <w:tcW w:w="20" w:type="dxa"/>
            <w:vAlign w:val="bottom"/>
            <w:shd w:val="clear" w:color="auto" w:fill="CCEEFF"/>
          </w:tcPr>
          <w:p>
            <w:pPr>
              <w:spacing w:after="0"/>
              <w:rPr>
                <w:sz w:val="24"/>
                <w:szCs w:val="24"/>
                <w:color w:val="auto"/>
              </w:rPr>
            </w:pPr>
          </w:p>
        </w:tc>
        <w:tc>
          <w:tcPr>
            <w:tcW w:w="6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Singapore Dollars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34"/>
        </w:trPr>
        <w:tc>
          <w:tcPr>
            <w:tcW w:w="2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Canadian Dollars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fixed-to-fixed cross-currency rate swaps have been designated as net investment hedges to hedge a portion of the Company’s net investment in certain subsidiaries whose functional currencies are the Euro, Singapore Dollar, and Canadian Dollar. The Company has also designated certain of its Euro-and British Pound-denominated senior notes and Euro commercial paper notes as net investment hedges to hedge a portion of its net investment in certain subsidiaries whose functional currencies are the Euro and the British Pound.</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currency-denominated subsidiaries.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net of income tax, related to net investment hedges that were recorded as foreign currency translation within other comprehensive income (loss) in the consolidated statements of comprehensive income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6"/>
                <w:szCs w:val="16"/>
                <w:color w:val="auto"/>
              </w:rPr>
            </w:pPr>
          </w:p>
        </w:tc>
        <w:tc>
          <w:tcPr>
            <w:tcW w:w="1180" w:type="dxa"/>
            <w:vAlign w:val="bottom"/>
          </w:tcPr>
          <w:p>
            <w:pPr>
              <w:ind w:left="24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49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(21)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1"/>
        </w:trPr>
        <w:tc>
          <w:tcPr>
            <w:tcW w:w="2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340" w:type="dxa"/>
            <w:vAlign w:val="bottom"/>
          </w:tcPr>
          <w:p>
            <w:pPr>
              <w:spacing w:after="0"/>
              <w:rPr>
                <w:sz w:val="24"/>
                <w:szCs w:val="24"/>
                <w:color w:val="auto"/>
              </w:rPr>
            </w:pPr>
          </w:p>
        </w:tc>
        <w:tc>
          <w:tcPr>
            <w:tcW w:w="1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(97)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recorded income tax impacts of $40 million and $(31) million during the three months ended March 31, 2025 and 2024, respectively, in other comprehensive income (loss) from the translation of foreign currency-denominated senior notes, Euro commercial paper notes and cross-currency rate swap contracts.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maintains a fixed-to-fixed cross-currency rate swap contract in the notional amount of 525 million British Pounds, designated as a fair value hedge, to mitigate the spot foreign exchange rate risk on the principal amount of its British Pound-denominated 2.250% senior notes due in July 2025, and previously maintained fixed-to-fixed cross-currency rate swap contracts on the principal amount of a Euro-denominated intercompany note, which was repaid in 2024. Net changes in the fair value of the cross-currency rate swaps ($20 million gain and $2 million loss for the three months ended March 31, 2025 and 2024, respectively), along with the offsetting change in the fair value of the hedged notes, attributable to fluctuations in the respective foreign currency spot rates are recognized in other expense, net within the consolidated statements of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7) are measured on a recurring basis based on foreign currency spot rates and forwards quoted by banks and foreign currency dealers and are marked to market each period. The Company’s obligation to purchase a redeemable noncontrolling interest in one of its merchant alliance joint ventures (see Note 11) is measured at the estimated fair value of the minority interest. Such obligation will be settled in 2025 through the distribution of certain merchant contracts to the minority partner.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(In millions)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9" w:lineRule="exact"/>
        <w:rPr>
          <w:sz w:val="20"/>
          <w:szCs w:val="20"/>
          <w:color w:val="auto"/>
        </w:rPr>
      </w:pPr>
    </w:p>
    <w:p>
      <w:pPr>
        <w:ind w:left="220" w:right="60" w:hanging="80"/>
        <w:spacing w:after="0" w:line="253" w:lineRule="auto"/>
        <w:rPr>
          <w:sz w:val="20"/>
          <w:szCs w:val="20"/>
          <w:color w:val="auto"/>
        </w:rPr>
      </w:pPr>
      <w:r>
        <w:rPr>
          <w:rFonts w:ascii="Times New Roman" w:cs="Times New Roman" w:eastAsia="Times New Roman" w:hAnsi="Times New Roman"/>
          <w:sz w:val="17"/>
          <w:szCs w:val="17"/>
          <w:color w:val="auto"/>
        </w:rPr>
        <w:t>Cross-currency rate swap contract designated as net investment hedge</w:t>
      </w:r>
    </w:p>
    <w:p>
      <w:pPr>
        <w:spacing w:after="0" w:line="2" w:lineRule="exact"/>
        <w:rPr>
          <w:sz w:val="20"/>
          <w:szCs w:val="20"/>
          <w:color w:val="auto"/>
        </w:rPr>
      </w:pPr>
    </w:p>
    <w:p>
      <w:pPr>
        <w:ind w:left="220" w:right="240" w:hanging="80"/>
        <w:spacing w:after="0" w:line="256" w:lineRule="auto"/>
        <w:rPr>
          <w:sz w:val="20"/>
          <w:szCs w:val="20"/>
          <w:color w:val="auto"/>
        </w:rPr>
      </w:pPr>
      <w:r>
        <w:rPr>
          <w:rFonts w:ascii="Times New Roman" w:cs="Times New Roman" w:eastAsia="Times New Roman" w:hAnsi="Times New Roman"/>
          <w:sz w:val="17"/>
          <w:szCs w:val="17"/>
          <w:color w:val="auto"/>
        </w:rPr>
        <w:t>Cross-currency rate swap contract designated as fair value hedge</w:t>
      </w:r>
    </w:p>
    <w:p>
      <w:pPr>
        <w:spacing w:after="0" w:line="1" w:lineRule="exact"/>
        <w:rPr>
          <w:sz w:val="20"/>
          <w:szCs w:val="20"/>
          <w:color w:val="auto"/>
        </w:rPr>
      </w:pPr>
    </w:p>
    <w:p>
      <w:pPr>
        <w:ind w:left="220" w:hanging="80"/>
        <w:spacing w:after="0" w:line="254" w:lineRule="auto"/>
        <w:rPr>
          <w:sz w:val="20"/>
          <w:szCs w:val="20"/>
          <w:color w:val="auto"/>
        </w:rPr>
      </w:pPr>
      <w:r>
        <w:rPr>
          <w:rFonts w:ascii="Times New Roman" w:cs="Times New Roman" w:eastAsia="Times New Roman" w:hAnsi="Times New Roman"/>
          <w:sz w:val="17"/>
          <w:szCs w:val="17"/>
          <w:color w:val="auto"/>
        </w:rPr>
        <w:t>Cross-currency rate swap contracts designated as net investment hedges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ind w:left="220" w:right="240" w:hanging="80"/>
        <w:spacing w:after="0" w:line="253" w:lineRule="auto"/>
        <w:rPr>
          <w:sz w:val="20"/>
          <w:szCs w:val="20"/>
          <w:color w:val="auto"/>
        </w:rPr>
      </w:pPr>
      <w:r>
        <w:rPr>
          <w:rFonts w:ascii="Times New Roman" w:cs="Times New Roman" w:eastAsia="Times New Roman" w:hAnsi="Times New Roman"/>
          <w:sz w:val="17"/>
          <w:szCs w:val="17"/>
          <w:color w:val="auto"/>
        </w:rPr>
        <w:t>Cross-currency rate swap contract designated as fair value hedge</w:t>
      </w:r>
    </w:p>
    <w:p>
      <w:pPr>
        <w:spacing w:after="0" w:line="2" w:lineRule="exact"/>
        <w:rPr>
          <w:sz w:val="20"/>
          <w:szCs w:val="20"/>
          <w:color w:val="auto"/>
        </w:rPr>
      </w:pPr>
    </w:p>
    <w:p>
      <w:pPr>
        <w:ind w:left="220" w:hanging="80"/>
        <w:spacing w:after="0" w:line="259" w:lineRule="auto"/>
        <w:rPr>
          <w:sz w:val="20"/>
          <w:szCs w:val="20"/>
          <w:color w:val="auto"/>
        </w:rPr>
      </w:pPr>
      <w:r>
        <w:rPr>
          <w:rFonts w:ascii="Times New Roman" w:cs="Times New Roman" w:eastAsia="Times New Roman" w:hAnsi="Times New Roman"/>
          <w:sz w:val="17"/>
          <w:szCs w:val="17"/>
          <w:color w:val="auto"/>
        </w:rPr>
        <w:t>Cross-currency rate swap contracts designated as net investment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19685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77470</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77470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Accounts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84455</wp:posOffset>
            </wp:positionV>
            <wp:extent cx="713232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Accounts payable and other current liabilities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69"/>
        </w:trPr>
        <w:tc>
          <w:tcPr>
            <w:tcW w:w="122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240" w:type="dxa"/>
            <w:vAlign w:val="bottom"/>
          </w:tcPr>
          <w:p>
            <w:pPr>
              <w:spacing w:after="0"/>
              <w:rPr>
                <w:sz w:val="14"/>
                <w:szCs w:val="14"/>
                <w:color w:val="auto"/>
              </w:rPr>
            </w:pPr>
          </w:p>
        </w:tc>
        <w:tc>
          <w:tcPr>
            <w:tcW w:w="138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4"/>
                <w:szCs w:val="14"/>
                <w:color w:val="auto"/>
              </w:rPr>
            </w:pPr>
          </w:p>
        </w:tc>
        <w:tc>
          <w:tcPr>
            <w:tcW w:w="13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536"/>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95"/>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3"/>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2820" w:space="400"/>
            <w:col w:w="3260" w:space="400"/>
            <w:col w:w="4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exchange contracts designated as</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Accounts payable and other current liabilities</w:t>
            </w:r>
          </w:p>
        </w:tc>
        <w:tc>
          <w:tcPr>
            <w:tcW w:w="0" w:type="dxa"/>
            <w:vAlign w:val="bottom"/>
          </w:tcPr>
          <w:p>
            <w:pPr>
              <w:spacing w:after="0"/>
              <w:rPr>
                <w:sz w:val="1"/>
                <w:szCs w:val="1"/>
                <w:color w:val="auto"/>
              </w:rPr>
            </w:pPr>
          </w:p>
        </w:tc>
      </w:tr>
      <w:tr>
        <w:trPr>
          <w:trHeight w:val="144"/>
        </w:trPr>
        <w:tc>
          <w:tcPr>
            <w:tcW w:w="3200" w:type="dxa"/>
            <w:vAlign w:val="bottom"/>
          </w:tcPr>
          <w:p>
            <w:pPr>
              <w:ind w:left="220"/>
              <w:spacing w:after="0" w:line="144" w:lineRule="exact"/>
              <w:rPr>
                <w:sz w:val="20"/>
                <w:szCs w:val="20"/>
                <w:color w:val="auto"/>
              </w:rPr>
            </w:pPr>
            <w:r>
              <w:rPr>
                <w:rFonts w:ascii="Times New Roman" w:cs="Times New Roman" w:eastAsia="Times New Roman" w:hAnsi="Times New Roman"/>
                <w:sz w:val="16"/>
                <w:szCs w:val="16"/>
                <w:color w:val="auto"/>
              </w:rPr>
              <w:t>cash flow hedges</w:t>
            </w:r>
          </w:p>
        </w:tc>
        <w:tc>
          <w:tcPr>
            <w:tcW w:w="3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exchange contracts designated as</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144"/>
        </w:trPr>
        <w:tc>
          <w:tcPr>
            <w:tcW w:w="3200" w:type="dxa"/>
            <w:vAlign w:val="bottom"/>
          </w:tcPr>
          <w:p>
            <w:pPr>
              <w:ind w:left="220"/>
              <w:spacing w:after="0" w:line="144" w:lineRule="exact"/>
              <w:rPr>
                <w:sz w:val="20"/>
                <w:szCs w:val="20"/>
                <w:color w:val="auto"/>
              </w:rPr>
            </w:pPr>
            <w:r>
              <w:rPr>
                <w:rFonts w:ascii="Times New Roman" w:cs="Times New Roman" w:eastAsia="Times New Roman" w:hAnsi="Times New Roman"/>
                <w:sz w:val="16"/>
                <w:szCs w:val="16"/>
                <w:color w:val="auto"/>
              </w:rPr>
              <w:t>cash flow hedges</w:t>
            </w:r>
          </w:p>
        </w:tc>
        <w:tc>
          <w:tcPr>
            <w:tcW w:w="3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designated as net investment hedges</w:t>
            </w:r>
          </w:p>
        </w:tc>
        <w:tc>
          <w:tcPr>
            <w:tcW w:w="3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20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Obligation to purchase redeemable</w:t>
            </w:r>
          </w:p>
        </w:tc>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Accounts payable and other current liabilities</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3200" w:type="dxa"/>
            <w:vAlign w:val="bottom"/>
            <w:vMerge w:val="continue"/>
          </w:tcPr>
          <w:p>
            <w:pPr>
              <w:spacing w:after="0"/>
              <w:rPr>
                <w:sz w:val="7"/>
                <w:szCs w:val="7"/>
                <w:color w:val="auto"/>
              </w:rPr>
            </w:pP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0" w:type="dxa"/>
            <w:vAlign w:val="bottom"/>
          </w:tcPr>
          <w:p>
            <w:pPr>
              <w:spacing w:after="0"/>
              <w:rPr>
                <w:sz w:val="1"/>
                <w:szCs w:val="1"/>
                <w:color w:val="auto"/>
              </w:rPr>
            </w:pPr>
          </w:p>
        </w:tc>
      </w:tr>
      <w:tr>
        <w:trPr>
          <w:trHeight w:val="473"/>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266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7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95"/>
        </w:trPr>
        <w:tc>
          <w:tcPr>
            <w:tcW w:w="136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7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95"/>
        </w:trPr>
        <w:tc>
          <w:tcPr>
            <w:tcW w:w="136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7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95"/>
        </w:trPr>
        <w:tc>
          <w:tcPr>
            <w:tcW w:w="136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17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95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17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616" w:lineRule="exact"/>
        <w:rPr>
          <w:sz w:val="20"/>
          <w:szCs w:val="20"/>
          <w:color w:val="auto"/>
        </w:rPr>
      </w:pPr>
    </w:p>
    <w:p>
      <w:pPr>
        <w:sectPr>
          <w:pgSz w:w="11900" w:h="16838" w:orient="portrait"/>
          <w:cols w:equalWidth="0" w:num="2">
            <w:col w:w="6480" w:space="700"/>
            <w:col w:w="4060"/>
          </w:cols>
          <w:pgMar w:left="320" w:top="121" w:right="339" w:bottom="1440" w:gutter="0" w:footer="0" w:header="0"/>
          <w:type w:val="continuous"/>
        </w:sectPr>
      </w:pPr>
    </w:p>
    <w:p>
      <w:pPr>
        <w:spacing w:after="0" w:line="256" w:lineRule="auto"/>
        <w:rPr>
          <w:sz w:val="20"/>
          <w:szCs w:val="20"/>
          <w:color w:val="auto"/>
        </w:rPr>
      </w:pPr>
      <w:r>
        <w:rPr>
          <w:rFonts w:ascii="Times New Roman" w:cs="Times New Roman" w:eastAsia="Times New Roman" w:hAnsi="Times New Roman"/>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$26.1 billion and $23.2 billion at March 31, 2025 and December 31, 2024, respectively, and the carrying value was $26.7 billion and $23.9 billion at March 31, 2025 and December 31,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 Arrangements</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and defi SOLUTIONS Group, LLC (collectively the “Lending Joint Ventures”), which are accounted for under the equity method. The Company’s net investment in the Lending Joint Ventures was $72 million and $49 million at March 31, 2025 and December 31, 2024, respectively. The Lending Joint Ventures maintain variable-rate term loan facilities with aggregate outstanding borrowings of $415 million in senior unsecured debt at March 31, 2025 and variable-rate revolving credit facilities with an aggregate borrowing capacity of $83 million with a syndicate of banks, which mature in April 2027. There were $28 million of aggregate outstanding borrowings on the revolving credit facilities at March 31, 2025. The Company has guaranteed the debt of the Lending Joint Ventures.</w:t>
      </w:r>
    </w:p>
    <w:p>
      <w:pPr>
        <w:spacing w:after="0" w:line="13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which are reported within other long-term liabilities in the consolidated balance sheets. The Company has provided aggregate guarantees of $498 million associated with the debt of the Lending Joint Ventures and is entitled to receive a defined fee in exchange for its guarantee of this indebtedness. The Company has not made any payments under the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nor has it been called upon to do so, and does not anticipate that the Lending Joint Ventures will fail to fulfill their debt obligations.</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$19 million and $21 million approximates the fair value at March 31, 2025 and December 31, 2024,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as reflected within the table above,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$5 million and $4 million during the three months ended March 31, 2025 and 2024, respectively, within other expense, net in its consolidated statements of income related to its release from risk under the non-contingent guarantees as well as a change in the provision of estimated credit losses associated with the indebtedness of the Lending Joint Ventures.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Non-Financial Assets</w:t>
      </w:r>
    </w:p>
    <w:p>
      <w:pPr>
        <w:spacing w:after="0" w:line="17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right-of-use assets, equity securities without a readily determinable fair value, goodwill and other intangible assets, and are subject to fair value adjustment in certain circumstances. Additional information about fair value adjustments recorded on a non-recurring basis during the three months ended March 31, 2025 and 2024 is included in Note 6 to the consolidated financial statements.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9. Accounts Payable and Other Current Liabilities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8"/>
        </w:trPr>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 consisted of the following:</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8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4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29"/>
        </w:trPr>
        <w:tc>
          <w:tcPr>
            <w:tcW w:w="40" w:type="dxa"/>
            <w:vAlign w:val="bottom"/>
          </w:tcPr>
          <w:p>
            <w:pPr>
              <w:spacing w:after="0"/>
              <w:rPr>
                <w:sz w:val="19"/>
                <w:szCs w:val="19"/>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Client deposits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9"/>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Transferable federal tax credits (see Note 15)</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30"/>
        </w:trPr>
        <w:tc>
          <w:tcPr>
            <w:tcW w:w="40" w:type="dxa"/>
            <w:vAlign w:val="bottom"/>
          </w:tcPr>
          <w:p>
            <w:pPr>
              <w:spacing w:after="0"/>
              <w:rPr>
                <w:sz w:val="19"/>
                <w:szCs w:val="19"/>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40" w:type="dxa"/>
            <w:vAlign w:val="bottom"/>
          </w:tcPr>
          <w:p>
            <w:pPr>
              <w:spacing w:after="0"/>
              <w:rPr>
                <w:sz w:val="19"/>
                <w:szCs w:val="19"/>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payment network fees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40" w:type="dxa"/>
            <w:vAlign w:val="bottom"/>
          </w:tcPr>
          <w:p>
            <w:pPr>
              <w:spacing w:after="0"/>
              <w:rPr>
                <w:sz w:val="19"/>
                <w:szCs w:val="19"/>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40" w:type="dxa"/>
            <w:vAlign w:val="bottom"/>
          </w:tcPr>
          <w:p>
            <w:pPr>
              <w:spacing w:after="0"/>
              <w:rPr>
                <w:sz w:val="19"/>
                <w:szCs w:val="19"/>
                <w:color w:val="auto"/>
              </w:rPr>
            </w:pPr>
          </w:p>
        </w:tc>
        <w:tc>
          <w:tcPr>
            <w:tcW w:w="7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Obligation to purchase redeemable noncontrolling interest (see Note 11)</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40" w:type="dxa"/>
            <w:vAlign w:val="bottom"/>
          </w:tcPr>
          <w:p>
            <w:pPr>
              <w:spacing w:after="0"/>
              <w:rPr>
                <w:sz w:val="19"/>
                <w:szCs w:val="19"/>
                <w:color w:val="auto"/>
              </w:rPr>
            </w:pPr>
          </w:p>
        </w:tc>
        <w:tc>
          <w:tcPr>
            <w:tcW w:w="7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w:t>
            </w: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0"/>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Company’s debt consisted of the following:</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4"/>
                <w:szCs w:val="24"/>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debt covenants during the three months ended March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2024, the Company completed the public offering and issuance of $1.75 billion of senior notes, comprised of $850 million aggregate principal amount of 4.750% senior notes due in March 2030 and $900 million aggregate principal amount of 5.150% senior notes due in August 2034. Interest on these senior notes is paid semi-annually. The Company used the net proceeds from this senior notes offering for general corporate purposes, including the repayment of a portion of the Company’s commercial paper notes and for share repurchases.</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March 2024, the Company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Interest on these senior notes is paid semi-annually. The Company used the net proceeds from this senior notes offering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general corporate purposes, including the repayment of a portion of the Company’s commercial paper notes and for share repurchases, and in July 2024, the repayment of a portion of its 2.750% senior notes.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March 31, 2025, the 3.850% senior notes due in June 2025 and 2.250% senior notes due in July 2025 were classified in the consolidated balance sheet as long-term, as the Company has the intent to refinance this debt on a long-term basis, and the ability to do so under its revolving credit facility.</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in part, at any time and from time to time at the applicable redemption price.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$2.8 billion and $221 million at March 31, 2025 and December 31, 2024, respectively, with weighted average interest rates of 4.652% and 4.534%, respectively. Outstanding borrowings under the Euro program were $1.3 billion and $1.2 billion at March 31, 2025 and December 31, 2024, respectively, with weighted average interest rates of 2.584% and 3.115%,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maintains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the Company’s long-term debt rating. Outstanding borrowings under the revolving credit facility were $72 million and $115 million at March 31, 2025 and December 31, 2024, respectively, with a corresponding interest rate of 5.440% at both March 31, 2025 and December 31, 2024. The credit facility also requires the Company to pay a facility fee based on the aggregate commitments in effect under the agreement from time to time. The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during the period of four fiscal quarters then ended, subject to certain exceptions.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Lines of Credit</w:t>
      </w:r>
    </w:p>
    <w:p>
      <w:pPr>
        <w:spacing w:after="0" w:line="17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maintains various short-term lines of credit and other borrowing arrangements with foreign banks and alliance partners primarily to fund merchant settlement advances associated with operations in Latin America. The following table provides a summary of the outstanding borrowings and weighted average interest rates of the Company’s foreign lines of credit and other borrowing arrangements by country: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430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Outstanding Borrowings (in millions)</w:t>
            </w:r>
          </w:p>
        </w:tc>
        <w:tc>
          <w:tcPr>
            <w:tcW w:w="100" w:type="dxa"/>
            <w:vAlign w:val="bottom"/>
          </w:tcPr>
          <w:p>
            <w:pPr>
              <w:spacing w:after="0"/>
              <w:rPr>
                <w:sz w:val="20"/>
                <w:szCs w:val="20"/>
                <w:color w:val="auto"/>
              </w:rPr>
            </w:pPr>
          </w:p>
        </w:tc>
        <w:tc>
          <w:tcPr>
            <w:tcW w:w="462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r>
      <w:tr>
        <w:trPr>
          <w:trHeight w:val="223"/>
        </w:trPr>
        <w:tc>
          <w:tcPr>
            <w:tcW w:w="2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9"/>
                <w:szCs w:val="19"/>
                <w:color w:val="auto"/>
              </w:rPr>
            </w:pPr>
          </w:p>
        </w:tc>
        <w:tc>
          <w:tcPr>
            <w:tcW w:w="23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33.407 %</w:t>
            </w:r>
          </w:p>
        </w:tc>
        <w:tc>
          <w:tcPr>
            <w:tcW w:w="8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38.470 %</w:t>
            </w: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14.947 %</w:t>
            </w:r>
          </w:p>
        </w:tc>
        <w:tc>
          <w:tcPr>
            <w:tcW w:w="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12.976 %</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1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8.971 %</w:t>
            </w:r>
          </w:p>
        </w:tc>
        <w:tc>
          <w:tcPr>
            <w:tcW w:w="8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9.766 %</w:t>
            </w:r>
          </w:p>
        </w:tc>
      </w:tr>
      <w:tr>
        <w:trPr>
          <w:trHeight w:val="22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2.662 %</w:t>
            </w:r>
          </w:p>
        </w:tc>
        <w:tc>
          <w:tcPr>
            <w:tcW w:w="8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3.984 %</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26.195 %</w:t>
            </w:r>
          </w:p>
        </w:tc>
        <w:tc>
          <w:tcPr>
            <w:tcW w:w="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31.695 %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Redeemable Noncontrolling Interest</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minority partner in one of the Company’s merchant alliance joint ventures maintained a redeemable noncontrolling 1% interest which was presented outside of equity and carried at its estimated redemption value. The minority partner was entitled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 a contractually determined share of the entity’s income, and the joint venture agreement contained redemption features whereby the interest held by the minority partner was redeemable either (i) at the option of the holder or (ii) upon the occurrence of an event that was not solely within the Company’s control.</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Effective June 2024, the Company and the merchant alliance joint venture minority partner mutually agreed to terminate the joint venture agreement on September 1, 2024. Under the provisions of the separation agreement, the Company redeemed the minority partner’s membership interest in exchange for a future distribution in 2025 of certain merchant contracts. The redeemable noncontrolling interest was adjusted to reflect the estimated redemption value, with a corresponding adjustment recorded to additional paid-in capital. Additionally, as the redeemable noncontrolling interest is now mandatorily redeemable, the Company’s obligation to satisfy the purchase of the interest has been reclassified as a current liability in the consolidated balance sheet (see Notes 8 and 9). The Company maintains an ongoing relationship with the former minority partner to provide processing and other support services following the termination of the joint venture agreement.</w:t>
      </w:r>
    </w:p>
    <w:p>
      <w:pPr>
        <w:spacing w:after="0" w:line="13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 activity, prior to the September 2024 termination of the merchant alliance joint venture, during the three months ended March 31,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8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changes in equity during the three months ended March 31, 2025 and 2024:</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320" w:type="dxa"/>
            <w:vAlign w:val="bottom"/>
            <w:gridSpan w:val="3"/>
            <w:vMerge w:val="continue"/>
          </w:tcPr>
          <w:p>
            <w:pPr>
              <w:spacing w:after="0"/>
              <w:rPr>
                <w:sz w:val="14"/>
                <w:szCs w:val="14"/>
                <w:color w:val="auto"/>
              </w:rPr>
            </w:pPr>
          </w:p>
        </w:tc>
        <w:tc>
          <w:tcPr>
            <w:tcW w:w="17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7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3"/>
            <w:vMerge w:val="continue"/>
          </w:tcPr>
          <w:p>
            <w:pPr>
              <w:spacing w:after="0"/>
              <w:rPr>
                <w:sz w:val="12"/>
                <w:szCs w:val="12"/>
                <w:color w:val="auto"/>
              </w:rPr>
            </w:pPr>
          </w:p>
        </w:tc>
        <w:tc>
          <w:tcPr>
            <w:tcW w:w="86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2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40" w:type="dxa"/>
            <w:vAlign w:val="bottom"/>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23,080</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27,686</w:t>
            </w:r>
          </w:p>
        </w:tc>
        <w:tc>
          <w:tcPr>
            <w:tcW w:w="0" w:type="dxa"/>
            <w:vAlign w:val="bottom"/>
          </w:tcPr>
          <w:p>
            <w:pPr>
              <w:spacing w:after="0"/>
              <w:rPr>
                <w:sz w:val="1"/>
                <w:szCs w:val="1"/>
                <w:color w:val="auto"/>
              </w:rPr>
            </w:pPr>
          </w:p>
        </w:tc>
      </w:tr>
      <w:tr>
        <w:trPr>
          <w:trHeight w:val="195"/>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210"/>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95"/>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210"/>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95"/>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8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0" w:type="dxa"/>
            <w:vAlign w:val="bottom"/>
          </w:tcPr>
          <w:p>
            <w:pPr>
              <w:spacing w:after="0"/>
              <w:rPr>
                <w:sz w:val="1"/>
                <w:szCs w:val="1"/>
                <w:color w:val="auto"/>
              </w:rPr>
            </w:pPr>
          </w:p>
        </w:tc>
      </w:tr>
      <w:tr>
        <w:trPr>
          <w:trHeight w:val="142"/>
        </w:trPr>
        <w:tc>
          <w:tcPr>
            <w:tcW w:w="23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Capital contribution from</w:t>
            </w:r>
          </w:p>
        </w:tc>
        <w:tc>
          <w:tcPr>
            <w:tcW w:w="8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23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noncontrolling interest</w:t>
            </w:r>
          </w:p>
        </w:tc>
        <w:tc>
          <w:tcPr>
            <w:tcW w:w="8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2300" w:type="dxa"/>
            <w:vAlign w:val="bottom"/>
            <w:gridSpan w:val="2"/>
            <w:vMerge w:val="continue"/>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22,821</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26,521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5" w:lineRule="exact"/>
        <w:rPr>
          <w:sz w:val="20"/>
          <w:szCs w:val="20"/>
          <w:color w:val="auto"/>
        </w:rPr>
      </w:pPr>
    </w:p>
    <w:p>
      <w:pPr>
        <w:ind w:left="80" w:right="760"/>
        <w:spacing w:after="0" w:line="264" w:lineRule="auto"/>
        <w:rPr>
          <w:sz w:val="20"/>
          <w:szCs w:val="20"/>
          <w:color w:val="auto"/>
        </w:rPr>
      </w:pPr>
      <w:r>
        <w:rPr>
          <w:rFonts w:ascii="Times New Roman" w:cs="Times New Roman" w:eastAsia="Times New Roman" w:hAnsi="Times New Roman"/>
          <w:sz w:val="14"/>
          <w:szCs w:val="14"/>
          <w:b w:val="1"/>
          <w:bCs w:val="1"/>
          <w:color w:val="auto"/>
        </w:rPr>
        <w:t>Three Months Ended March 31, 2024</w:t>
      </w: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Balance at December 31, 2023</w:t>
      </w:r>
    </w:p>
    <w:p>
      <w:pPr>
        <w:spacing w:after="0" w:line="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9"/>
          <w:szCs w:val="9"/>
          <w:color w:val="auto"/>
        </w:rPr>
        <w:t>(1)</w:t>
      </w:r>
    </w:p>
    <w:p>
      <w:pPr>
        <w:spacing w:after="0" w:line="42" w:lineRule="exact"/>
        <w:rPr>
          <w:sz w:val="20"/>
          <w:szCs w:val="20"/>
          <w:color w:val="auto"/>
        </w:rPr>
      </w:pPr>
    </w:p>
    <w:p>
      <w:pPr>
        <w:ind w:left="240" w:hanging="161"/>
        <w:spacing w:after="0" w:line="230" w:lineRule="auto"/>
        <w:rPr>
          <w:sz w:val="20"/>
          <w:szCs w:val="20"/>
          <w:color w:val="auto"/>
        </w:rPr>
      </w:pPr>
      <w:r>
        <w:rPr>
          <w:rFonts w:ascii="Times New Roman" w:cs="Times New Roman" w:eastAsia="Times New Roman" w:hAnsi="Times New Roman"/>
          <w:sz w:val="14"/>
          <w:szCs w:val="14"/>
          <w:color w:val="auto"/>
        </w:rPr>
        <w:t xml:space="preserve">Distributions paid to noncontrolling interests </w:t>
      </w:r>
      <w:r>
        <w:rPr>
          <w:rFonts w:ascii="Times New Roman" w:cs="Times New Roman" w:eastAsia="Times New Roman" w:hAnsi="Times New Roman"/>
          <w:sz w:val="18"/>
          <w:szCs w:val="18"/>
          <w:color w:val="auto"/>
          <w:vertAlign w:val="superscript"/>
        </w:rPr>
        <w:t>(2)</w:t>
      </w:r>
    </w:p>
    <w:p>
      <w:pPr>
        <w:spacing w:after="0" w:line="1" w:lineRule="exact"/>
        <w:rPr>
          <w:sz w:val="20"/>
          <w:szCs w:val="20"/>
          <w:color w:val="auto"/>
        </w:rPr>
      </w:pPr>
    </w:p>
    <w:p>
      <w:pPr>
        <w:ind w:left="80" w:right="240"/>
        <w:spacing w:after="0" w:line="311" w:lineRule="auto"/>
        <w:rPr>
          <w:sz w:val="20"/>
          <w:szCs w:val="20"/>
          <w:color w:val="auto"/>
        </w:rPr>
      </w:pPr>
      <w:r>
        <w:rPr>
          <w:rFonts w:ascii="Times New Roman" w:cs="Times New Roman" w:eastAsia="Times New Roman" w:hAnsi="Times New Roman"/>
          <w:sz w:val="14"/>
          <w:szCs w:val="14"/>
          <w:color w:val="auto"/>
        </w:rPr>
        <w:t>Other comprehensive loss Share-based compensation Shares issued under stock plans Purchases of treasury stock Balance at March 31, 2024</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8"/>
        </w:trPr>
        <w:tc>
          <w:tcPr>
            <w:tcW w:w="17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8"/>
        </w:trPr>
        <w:tc>
          <w:tcPr>
            <w:tcW w:w="8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23,103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20,444</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30,508</w:t>
            </w: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29,423</w:t>
            </w:r>
          </w:p>
        </w:tc>
        <w:tc>
          <w:tcPr>
            <w:tcW w:w="0" w:type="dxa"/>
            <w:vAlign w:val="bottom"/>
          </w:tcPr>
          <w:p>
            <w:pPr>
              <w:spacing w:after="0"/>
              <w:rPr>
                <w:sz w:val="1"/>
                <w:szCs w:val="1"/>
                <w:color w:val="auto"/>
              </w:rPr>
            </w:pPr>
          </w:p>
        </w:tc>
      </w:tr>
      <w:tr>
        <w:trPr>
          <w:trHeight w:val="27"/>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-1165225</wp:posOffset>
            </wp:positionV>
            <wp:extent cx="707199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-899795</wp:posOffset>
            </wp:positionV>
            <wp:extent cx="7071995"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71995" cy="21463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-556260</wp:posOffset>
            </wp:positionV>
            <wp:extent cx="707199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-299720</wp:posOffset>
            </wp:positionV>
            <wp:extent cx="707199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220"/>
            <w:col w:w="8880"/>
          </w:cols>
          <w:pgMar w:left="320" w:top="121"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right="40" w:hanging="328"/>
        <w:spacing w:after="0" w:line="225" w:lineRule="auto"/>
        <w:tabs>
          <w:tab w:leader="none" w:pos="648" w:val="left"/>
        </w:tabs>
        <w:numPr>
          <w:ilvl w:val="1"/>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net income presented in equity for the three months ended March 31, 2024 is different than the amount presented in the consolidated statement of income due to the net income attributable to redeemable noncontrolling interest of $6 million not included in equity.</w:t>
      </w:r>
    </w:p>
    <w:p>
      <w:pPr>
        <w:spacing w:after="0" w:line="154" w:lineRule="exact"/>
        <w:rPr>
          <w:rFonts w:ascii="Times New Roman" w:cs="Times New Roman" w:eastAsia="Times New Roman" w:hAnsi="Times New Roman"/>
          <w:sz w:val="21"/>
          <w:szCs w:val="21"/>
          <w:color w:val="auto"/>
          <w:vertAlign w:val="superscript"/>
        </w:rPr>
      </w:pPr>
    </w:p>
    <w:p>
      <w:pPr>
        <w:ind w:left="660" w:right="440" w:hanging="328"/>
        <w:spacing w:after="0" w:line="225" w:lineRule="auto"/>
        <w:tabs>
          <w:tab w:leader="none" w:pos="648" w:val="left"/>
        </w:tabs>
        <w:numPr>
          <w:ilvl w:val="1"/>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total distributions presented in equity for the three months ended March 31, 2024 excludes $7 million in distributions paid to redeemable noncontrolling interest not included in equity.</w:t>
      </w:r>
    </w:p>
    <w:p>
      <w:pPr>
        <w:spacing w:after="0" w:line="146" w:lineRule="exact"/>
        <w:rPr>
          <w:rFonts w:ascii="Times New Roman" w:cs="Times New Roman" w:eastAsia="Times New Roman" w:hAnsi="Times New Roman"/>
          <w:sz w:val="21"/>
          <w:szCs w:val="21"/>
          <w:color w:val="auto"/>
          <w:vertAlign w:val="superscript"/>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Currency</w:t>
            </w:r>
          </w:p>
        </w:tc>
        <w:tc>
          <w:tcPr>
            <w:tcW w:w="20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80" w:type="dxa"/>
            <w:vAlign w:val="bottom"/>
          </w:tcPr>
          <w:p>
            <w:pPr>
              <w:spacing w:after="0"/>
              <w:rPr>
                <w:sz w:val="15"/>
                <w:szCs w:val="15"/>
                <w:color w:val="auto"/>
              </w:rPr>
            </w:pPr>
          </w:p>
        </w:tc>
        <w:tc>
          <w:tcPr>
            <w:tcW w:w="12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52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CCEEFF"/>
            </w:tcBorders>
          </w:tcPr>
          <w:p>
            <w:pPr>
              <w:spacing w:after="0"/>
              <w:rPr>
                <w:sz w:val="7"/>
                <w:szCs w:val="7"/>
                <w:color w:val="auto"/>
              </w:rPr>
            </w:pPr>
          </w:p>
        </w:tc>
        <w:tc>
          <w:tcPr>
            <w:tcW w:w="4380" w:type="dxa"/>
            <w:vAlign w:val="bottom"/>
            <w:tcBorders>
              <w:bottom w:val="single" w:sz="8" w:color="CCEEFF"/>
            </w:tcBorders>
            <w:gridSpan w:val="2"/>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23" w:lineRule="exact"/>
        <w:rPr>
          <w:sz w:val="20"/>
          <w:szCs w:val="20"/>
          <w:color w:val="auto"/>
        </w:rPr>
      </w:pPr>
    </w:p>
    <w:p>
      <w:pPr>
        <w:ind w:left="20"/>
        <w:spacing w:after="0"/>
        <w:tabs>
          <w:tab w:leader="none" w:pos="4400" w:val="left"/>
        </w:tabs>
        <w:rPr>
          <w:sz w:val="20"/>
          <w:szCs w:val="20"/>
          <w:color w:val="auto"/>
        </w:rPr>
      </w:pPr>
      <w:r>
        <w:rPr>
          <w:rFonts w:ascii="Times New Roman" w:cs="Times New Roman" w:eastAsia="Times New Roman" w:hAnsi="Times New Roman"/>
          <w:sz w:val="18"/>
          <w:szCs w:val="18"/>
          <w:color w:val="auto"/>
        </w:rPr>
        <w:t>Balance at December 31, 2023</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ind w:left="180" w:right="700" w:hanging="161"/>
        <w:spacing w:after="0" w:line="234" w:lineRule="auto"/>
        <w:rPr>
          <w:sz w:val="20"/>
          <w:szCs w:val="20"/>
          <w:color w:val="auto"/>
        </w:rPr>
      </w:pPr>
      <w:r>
        <w:rPr>
          <w:rFonts w:ascii="Times New Roman" w:cs="Times New Roman" w:eastAsia="Times New Roman" w:hAnsi="Times New Roman"/>
          <w:sz w:val="18"/>
          <w:szCs w:val="18"/>
          <w:color w:val="auto"/>
        </w:rPr>
        <w:t>Other comprehensive income (loss) before reclassifications (see Note 1)</w:t>
      </w:r>
    </w:p>
    <w:p>
      <w:pPr>
        <w:spacing w:after="0" w:line="10" w:lineRule="exact"/>
        <w:rPr>
          <w:sz w:val="20"/>
          <w:szCs w:val="20"/>
          <w:color w:val="auto"/>
        </w:rPr>
      </w:pPr>
    </w:p>
    <w:p>
      <w:pPr>
        <w:ind w:left="180" w:right="1680" w:hanging="161"/>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(78)</w:t>
            </w:r>
          </w:p>
        </w:tc>
        <w:tc>
          <w:tcPr>
            <w:tcW w:w="7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(17)</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324"/>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760" w:type="dxa"/>
            <w:vAlign w:val="bottom"/>
          </w:tcPr>
          <w:p>
            <w:pPr>
              <w:spacing w:after="0"/>
              <w:rPr>
                <w:sz w:val="24"/>
                <w:szCs w:val="24"/>
                <w:color w:val="auto"/>
              </w:rPr>
            </w:pPr>
          </w:p>
        </w:tc>
        <w:tc>
          <w:tcPr>
            <w:tcW w:w="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(63)</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418"/>
        </w:trPr>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9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-616585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-205105</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000" w:space="720"/>
            <w:col w:w="5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7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recognized $124 million and $86 million of share-based compensation expense during the three months ended March 31, 2025 and 2024, respectively. The Company’s share-based compensation awards are typically granted in the first quarter of the year; however, grants may also occur throughout the year. At March 31, 2025, the total remaining unrecognized compensation cost for restricted stock units and awards and performance share units, net of estimated forfeitures, of $584 million is expected to be recognized over a weighted-average period of 2.1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during the three months ended March 31, 2025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6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Restricted Stock Units and Awards</w:t>
            </w:r>
          </w:p>
        </w:tc>
        <w:tc>
          <w:tcPr>
            <w:tcW w:w="34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center"/>
              <w:ind w:right="10"/>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5"/>
                <w:szCs w:val="15"/>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84"/>
        </w:trPr>
        <w:tc>
          <w:tcPr>
            <w:tcW w:w="41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9"/>
                <w:szCs w:val="19"/>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2024</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118.02</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March 31,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the three months ended March 31, 2025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66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220" w:type="dxa"/>
            <w:vAlign w:val="bottom"/>
          </w:tcPr>
          <w:p>
            <w:pPr>
              <w:jc w:val="center"/>
              <w:ind w:left="2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60" w:type="dxa"/>
            <w:vAlign w:val="bottom"/>
            <w:gridSpan w:val="4"/>
            <w:vMerge w:val="continue"/>
          </w:tcPr>
          <w:p>
            <w:pPr>
              <w:spacing w:after="0"/>
              <w:rPr>
                <w:sz w:val="16"/>
                <w:szCs w:val="16"/>
                <w:color w:val="auto"/>
              </w:rPr>
            </w:pPr>
          </w:p>
        </w:tc>
        <w:tc>
          <w:tcPr>
            <w:tcW w:w="1680" w:type="dxa"/>
            <w:vAlign w:val="bottom"/>
            <w:gridSpan w:val="5"/>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5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Value (In millions)</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March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 exercisable - March 31, 2025</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3"/>
            <w:vMerge w:val="continue"/>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87.79</w:t>
            </w: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3.80</w:t>
            </w:r>
          </w:p>
        </w:tc>
        <w:tc>
          <w:tcPr>
            <w:tcW w:w="120" w:type="dxa"/>
            <w:vAlign w:val="bottom"/>
          </w:tcPr>
          <w:p>
            <w:pPr>
              <w:spacing w:after="0"/>
              <w:rPr>
                <w:sz w:val="17"/>
                <w:szCs w:val="17"/>
                <w:color w:val="auto"/>
              </w:rPr>
            </w:pPr>
          </w:p>
        </w:tc>
        <w:tc>
          <w:tcPr>
            <w:tcW w:w="92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Income Taxes</w:t>
            </w: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660" w:type="dxa"/>
            <w:vAlign w:val="bottom"/>
            <w:gridSpan w:val="3"/>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income tax provision and effective income tax rate were as follows: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45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loss from investments in unconsolidated affiliates was 18.2% and 16.7% for the three months ended March 31, 2025 and 2024, respectively. The effective income tax rate for both the three months ended March 31, 2025 and 2024 included discrete tax benefits from equity compensation.</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provisions under the Inflation Reduction Act, the Company purchased transferable federal tax credits from various counterparties. Such federal tax credits were purchased at negotiated discounts, resulting in an income tax benefit during both the three months ended March 31, 2025 and 2024. Receivables associated with transferable federal tax credits are recorded within prepaid expenses and other current assets, and amounts owed to counterparties for the purchased credits are recorded within accounts payable and other current liabilities within the consolidated balance sheets at March 31, 2025 and December 31, 2024.</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potential liability for unrecognized tax benefits before interest and penalties was approximately $82 million at March 31, 2025. The Company believes it is reasonably possible that the liability for unrecognized tax benefits may decrease by up to $5 million over the next twelve months as a result of possible closure of tax audits, audit settlements, and the lapse of the statutes of limitations in various jurisdictions.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U.S. federal income tax returns for 2023 and 2024, and tax returns in certain states and foreign jurisdictions for 2017 through 2024, remain subject to examination by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shares used in calculating basic and diluted net income per share is as follows:</w:t>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9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54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79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 Fiserv,</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 per share - basic</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64"/>
        </w:trPr>
        <w:tc>
          <w:tcPr>
            <w:tcW w:w="79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 net income attributable to Fiserv,</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27"/>
        </w:trPr>
        <w:tc>
          <w:tcPr>
            <w:tcW w:w="79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 per share - diluted</w:t>
            </w: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restricted stock units for 688 thousand and 38 thousand shares, respectively, were excluded from the calculation of weighted-average outstanding shares - diluted because their impact was anti-dilutive.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consisted of the following:</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80" w:type="dxa"/>
            <w:vAlign w:val="bottom"/>
            <w:tcBorders>
              <w:bottom w:val="single" w:sz="8" w:color="auto"/>
            </w:tcBorders>
          </w:tcPr>
          <w:p>
            <w:pPr>
              <w:spacing w:after="0"/>
              <w:rPr>
                <w:sz w:val="20"/>
                <w:szCs w:val="20"/>
                <w:color w:val="auto"/>
              </w:rPr>
            </w:pPr>
          </w:p>
        </w:tc>
      </w:tr>
      <w:tr>
        <w:trPr>
          <w:trHeight w:val="185"/>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jc w:val="right"/>
              <w:ind w:right="710"/>
              <w:spacing w:after="0" w:line="185"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obtained under financing arrangements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operating leases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 - 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The Company maintained an accrual of $32 million and $43 million at March 31, 2025 and December 31, 2024, respectively, related to its various legal proceedings. The Company’s estimate of the possible range of exposure for various legal proceedings in excess of amounts accrued is $0 million to approximately $120 million. In the opinion of management, the liabilities, if any, which may ultimately result from such legal proceedings are not expected to have a material adverse effect on the Company’s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$755 million and $1.3 billion at March 31, 2025 and December 31, 2024,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A portion of the Company’s business is conducted through merchant alliances between the Company and certain financial institutions (see Note 6).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spacing w:after="0" w:line="11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$32 million and $40 million for the three months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ended March 31, 2025 and 2024,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$28 million and $21 million of amounts due from unconsolidated merchant alliances included within trade accounts receivable, net in the Company’s consolidated balance sheets at March 31, 2025 and December 31, 2024,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Company’s operations are comprised of two reportable segments, the Merchant segment and the Financial segment. The businesses in the Merchant segment provide commerce-enabling products and services to companies of all sizes around the world. These products and services include merchant acquiring and digital commerce services; mobile payment services; security and fraud protection solutions; stored-value solutions; and pay-by-bank solutions. The business lines (operating segments) aggregated within the Merchant segment consist of the following:</w:t>
      </w:r>
    </w:p>
    <w:p>
      <w:pPr>
        <w:spacing w:after="0" w:line="122" w:lineRule="exact"/>
        <w:rPr>
          <w:sz w:val="20"/>
          <w:szCs w:val="20"/>
          <w:color w:val="auto"/>
        </w:rPr>
      </w:pPr>
    </w:p>
    <w:p>
      <w:pPr>
        <w:ind w:left="660" w:right="240" w:hanging="328"/>
        <w:spacing w:after="0" w:line="230"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POS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business management platform for small business clients</w:t>
      </w:r>
    </w:p>
    <w:p>
      <w:pPr>
        <w:spacing w:after="0" w:line="89"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the Company’s integrated omnichannel operating system for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50"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distributes the products and services in the Merchant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businesses in the Financial segment provide products and services to financial institution, corporate and public sector clients across the world, enabling the processing of customer loan and deposit accounts, digital payments and card transactions. The business lines (operating segments) aggregated within the Financial segment consist of the following:</w:t>
      </w:r>
    </w:p>
    <w:p>
      <w:pPr>
        <w:spacing w:after="0" w:line="66" w:lineRule="exact"/>
        <w:rPr>
          <w:sz w:val="20"/>
          <w:szCs w:val="20"/>
          <w:color w:val="auto"/>
        </w:rPr>
      </w:pPr>
    </w:p>
    <w:p>
      <w:pPr>
        <w:ind w:left="660" w:right="16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6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services revenue associated with various dispositions; and postage reimbursements.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who is also the Company’s CODM, assesses segment performance and makes strategic decisions on the allocation of resources. Additionally, the Company’s Chief Executive Officer provides oversight on business leadership and corporate strategy to the executive leadership team, who manages the day to day operations of the various business lines.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CODM uses reportable segment operating income to evaluate segment performance and allocate resources, primarily during the annual budget and forecasting processes. The CODM regularly reviews variances between forecasted and actual results in assessing earnings, operational efficiency and growth performance, and allocating resources including personnel and capital allocations, to each reportable segment. There are no intersegment revenues contained within the respective reportable segment revenues.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for each reportable segment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9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4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 in</w:t>
            </w:r>
          </w:p>
        </w:tc>
        <w:tc>
          <w:tcPr>
            <w:tcW w:w="4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4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5"/>
                <w:szCs w:val="15"/>
                <w:color w:val="auto"/>
              </w:rPr>
            </w:pPr>
          </w:p>
        </w:tc>
        <w:tc>
          <w:tcPr>
            <w:tcW w:w="1900" w:type="dxa"/>
            <w:vAlign w:val="bottom"/>
            <w:gridSpan w:val="2"/>
          </w:tcPr>
          <w:p>
            <w:pPr>
              <w:ind w:left="320"/>
              <w:spacing w:after="0" w:line="182" w:lineRule="exact"/>
              <w:rPr>
                <w:sz w:val="20"/>
                <w:szCs w:val="20"/>
                <w:color w:val="auto"/>
              </w:rPr>
            </w:pPr>
            <w:r>
              <w:rPr>
                <w:rFonts w:ascii="Times New Roman" w:cs="Times New Roman" w:eastAsia="Times New Roman" w:hAnsi="Times New Roman"/>
                <w:sz w:val="18"/>
                <w:szCs w:val="18"/>
                <w:b w:val="1"/>
                <w:bCs w:val="1"/>
                <w:color w:val="auto"/>
              </w:rPr>
              <w:t>Merchant</w:t>
            </w:r>
          </w:p>
        </w:tc>
        <w:tc>
          <w:tcPr>
            <w:tcW w:w="16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Financial</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4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revenue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 revenue</w:t>
            </w:r>
          </w:p>
        </w:tc>
        <w:tc>
          <w:tcPr>
            <w:tcW w:w="4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3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Personnel expenses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Direct costs </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 operating expense </w:t>
            </w:r>
            <w:r>
              <w:rPr>
                <w:rFonts w:ascii="Times New Roman" w:cs="Times New Roman" w:eastAsia="Times New Roman" w:hAnsi="Times New Roman"/>
                <w:sz w:val="23"/>
                <w:szCs w:val="23"/>
                <w:color w:val="auto"/>
                <w:vertAlign w:val="superscript"/>
              </w:rPr>
              <w:t>(4)</w:t>
            </w:r>
          </w:p>
        </w:tc>
        <w:tc>
          <w:tcPr>
            <w:tcW w:w="4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Allocations from Corporate and Other </w:t>
            </w:r>
            <w:r>
              <w:rPr>
                <w:rFonts w:ascii="Times New Roman" w:cs="Times New Roman" w:eastAsia="Times New Roman" w:hAnsi="Times New Roman"/>
                <w:sz w:val="23"/>
                <w:szCs w:val="23"/>
                <w:color w:val="auto"/>
                <w:vertAlign w:val="superscript"/>
              </w:rPr>
              <w:t>(5)</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operating loss </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expense, net </w:t>
            </w:r>
            <w:r>
              <w:rPr>
                <w:rFonts w:ascii="Times New Roman" w:cs="Times New Roman" w:eastAsia="Times New Roman" w:hAnsi="Times New Roman"/>
                <w:sz w:val="23"/>
                <w:szCs w:val="23"/>
                <w:color w:val="auto"/>
                <w:vertAlign w:val="superscript"/>
              </w:rPr>
              <w:t>(7)</w:t>
            </w:r>
          </w:p>
        </w:tc>
        <w:tc>
          <w:tcPr>
            <w:tcW w:w="4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 in</w:t>
            </w:r>
          </w:p>
        </w:tc>
        <w:tc>
          <w:tcPr>
            <w:tcW w:w="4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4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postage reimbursements.</w:t>
      </w:r>
    </w:p>
    <w:p>
      <w:pPr>
        <w:spacing w:after="0" w:line="10"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compensation and benefit costs of Company employees, as well as expenses paid to third parties for consulting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temporary help, net of capitalized software costs.</w:t>
      </w:r>
    </w:p>
    <w:p>
      <w:pPr>
        <w:ind w:left="640" w:hanging="308"/>
        <w:spacing w:after="0" w:line="214" w:lineRule="auto"/>
        <w:tabs>
          <w:tab w:leader="none" w:pos="6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cost of goods sold, payments to distribution partners and other reselling costs.</w:t>
      </w:r>
    </w:p>
    <w:p>
      <w:pPr>
        <w:spacing w:after="0" w:line="10" w:lineRule="exact"/>
        <w:rPr>
          <w:rFonts w:ascii="Times New Roman" w:cs="Times New Roman" w:eastAsia="Times New Roman" w:hAnsi="Times New Roman"/>
          <w:sz w:val="21"/>
          <w:szCs w:val="21"/>
          <w:color w:val="auto"/>
          <w:vertAlign w:val="superscript"/>
        </w:rPr>
      </w:pPr>
    </w:p>
    <w:p>
      <w:pPr>
        <w:ind w:left="640" w:hanging="308"/>
        <w:spacing w:after="0" w:line="187" w:lineRule="auto"/>
        <w:tabs>
          <w:tab w:leader="none" w:pos="6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data processing, facility, and marketing costs that are directly charged to the reportable segments.</w:t>
      </w:r>
    </w:p>
    <w:p>
      <w:pPr>
        <w:ind w:left="660" w:right="300" w:hanging="328"/>
        <w:spacing w:after="0" w:line="220"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centrally-managed costs, including sales, technology and administrative expenses, that are allocated to the reportable segments from Corporate and Other and are considered in the CODM’s evaluation of segment performance.</w:t>
      </w:r>
    </w:p>
    <w:p>
      <w:pPr>
        <w:spacing w:after="0" w:line="1" w:lineRule="exact"/>
        <w:rPr>
          <w:rFonts w:ascii="Times New Roman" w:cs="Times New Roman" w:eastAsia="Times New Roman" w:hAnsi="Times New Roman"/>
          <w:sz w:val="21"/>
          <w:szCs w:val="21"/>
          <w:color w:val="auto"/>
          <w:vertAlign w:val="superscript"/>
        </w:rPr>
      </w:pPr>
    </w:p>
    <w:p>
      <w:pPr>
        <w:ind w:left="660" w:right="120" w:hanging="328"/>
        <w:spacing w:after="0" w:line="215"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of acquisition-related intangible assets; costs associated with acquisition and divestiture activity; unallocated corporate expenses; and gains or losses on sales of businesses.</w:t>
      </w:r>
    </w:p>
    <w:p>
      <w:pPr>
        <w:ind w:left="660" w:right="180" w:hanging="328"/>
        <w:spacing w:after="0" w:line="220" w:lineRule="auto"/>
        <w:tabs>
          <w:tab w:leader="none" w:pos="64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foreign currency transaction gains and losses, gains or losses from a sale or change in fair value of investments in certain equity securities, and amounts related to debt guarantee arrangements of certain equity method investments.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significant items include: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6"/>
                <w:szCs w:val="16"/>
                <w:color w:val="auto"/>
              </w:rPr>
            </w:pPr>
          </w:p>
        </w:tc>
        <w:tc>
          <w:tcPr>
            <w:tcW w:w="1280" w:type="dxa"/>
            <w:vAlign w:val="bottom"/>
          </w:tcPr>
          <w:p>
            <w:pPr>
              <w:jc w:val="right"/>
              <w:ind w:right="55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550"/>
              <w:spacing w:after="0" w:line="185"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8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Merchant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Financial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20" w:type="dxa"/>
            <w:vAlign w:val="bottom"/>
            <w:tcBorders>
              <w:bottom w:val="single" w:sz="8" w:color="CCEEFF"/>
            </w:tcBorders>
          </w:tcPr>
          <w:p>
            <w:pPr>
              <w:spacing w:after="0"/>
              <w:rPr>
                <w:sz w:val="19"/>
                <w:szCs w:val="19"/>
                <w:color w:val="auto"/>
              </w:rPr>
            </w:pPr>
          </w:p>
        </w:tc>
        <w:tc>
          <w:tcPr>
            <w:tcW w:w="7840" w:type="dxa"/>
            <w:vAlign w:val="bottom"/>
            <w:tcBorders>
              <w:bottom w:val="single" w:sz="8" w:color="CCEEFF"/>
            </w:tcBorders>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Other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Merchant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20" w:type="dxa"/>
            <w:vAlign w:val="bottom"/>
            <w:shd w:val="clear" w:color="auto" w:fill="CCEEFF"/>
          </w:tcPr>
          <w:p>
            <w:pPr>
              <w:spacing w:after="0"/>
              <w:rPr>
                <w:sz w:val="19"/>
                <w:szCs w:val="19"/>
                <w:color w:val="auto"/>
              </w:rPr>
            </w:pP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20" w:type="dxa"/>
            <w:vAlign w:val="bottom"/>
            <w:tcBorders>
              <w:bottom w:val="single" w:sz="8" w:color="CCEEFF"/>
            </w:tcBorders>
          </w:tcPr>
          <w:p>
            <w:pPr>
              <w:spacing w:after="0"/>
              <w:rPr>
                <w:sz w:val="19"/>
                <w:szCs w:val="19"/>
                <w:color w:val="auto"/>
              </w:rPr>
            </w:pPr>
          </w:p>
        </w:tc>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Company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right="340" w:hanging="328"/>
        <w:spacing w:after="0" w:line="230"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associated with commissions, residual buyouts and deferred conversion costs included within personnel expenses, direct costs and other operating expenses, respectively, in the segment operating results tables above.</w:t>
      </w:r>
    </w:p>
    <w:p>
      <w:pPr>
        <w:spacing w:after="0" w:line="1" w:lineRule="exact"/>
        <w:rPr>
          <w:rFonts w:ascii="Times New Roman" w:cs="Times New Roman" w:eastAsia="Times New Roman" w:hAnsi="Times New Roman"/>
          <w:sz w:val="21"/>
          <w:szCs w:val="21"/>
          <w:color w:val="auto"/>
          <w:vertAlign w:val="superscript"/>
        </w:rPr>
      </w:pPr>
    </w:p>
    <w:p>
      <w:pPr>
        <w:ind w:left="640" w:hanging="308"/>
        <w:spacing w:after="0" w:line="191" w:lineRule="auto"/>
        <w:tabs>
          <w:tab w:leader="none" w:pos="64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amortization of acquisition-related intangible assets, such as customer relationships, software/technology and trade names.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evaluate the performance of or allocate resources to its reportable segments using asset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2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“confident,” “likely,” “plan,”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taxes, trade policies and tariffs,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growth strategies; our ability to attract and retain key personnel; adverse impacts from currency exchange rates or currency controls; changes in corporate tax and interest rates; and other factors identified in “Risk Factors” in our Annual Report on Form 10-K for the year ended December 31, 2024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20" w:lineRule="exact"/>
        <w:rPr>
          <w:sz w:val="20"/>
          <w:szCs w:val="20"/>
          <w:color w:val="auto"/>
        </w:rPr>
      </w:pPr>
    </w:p>
    <w:p>
      <w:pPr>
        <w:ind w:left="660" w:right="12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contains background information on our company and the products and services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and the trends affecting our industry in order to provide context for management’s discussion and analysis of our financial condition and results of operations.</w:t>
      </w:r>
    </w:p>
    <w:p>
      <w:pPr>
        <w:spacing w:after="0" w:line="119"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critical accounting policies and estimates. </w:t>
      </w:r>
      <w:r>
        <w:rPr>
          <w:rFonts w:ascii="Times New Roman" w:cs="Times New Roman" w:eastAsia="Times New Roman" w:hAnsi="Times New Roman"/>
          <w:sz w:val="18"/>
          <w:szCs w:val="18"/>
          <w:color w:val="auto"/>
        </w:rPr>
        <w:t>This section contains a discussion of changes since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in the accounting policies that we believe are important to our financial condition and results of operations and that require judgment and estimates on the part of management in their application.</w:t>
      </w:r>
    </w:p>
    <w:p>
      <w:pPr>
        <w:spacing w:after="0" w:line="119" w:lineRule="exact"/>
        <w:rPr>
          <w:rFonts w:ascii="Times New Roman" w:cs="Times New Roman" w:eastAsia="Times New Roman" w:hAnsi="Times New Roman"/>
          <w:sz w:val="18"/>
          <w:szCs w:val="18"/>
          <w:color w:val="auto"/>
        </w:rPr>
      </w:pPr>
    </w:p>
    <w:p>
      <w:pPr>
        <w:ind w:left="660" w:right="640" w:hanging="328"/>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This section contains an analysis of our results of operations presented in the accompanying unaudited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income by comparing the results for the three months ended March 31, 2025 to the comparable period in 2024.</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This section provides an analysis of our cash flows and a discussion of our outstanding debt at March 31,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Background</w:t>
      </w:r>
    </w:p>
    <w:p>
      <w:pPr>
        <w:spacing w:after="0" w:line="15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other financial institutions, corporate and public sector clients. We help clients achieve best-in-class results through a commitment to innovation and excellence in areas including account processing and digital banking solutions; card issuer processing and network services; payments; e-commerce; merchant acquiring 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of America (“U.S.”) and Canada; Europe, Middle East and Africa; Latin America; and Asia Pacific.</w:t>
      </w:r>
    </w:p>
    <w:p>
      <w:pPr>
        <w:spacing w:after="0" w:line="14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aspire to move money and information in a way that moves the world. Our purpose is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investing for organic growth through innovation. Our long-term focus is to meet our financial commitments; continue to build high-quality revenue; deepen client relationships with an emphasis on digital solutions and value-added services; deliver innovation and integration enabling differentiated value for our clients; and generate integration value, including cost and revenue synergies from acquisitions.</w:t>
      </w:r>
    </w:p>
    <w:p>
      <w:pPr>
        <w:spacing w:after="0" w:line="11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businesses in our Merchant Solutions (“Merchant”) segment provide commerce-enabling products and services to companies of all sizes around the world. These products and services include merchant acquiring and digital commerce services; mobile payment services; security and fraud protection solutions; stored-value solutions; software-as-a-service; POS devices; and pay-by-bank solutions. The business lines aggregated within the Merchant segment consist of the following:</w:t>
      </w:r>
    </w:p>
    <w:p>
      <w:pPr>
        <w:spacing w:after="0" w:line="122" w:lineRule="exact"/>
        <w:rPr>
          <w:sz w:val="20"/>
          <w:szCs w:val="20"/>
          <w:color w:val="auto"/>
        </w:rPr>
      </w:pPr>
    </w:p>
    <w:p>
      <w:pPr>
        <w:ind w:left="660" w:right="160" w:hanging="328"/>
        <w:spacing w:after="0" w:line="230"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Small Business – </w:t>
      </w:r>
      <w:r>
        <w:rPr>
          <w:rFonts w:ascii="Times New Roman" w:cs="Times New Roman" w:eastAsia="Times New Roman" w:hAnsi="Times New Roman"/>
          <w:sz w:val="18"/>
          <w:szCs w:val="18"/>
          <w:color w:val="auto"/>
        </w:rPr>
        <w:t>provides products and services to small businesses and independent software vendors (“ISV”), including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POS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management platform for small business clients</w:t>
      </w:r>
    </w:p>
    <w:p>
      <w:pPr>
        <w:spacing w:after="0" w:line="8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Enterprise – </w:t>
      </w:r>
      <w:r>
        <w:rPr>
          <w:rFonts w:ascii="Times New Roman" w:cs="Times New Roman" w:eastAsia="Times New Roman" w:hAnsi="Times New Roman"/>
          <w:sz w:val="18"/>
          <w:szCs w:val="18"/>
          <w:color w:val="auto"/>
        </w:rPr>
        <w:t>provides products and services to large businesses, including our integrated omnichannel operating system for enterprise clients</w:t>
      </w:r>
    </w:p>
    <w:p>
      <w:pPr>
        <w:spacing w:after="0" w:line="117" w:lineRule="exact"/>
        <w:rPr>
          <w:rFonts w:ascii="Times New Roman" w:cs="Times New Roman" w:eastAsia="Times New Roman" w:hAnsi="Times New Roman"/>
          <w:sz w:val="18"/>
          <w:szCs w:val="18"/>
          <w:i w:val="1"/>
          <w:iCs w:val="1"/>
          <w:color w:val="auto"/>
        </w:rPr>
      </w:pPr>
    </w:p>
    <w:p>
      <w:pPr>
        <w:ind w:left="660" w:right="120" w:hanging="328"/>
        <w:spacing w:after="0" w:line="284"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Processing – </w:t>
      </w:r>
      <w:r>
        <w:rPr>
          <w:rFonts w:ascii="Times New Roman" w:cs="Times New Roman" w:eastAsia="Times New Roman" w:hAnsi="Times New Roman"/>
          <w:sz w:val="18"/>
          <w:szCs w:val="18"/>
          <w:color w:val="auto"/>
        </w:rPr>
        <w:t>provides products and services to financial institutions, joint ventures, and other third party resellers which have direct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merchants</w:t>
      </w:r>
    </w:p>
    <w:p>
      <w:pPr>
        <w:spacing w:after="0" w:line="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distribute the products and services in our Merchant segment businesses through a variety of channels, including direct sales teams, strategic partnerships with agent sales forces, ISV’s, financial institutions and other strategic partners in the form of joint venture alliances, revenue sharing alliances and referral agreements.</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businesses in our Financial Solutions (“Financial”) segment provide products and services to financial institution, corporate and public sector clients across the world, enabling the processing of customer loan and deposit accounts, digital payments and card transactions. The business lines aggregated within the Financial segment consist of the following:</w:t>
      </w:r>
    </w:p>
    <w:p>
      <w:pPr>
        <w:spacing w:after="0" w:line="66" w:lineRule="exact"/>
        <w:rPr>
          <w:sz w:val="20"/>
          <w:szCs w:val="20"/>
          <w:color w:val="auto"/>
        </w:rPr>
      </w:pPr>
    </w:p>
    <w:p>
      <w:pPr>
        <w:ind w:left="660" w:right="160" w:hanging="328"/>
        <w:spacing w:after="0" w:line="284"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Digital Payments – </w:t>
      </w:r>
      <w:r>
        <w:rPr>
          <w:rFonts w:ascii="Times New Roman" w:cs="Times New Roman" w:eastAsia="Times New Roman" w:hAnsi="Times New Roman"/>
          <w:sz w:val="18"/>
          <w:szCs w:val="18"/>
          <w:color w:val="auto"/>
        </w:rPr>
        <w:t>provides debit card processing services; debit network services; security and fraud protection products; bill payment; person-to-person payments; and account-to-account transfers</w:t>
      </w:r>
    </w:p>
    <w:p>
      <w:pPr>
        <w:spacing w:after="0" w:line="50"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Issuing – </w:t>
      </w:r>
      <w:r>
        <w:rPr>
          <w:rFonts w:ascii="Times New Roman" w:cs="Times New Roman" w:eastAsia="Times New Roman" w:hAnsi="Times New Roman"/>
          <w:sz w:val="18"/>
          <w:szCs w:val="18"/>
          <w:color w:val="auto"/>
        </w:rPr>
        <w:t>provides credit card processing services; prepaid card processing services; card production services; print services; government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and student loan processing</w:t>
      </w:r>
    </w:p>
    <w:p>
      <w:pPr>
        <w:spacing w:after="0" w:line="50" w:lineRule="exact"/>
        <w:rPr>
          <w:rFonts w:ascii="Times New Roman" w:cs="Times New Roman" w:eastAsia="Times New Roman" w:hAnsi="Times New Roman"/>
          <w:sz w:val="18"/>
          <w:szCs w:val="18"/>
          <w:i w:val="1"/>
          <w:iCs w:val="1"/>
          <w:color w:val="auto"/>
        </w:rPr>
      </w:pPr>
    </w:p>
    <w:p>
      <w:pPr>
        <w:ind w:left="660" w:right="460" w:hanging="328"/>
        <w:spacing w:after="0" w:line="284" w:lineRule="auto"/>
        <w:tabs>
          <w:tab w:leader="none" w:pos="65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Banking – </w:t>
      </w:r>
      <w:r>
        <w:rPr>
          <w:rFonts w:ascii="Times New Roman" w:cs="Times New Roman" w:eastAsia="Times New Roman" w:hAnsi="Times New Roman"/>
          <w:sz w:val="18"/>
          <w:szCs w:val="18"/>
          <w:color w:val="auto"/>
        </w:rPr>
        <w:t>provides customer loan and deposit account processing; digital banking; financial and risk management; professional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check processing</w:t>
      </w:r>
    </w:p>
    <w:p>
      <w:pPr>
        <w:spacing w:after="0" w:line="10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and postage reimbursements.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and Dispositions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frequently review our businesses to ensure we have the necessary assets to execute our strategy. We expect to acquire businesses when we identify: a compelling strategic need, such as a product, service or technology that helps meet client demand; a way to achieve business scale that enables competition and operational efficiency; or similar considerations. We expect to divest businesses that are not in line with our market, product or financial strategies. The results of operations for the following acquired businesses are included in our consolidated results from the respective dates of acquisition.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7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March 2, 2025, we acquired Payfare, Inc. (“Payfare”), a provider of program management solutions powering instant access to earnings and banking solutions for workforces. Payfare is included within the Financial segment and expands our embedded finance capabilities for large enterprises and financial institutions. On March 18, 2025, we acquired CCV Group B.V. (“CCV”), a supplier of POS payment solutions. CCV is included within the Merchant segment and expands our network of payment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solutions, enabling our ability to accelerate the deployment of our Clover POS and business management platform across Europe. We acquired these businesses for an aggregate purchase price, including deferred payments, of approximately $324 million, net of $72 million of acquired cash.</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third quarter of 2024, Wells Fargo Bank, National Association (“Wells Fargo”) provided us with a notice of non-renewal for the Wells Fargo Merchant Services merchant alliance (“WFMS”), which was accounted for as an equity method investment. Upon the expiration of the joint venture on April 1, 2025, we received a cash payment of $453 million, which is subject to adjustment in the second quarter of 2025 upon completion of the contractual valuation and separation process. In connection with the non-renewal of WFMS, we entered into a multi-year agreement with Wells Fargo to provide processing for current and future merchant clients as well as other services to Wells Fargo’s merchant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Merchants</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enable them to serve customers and help manage cash flow and everyday business operations. When combined with the ever-increasing ways a consumer can pay for goods and services, merchants have sought modern end-to-end solutions throughout their growth lifecycle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there are numerous software-as-a-service solution providers in the industry, many of which have chosen to integrate merchant acquiring into their software as a way to generate revenue from existing client relationships. Such providers are independent software vendors, typically referred to as ISVs, and we believe there are numerous potential distribution partnership opportunities to cross-sell multiple value-added solutions available to us.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The depth and breadth of our omnichannel solutions, and flexibility to serve clients across various channels and geographies, drives higher product attach rates with new and existing clients across all verticals. Furthermore, we believe that our strength in distribution, our progress growing software and services, and our value-based pricing as we continue to invest in our operating systems, gives us a solid foundation for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Institutions</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3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Financial institutions must be able to serve their customers with tailored solutions, delivered how and when those customers want. In addition, financial institutions are striving for this single, integrated view of a customer’s activity. This requires financial institutions to not only process customer transactions, but to integrate financial institutions’ products and services to give customers easy access to integrated solutions. We believe that the integration of our products and services creates a compelling value proposition for our clients by providing, among other things, new sources of revenue and opportunities to</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 their costs. We have invested in integrating our platforms and value-added solutions to make it easy for a client to buy across our full product suite.</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expect that financial institutions will continue to invest significant capital to process transactions, manage information, maintain regulatory compliance and offer innovative new services to their customers in this rapidly evolving and competitive environmental shift from traditional to digital banking.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focus on long-term client relationships and recurring, transaction-oriented products and services has reduced the impact that consolidation in the financial services industry has had on us.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We believe that our sizable and diverse client base, combined with our value-added software and services-led model, and our position as a leading provider of non-discretionary, recurring revenue-based products and services, gives us a solid foundation for growth.</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customers can use multiple solutions that span our merchant and financial institutions offerings. Our Merchant and Financial businesses put us at the intersection of commerce and banking, which allows us to discover new ways for these client segments to work together and create long-term growth opportunities for all parties.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Market Conditions</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Global macroeconomic conditions, including changing interest rates, inflation, disruptions in the global supply chain, changes in consumer spending, the effects of international hostilities, political conditions, regulations restricting trade or impacting our ability to offer products or services, and trade policies and tariffs, could have a material adverse effect on our business, results of operations and financial condition. A decline in personal consumption and consumer savings in the U.S. may also negatively impact our business and financial results. We actively monitor and manage our business in response to these unpredictable geopolitical and market conditions, as they may adversely impact our operations and financial results.</w:t>
      </w:r>
    </w:p>
    <w:p>
      <w:pPr>
        <w:spacing w:after="0" w:line="1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addition, our operating results in certain foreign countries in which we operate may be adversely impacted by fluctuations in exchange rates for currencies other than the U.S. dollar, including the Euro, British Pound, Indian Rupee, Brazilian Real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in the U.S., we actively monitor the foreign exchange rate environment and may enter into derivative instruments and utilize other non-derivative hedging instruments with creditworthy institutions in an effort to manage these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Critical Accounting Policies and Estimates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and accompanying notes have been prepared in accordance with accounting principles generally accepted in the United States of America, which require management to make estimates, judgments and assumptions that affect the reported amount of assets, liabilities, revenue and expenses. In our Annual Report on Form 10-K for the year ended December 31, 2024,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For example, we estimate the fair values of identifiable assets acquired and liabilities assumed in connection with acquisitions of businesses and may record purchase accounting adjustments during the measurement period, which may be up to one year from the acquisition date. Additionally, we review the carrying value of goodwill for impairment by comparing the estimated fair values of our reporting units to their respective carrying values. Determining the fair value of a reporting unit involves judgement and the use of significant estimates and assumptions, which include assumptions regarding the revenue growth rates and operating margins used to calculate estimated future cash flows, risk-adjusted discount rates, and future economic and market conditions. There have been no material changes to our critical accounting policies and estimates from those disclosed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non-cash impairment charges, and foreign currency fluctuations.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60" w:type="dxa"/>
            <w:vAlign w:val="bottom"/>
          </w:tcPr>
          <w:p>
            <w:pPr>
              <w:spacing w:after="0"/>
              <w:rPr>
                <w:sz w:val="18"/>
                <w:szCs w:val="18"/>
                <w:color w:val="auto"/>
              </w:rPr>
            </w:pPr>
          </w:p>
        </w:tc>
        <w:tc>
          <w:tcPr>
            <w:tcW w:w="204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Revenue </w:t>
            </w:r>
            <w:r>
              <w:rPr>
                <w:rFonts w:ascii="Times New Roman" w:cs="Times New Roman" w:eastAsia="Times New Roman" w:hAnsi="Times New Roman"/>
                <w:sz w:val="23"/>
                <w:szCs w:val="23"/>
                <w:b w:val="1"/>
                <w:bCs w:val="1"/>
                <w:color w:val="auto"/>
                <w:w w:val="95"/>
                <w:vertAlign w:val="superscript"/>
              </w:rPr>
              <w:t>(1)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Processing and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gain on sale of other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before income taxes and loss from investments</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unconsolidated 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net (loss) income attributable to noncontrolling</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 and redeemable noncontrolling interest</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60" w:right="240" w:hanging="328"/>
        <w:spacing w:after="0" w:line="232" w:lineRule="auto"/>
        <w:tabs>
          <w:tab w:leader="none" w:pos="64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4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2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Merchant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Corporate</w:t>
            </w:r>
          </w:p>
        </w:tc>
        <w:tc>
          <w:tcPr>
            <w:tcW w:w="360" w:type="dxa"/>
            <w:vAlign w:val="bottom"/>
          </w:tcPr>
          <w:p>
            <w:pPr>
              <w:spacing w:after="0"/>
              <w:rPr>
                <w:sz w:val="14"/>
                <w:szCs w:val="14"/>
                <w:color w:val="auto"/>
              </w:rPr>
            </w:pPr>
          </w:p>
        </w:tc>
        <w:tc>
          <w:tcPr>
            <w:tcW w:w="9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3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 growth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growth percentage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 growth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income growth percentage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Operating margin growth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bps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Total revenue increased $247 million, or 5%, in the first quarter of 2025 compared to 2024. The revenue increase was primarily driven by higher processing revenue across our businesses, partially offset by a 2% decrease due to foreign currency exchange rate fluctuations in the first quarter of 2025.</w:t>
      </w:r>
    </w:p>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Revenue in our Merchant segment increased $119 million, or 5%, in the first quarter of 2025 compared to 2024. Small Business contributed 5% to Merchant segment revenue growth in the first quarter of 2025, driven by an increase in payment volumes, primarily from our Clover POS and business management platform. Small Business revenue growth also included increased Clover hardware offerings, and the expansion of our merchant relationships through value-added services. Additionally, Enterprise contributed 2% to Merchant segment revenue growth in the first quarter of 2025, primarily driven by transaction growth. Processing partially offset Merchant segment revenue growth in the first quarter of 2025, primarily driven by a $32 million decrease in termination fee revenue compared to the first quarter of 2024.</w:t>
      </w:r>
    </w:p>
    <w:p>
      <w:pPr>
        <w:spacing w:after="0" w:line="133"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8"/>
          <w:szCs w:val="18"/>
          <w:color w:val="auto"/>
        </w:rPr>
        <w:t>Revenue in our Financial segment increased $132 million, or 6%, in the first quarter of 2025 compared to 2024. Digital Payments contributed 3% to Financial segment revenue growth in the first quarter of 2025, driven by increased data sales, along with an increase in transaction volume, including growth in Zelle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transactions. Issuing contributed 2% to Financial segment growth, driven by an increase in active accounts in the first quarter of 2025. Banking revenue was relatively consistent with the first quarter of 2024.</w:t>
      </w:r>
    </w:p>
    <w:p>
      <w:pPr>
        <w:spacing w:after="0" w:line="1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Revenue at Corporate and Other decreased $4 million, or 1%, in the first quarter of 2025 compared to 2024, as pass-through postage revenue was relatively consistent with the first quarter of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Expenses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Total expenses increased $33 million, or 1%, and total expenses as a percentage of total revenue decreased 300 basis points to 72.8% in the first quarter of 2025 compared to 2024. Total expenses as a percentage of total revenue were favorably impacted by a reduction in amortization of acquisition-related intangible assets of approximately 70 basis points, expense management initiatives and revenue mix.</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increased to 34.3% in the first quarter of 2025 compared to 33.9% in the first quarter of 2024. Cost of processing and services as a percentage of processing and services revenue was impacted by a decrease in high margin termination fee revenue compared to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Cost of product as a percentage of product revenue decreased to 63.0% in the first quarter of 2025 compared to 73.7% in the first quarter of 2024. Cost of product as a percentage of product revenue in the first quarter of 2025 decreased primarily due to increased data sales in the first quarter of 2025, as data sales have a higher margin than other product revenue.</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decreased to 32.8% in the first quarter of 2025 compared to 34.8% in the first quarter of 2024. Selling, general and administrative expenses as a percentage of total revenue was favorably impacted by a reduction in amortization of acquisition-related intangible assets of approximately 70 basis points, as well as expense management initiatives.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Total operating income increased $214 million, or 18%, and total operating margin increased 300 basis points to 27.2% in the first quarter of 2025 compared to 2024. Total operating income and total operating margin benefited from scalable revenue growth and revenue mix.</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Operating income in our Merchant segment increased $41 million, or 5%, and operating margin increased 10 basis points to 34.2% in the first quarter of 2025 compared to 2024. Operating income and operating margin growth in our Merchant segment were primarily due to operating leverage, partially offset by a of $32 million decrease in termination fee revenue compared to the first quarter of 2024.</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income in our Financial segment increased $140 million, or 14%, and operating margin increased 340 basis points to 47.5% in the first quarter of 2025 compared to 2024. Operating income and operating margin growth in our Financial segment were primarily due to increased data sales in the first quarter of 2025, and expense management initiatives.</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operating loss in Corporate and Other decreased $33 million in the first quarter of 2025 compared to 2024. The operating loss in the first quarter of 2025 was primarily due to a reduction of $38 million in amortization of acquisition-related intangible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expense, net increased $70 million, or 27%, in the first quarter of 2025 compared to the first quarter of 2024 due to higher outstanding borrowings under our U.S. dollar commercial paper program and our settlement advance cash program in Latin America, and as a result of our public offering and issuance of $1.75 billion of senior notes in August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expense, net increased $11 million in the first quarter of 2025 compared to the first quarter of 2024. Other expense, net includes the remeasurement of monetary assets and liabilities for subsidiaries located in highly inflationary economies, gains or losses from a sale or change in fair value of investments in certain equity securities, and amounts related to debt guarantee arrangements of certain joint ventures. The remeasurement of monetary assets and liabilities for subsidiaries located in highly inflationary economies, including Argentina, resulted in foreign currency exchange losses of $18 million and $35 million for the three months ended March 31, 2025 and 2024, respectively. Other expense, net in the first quarter of 2024 also included $21 million related to a gain on the remeasurement of certain equity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income tax provision as a percentage of income before income taxes and loss from investments in unconsolidated affiliates was 18.2% and 16.7% for the three months ended March 31, 2025 and 2024, respectively. The effective income tax rate for both the three months ended March 31, 2025 and 2024 included discrete tax benefits from equity compensation. The first quarter of 2025 also included certain non-deductible expenses, resulting in a higher effective income tax rate compared to the first quarter of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Investments in Unconsolidated Affiliates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share of net loss from unconsolidated affiliates accounted for using the equity method is reported as loss from investments in unconsolidated affiliates, and the related tax benefit is reported within the income tax provision in the consolidated statements of income. Loss from investments in unconsolidated affiliates, including acquired intangible asset amortization from valuations in purchase accounting, was $8 million in both the first quarter of 2025 and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Noncontrolling Interests</w:t>
      </w:r>
    </w:p>
    <w:p>
      <w:pPr>
        <w:spacing w:after="0" w:line="1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(loss) income attributable to noncontrolling interests and redeemable noncontrolling interest relates to the minority partners’ share of the net income in our consolidated subsidiaries. Net (loss) income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including acquired intangible asset amortization from valuations in purchase accounting, was $(3) million and $17 million in the first quarter of 2025 and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income attributable to Fiserv, Inc. per share-diluted was $1.51 and $1.24 in the first quarter of 2025 and 2024, respectively. In addition to the impacts to net income attributable to Fiserv, Inc. described above, our diluted weighted average outstanding shares were reduced by 5% in the first quarter of 2025 compared to the first quarter of 2024, due to our share repurchase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$1.2 billion, proceeds from the issuance of U.S. dollar and Euro commercial paper, and available capacity under our revolving credit facility of $201 million (net of outstanding revolver borrowings and $5.8 billion of capacity designated for outstanding borrowings under our commercial paper programs, senior notes due within the next twelve months and letters of credit) at March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7"/>
                <w:szCs w:val="17"/>
                <w:color w:val="auto"/>
              </w:rPr>
            </w:pPr>
          </w:p>
        </w:tc>
        <w:tc>
          <w:tcPr>
            <w:tcW w:w="260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ind w:right="6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 of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162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Our operating cash flow was $648 million in the first three months of 2025, a decrease of 22% compared with $831 million in the first three months of 2024. This decrease was primarily attributable to higher working capital use compared to the first three months of 2024, including increased accounts receivable corresponding to revenue growth, payments for transferable tax credits, and timing of prepaid expenses.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merchant cash advances, share repurchases, acquisitions and to repay debt rather than to pay dividends. Net merchant cash advances, primarily associated with our operations in Latin America, were $243 million during the first three months of 2025. These cash advances are funded through a combination of local operating cash and various short-term lines of credit. Our capital expenditures were approximately 7% and 9% of our total revenue for the first three months of 2025 and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repurchased $2.2 billion and $1.5 billion of our common stock during the first three months of 2025 and 2024, respectively. On February 19, 2025 and February 22, 2023, our board of directors authorized the purchase of up to 60.0 million and 75.0 million shares of our common stock, respectively. As of March 31, 2025, we had approximately 68.3 million shares remaining under our existing share repurchase authorizations. Shares repurchased are generally held for issuance in connection with our equity plans.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of Businesses</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acquired both Payfare and CCV in March 2025 for an aggregate purchase price, including deferred payments, of $324 million, net of $72 million of acquired cash. We funded these acquisitions by utilizing a combination of available cash and proceeds from the issuance of commercial paper. The results of operations for these acquired businesses are included in our consolidated results from the respective dates of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Transactions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third quarter of 2024, Wells Fargo provided us with a notice of non-renewal for WFMS. Upon the expiration of the joint venture on April 1, 2025, we received a cash payment of $453 million, which is subject to adjustment in the second quarter of 2025 upon completion of the contractual valuation and separation process.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0"/>
        </w:trPr>
        <w:tc>
          <w:tcPr>
            <w:tcW w:w="12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Indebtedness</w:t>
            </w: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debt consisted of the following at:</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4"/>
                <w:szCs w:val="24"/>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lines of credit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March 2027</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5.450% senior notes due March 2028</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5.375% senior notes due August 2028</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4.750% senior notes due March 2030</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5.350% senior notes due March 2031</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4.500% senior notes due May 2031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5.600% senior notes due March 2033</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5.625% senior notes due August 2033</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5.450% senior notes due March 2034</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5.150% senior notes due August 2034</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August 2024, we completed the public offering and issuance of $1.75 billion of senior notes, comprised of $850 million aggregate principal amount of 4.750% senior notes due in March 2030 and $900 million aggregate principal amount of 5.150% senior notes due in August 2034. We used the net proceeds from this senior notes offering for general corporate purposes, including the repayment of a portion of our commercial paper notes and for share repurchases.</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2024, we completed the public offering and issuance of $2.0 billion of senior notes, comprised of $750 million aggregate principal amount of 5.150% senior notes due in March 2027, $500 million aggregate principal amount of 5.350% senior notes due in March 2031 and $750 million aggregate principal amount of 5.450% senior notes due in March 2034. We used the net proceeds from this senior notes offering for general corporate purposes, including the repayment of a portion of our commercial paper notes and for share repurchases, and in July 2024, the repayment of a portion of our 2.750% senior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our debt consisted primarily of $21.8 billion of fixed-rate senior notes and $4.1 billion of outstanding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March 31, 2025, the 3.850% senior notes due in June 2025 and 2.250% senior notes due in July 2025 were classified in the consolidated balance sheet as long-term, as we have the intent to refinance this debt on a long-term basis, and the ability to do so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Variable Rate Debt</w:t>
            </w:r>
          </w:p>
        </w:tc>
        <w:tc>
          <w:tcPr>
            <w:tcW w:w="37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March 31, 2025:</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4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various</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26.195%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4.652%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2.584%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June 2027</w:t>
            </w: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5.440%</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7.787%</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maintain various short-term lines of credit and other borrowing arrangements with foreign banks and alliance partners primarily to fund merchant settlement advances associated with operations in Latin America. The following table provides a summary of the outstanding borrowings and weighted average interest rates of our foreign lines of credit and other borrowing arrangements by country at March 31,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Weighted-Average Interest</w:t>
            </w:r>
          </w:p>
        </w:tc>
      </w:tr>
      <w:tr>
        <w:trPr>
          <w:trHeight w:val="241"/>
        </w:trPr>
        <w:tc>
          <w:tcPr>
            <w:tcW w:w="68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Rate</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14.947 %</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Uruguay</w:t>
            </w: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8.971 %</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2.662 %</w:t>
            </w: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26.195 %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merchant cash advances, including our Clover Capital program and settlement activity, during the first three months of 2025 were $243 million. We offer advanced funding of settlement activity associated with operations in Latin America by utilizing local operating cash and various short-term lines of credit. As we collect a portion of the corresponding receivables from card issuers over several months, in the event we are unable to continue to borrow in the Latin America overnight markets, we may fund future advances with our consolidated cash and cash equivalents and available capacity under our revolving credit facility.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unsecured U.S. dollar and Euro commercial paper programs with various maturities generally ranging from one day to four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our commercial paper programs bear interest based on the prevailing rates at the time of issuance.</w:t>
      </w:r>
    </w:p>
    <w:p>
      <w:pPr>
        <w:spacing w:after="0" w:line="15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We also maintain a senior unsecured multicurrency revolving credit facility, which matures in June 2027 and provides for a maximum aggregate principal amount of availability of $6.0 billion. Borrowings under the credit facility bear interest at a variable base rate, determined by the term and currency of the borrowing, plus a specified margin based on our long-term debt rating. Outstanding borrowings under the revolving credit facility were $72 million at March 31, 2025. We are required to pay a facility fee based on the aggregate commitments in effect under the credit agreement from time to time.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Covenants and Compliance</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subsidiaries’ ability to create or assume liens, and (iii) our and certain of our subsidiaries’ ability to engage in sale and leaseback transactions.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at our option, redeem the senior notes, in whole or in part, at any time and from time to time, at the applicable redemption price.</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2025,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Guarantees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and defi SOLUTIONS Group, LLC (collectively, the “Lending Joint Ventures”). The Lending Joint Ventures maintain variable-rate term loan facilities with aggregate outstanding borrowings of $415 million in senior unsecured debt at March 31, 2025 and variable-rate revolving credit facilities with an aggregate borrowing capacity of $83 million with a syndicate of banks, which mature in April 2027. There were $28 million of aggregate outstanding borrowings on the revolving credit facilities at March 31, 2025. We have guaranteed the debt of the Lending Joint Ventures. We maintained a liability of $19 million at March 31, 2025 for the estimated fair value of our non-contingent obligations to stand ready to perform over the term of the guarantee arrangements. Such guarantees will be amortized in future periods over the contractual term of the debt. In addition, we maintained a contingent liability of $12 million at March 31, 2025,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 and do not anticipate that the Lending Joint Ventures will fail to fulfill their debt obligations.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90 days or less that are readily convertible to cash are considered to be cash equivalents as reflected within our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details our cash and cash equivalents held at:</w:t>
            </w:r>
          </w:p>
        </w:tc>
        <w:tc>
          <w:tcPr>
            <w:tcW w:w="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24"/>
                <w:szCs w:val="24"/>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
        </w:trPr>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40" w:type="dxa"/>
            <w:vAlign w:val="bottom"/>
          </w:tcPr>
          <w:p>
            <w:pPr>
              <w:spacing w:after="0"/>
              <w:rPr>
                <w:sz w:val="19"/>
                <w:szCs w:val="19"/>
                <w:color w:val="auto"/>
              </w:rPr>
            </w:pPr>
          </w:p>
        </w:tc>
        <w:tc>
          <w:tcPr>
            <w:tcW w:w="69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48"/>
        </w:trPr>
        <w:tc>
          <w:tcPr>
            <w:tcW w:w="40" w:type="dxa"/>
            <w:vAlign w:val="bottom"/>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420" w:hanging="328"/>
        <w:spacing w:after="0" w:line="225"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exposure to foreign currency exchange risks generally arises from our international operations to the extent they are conducted in local currency. The major currencies to which our revenues are exposed are the Argentine Peso, Brazilian Real, British Pound, Euro and Indian Rupee. Changes in the value of underlying monetary assets and liabilities of our non-U.S. dollar-denominated foreign investments and foreign currency transactions in highly inflationary economies, primarily Argentina, may result in foreign currency exchange losses. We also have exposure to risks related to currency devaluation in certain countries, including Argentina, which may negatively impact our international operating results if there is a prolonged devaluation of local currencies relative to the U.S. dollar or if the economic conditions in these countries decline.</w:t>
      </w:r>
    </w:p>
    <w:p>
      <w:pPr>
        <w:spacing w:after="0" w:line="13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Additional information about market risks to which we are exposed is included within Item 7A of our Annual Report on Form 10-K for the year ended December 31, 2024. There were no significant changes to our quantitative and qualitative analyses about market risk during the three months ended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March 31,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March 31, 2025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 of shares of our common stock during the three months ended March 31,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7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7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or Programs </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Pr>
          <w:p>
            <w:pPr>
              <w:spacing w:after="0"/>
              <w:rPr>
                <w:sz w:val="17"/>
                <w:szCs w:val="17"/>
                <w:color w:val="auto"/>
              </w:rPr>
            </w:pPr>
          </w:p>
        </w:tc>
        <w:tc>
          <w:tcPr>
            <w:tcW w:w="20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1-31, 2025</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207.67</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2,166,917</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15,867,855</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1-28, 2025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232.02</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3,230,000</w:t>
            </w:r>
          </w:p>
        </w:tc>
        <w:tc>
          <w:tcPr>
            <w:tcW w:w="21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72,637,855</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4,324,451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4,324,451</w:t>
            </w:r>
          </w:p>
        </w:tc>
        <w:tc>
          <w:tcPr>
            <w:tcW w:w="2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68,313,404</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9,721,368</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160" w:hanging="328"/>
        <w:spacing w:after="0" w:line="22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February 19, 2025 and February 22, 2023, our board of directors authorized the purchase of up to 60.0 million and 75.0 million shares of our common stock, respectively. These authorizations do not expire.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200" w:firstLine="8"/>
        <w:spacing w:after="0" w:line="282"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none of the Company’s directors or Section 16 officers adopted or terminated a Rule 10b5-1 Trading Plan or “non-Rule 10b5-1 trading arrangement,” as defined in Item 408(a)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Quarterly Report on Form 10-Q.</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40" w:type="dxa"/>
            <w:vAlign w:val="bottom"/>
            <w:gridSpan w:val="4"/>
          </w:tcPr>
          <w:p>
            <w:pPr>
              <w:ind w:left="1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18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175"/>
        </w:trPr>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Number</w:t>
            </w:r>
          </w:p>
        </w:tc>
        <w:tc>
          <w:tcPr>
            <w:tcW w:w="91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40" w:type="dxa"/>
            <w:vAlign w:val="bottom"/>
          </w:tcPr>
          <w:p>
            <w:pPr>
              <w:spacing w:after="0"/>
              <w:rPr>
                <w:sz w:val="22"/>
                <w:szCs w:val="22"/>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spacing w:after="0"/>
              <w:rPr>
                <w:sz w:val="24"/>
                <w:szCs w:val="24"/>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2002</w:t>
            </w:r>
          </w:p>
        </w:tc>
        <w:tc>
          <w:tcPr>
            <w:tcW w:w="980" w:type="dxa"/>
            <w:vAlign w:val="bottom"/>
            <w:tcBorders>
              <w:top w:val="single" w:sz="8" w:color="0000FF"/>
            </w:tcBorders>
          </w:tcPr>
          <w:p>
            <w:pPr>
              <w:spacing w:after="0"/>
              <w:rPr>
                <w:sz w:val="13"/>
                <w:szCs w:val="13"/>
                <w:color w:val="auto"/>
              </w:rPr>
            </w:pPr>
          </w:p>
        </w:tc>
        <w:tc>
          <w:tcPr>
            <w:tcW w:w="60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33"/>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71" w:lineRule="exact"/>
        <w:rPr>
          <w:sz w:val="20"/>
          <w:szCs w:val="20"/>
          <w:color w:val="auto"/>
        </w:rPr>
      </w:pPr>
    </w:p>
    <w:p>
      <w:pPr>
        <w:ind w:left="280" w:hanging="272"/>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quarterly report on Form 10-Q are the following documents formatted in iXBRL (Inline Extensible Business Reporting Language):</w:t>
      </w:r>
    </w:p>
    <w:p>
      <w:pPr>
        <w:spacing w:after="0" w:line="27" w:lineRule="exact"/>
        <w:rPr>
          <w:rFonts w:ascii="Times New Roman" w:cs="Times New Roman" w:eastAsia="Times New Roman" w:hAnsi="Times New Roman"/>
          <w:sz w:val="18"/>
          <w:szCs w:val="18"/>
          <w:color w:val="auto"/>
        </w:rPr>
      </w:pPr>
    </w:p>
    <w:p>
      <w:pPr>
        <w:ind w:left="340" w:right="180" w:hanging="8"/>
        <w:spacing w:after="0" w:line="265" w:lineRule="auto"/>
        <w:tabs>
          <w:tab w:leader="none" w:pos="55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Statements of Income for the three months ended March 31, 2025 and 2024, (ii) the Consolidated Statements of Comprehensive Income for the three months ended March 31, 2025 and 2024, (iii) the Consolidated Balance Sheets at March 31, 2025 and December 31, 2024,</w:t>
      </w:r>
    </w:p>
    <w:p>
      <w:pPr>
        <w:ind w:left="340" w:right="20" w:hanging="8"/>
        <w:spacing w:after="0" w:line="260" w:lineRule="auto"/>
        <w:tabs>
          <w:tab w:leader="none" w:pos="6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Cash Flows for the three months ended March 31, 2025 and 2024, (v) Notes to Consolidated Financial Statements, and (vi) the information included in Part II, Item 5(c).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8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25, 2025</w:t>
            </w:r>
          </w:p>
        </w:tc>
        <w:tc>
          <w:tcPr>
            <w:tcW w:w="2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7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25, 2025</w:t>
            </w:r>
          </w:p>
        </w:tc>
        <w:tc>
          <w:tcPr>
            <w:tcW w:w="27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F. Best</w:t>
            </w:r>
          </w:p>
        </w:tc>
      </w:tr>
      <w:tr>
        <w:trPr>
          <w:trHeight w:val="218"/>
        </w:trPr>
        <w:tc>
          <w:tcPr>
            <w:tcW w:w="5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F. Best</w:t>
            </w:r>
          </w:p>
        </w:tc>
      </w:tr>
      <w:tr>
        <w:trPr>
          <w:trHeight w:val="234"/>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21"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20" w:val="left"/>
        </w:tabs>
        <w:rPr>
          <w:sz w:val="20"/>
          <w:szCs w:val="20"/>
          <w:color w:val="auto"/>
        </w:rPr>
      </w:pPr>
      <w:r>
        <w:rPr>
          <w:rFonts w:ascii="Times New Roman" w:cs="Times New Roman" w:eastAsia="Times New Roman" w:hAnsi="Times New Roman"/>
          <w:sz w:val="18"/>
          <w:szCs w:val="18"/>
          <w:color w:val="auto"/>
        </w:rPr>
        <w:t>Date: April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43180</wp:posOffset>
            </wp:positionV>
            <wp:extent cx="23399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Frank J. Bisignano</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Fiserv,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p>
      <w:pPr>
        <w:ind w:left="1120"/>
        <w:spacing w:after="0"/>
        <w:tabs>
          <w:tab w:leader="none" w:pos="4560" w:val="left"/>
          <w:tab w:leader="none" w:pos="5140" w:val="left"/>
        </w:tabs>
        <w:rPr>
          <w:sz w:val="20"/>
          <w:szCs w:val="20"/>
          <w:color w:val="auto"/>
        </w:rPr>
      </w:pPr>
      <w:r>
        <w:rPr>
          <w:rFonts w:ascii="Times New Roman" w:cs="Times New Roman" w:eastAsia="Times New Roman" w:hAnsi="Times New Roman"/>
          <w:sz w:val="18"/>
          <w:szCs w:val="18"/>
          <w:color w:val="auto"/>
        </w:rPr>
        <w:t>Date: April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Robert W. Hau</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Fiserv, Inc. (the “Company”) for the quarter ended March 31, 2025 as filed with the Securities and Exchange Commission on the date hereof (the “Report”), Frank J. Bisignano, as Chairman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99" w:lineRule="exact"/>
        <w:rPr>
          <w:sz w:val="20"/>
          <w:szCs w:val="20"/>
          <w:color w:val="auto"/>
        </w:rPr>
      </w:pPr>
    </w:p>
    <w:p>
      <w:pPr>
        <w:ind w:left="560" w:hanging="309"/>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tbl>
      <w:tblPr>
        <w:tblLayout w:type="fixed"/>
        <w:tblInd w:w="60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25, 2025</w:t>
            </w:r>
          </w:p>
        </w:tc>
      </w:tr>
      <w:tr>
        <w:trPr>
          <w:trHeight w:val="8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900" w:type="dxa"/>
            <w:vAlign w:val="bottom"/>
          </w:tcPr>
          <w:p>
            <w:pPr>
              <w:spacing w:after="0"/>
              <w:rPr>
                <w:sz w:val="18"/>
                <w:szCs w:val="18"/>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29"/>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25, 2025</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lvl w:ilvl="1">
      <w:lvlJc w:val="left"/>
      <w:lvlText w:val="(%2)"/>
      <w:numFmt w:val="decimal"/>
      <w:start w:val="1"/>
    </w:lvl>
  </w:abstractNum>
  <w:abstractNum w:abstractNumId="6">
    <w:nsid w:val="6B68079A"/>
    <w:multiLevelType w:val="hybridMultilevel"/>
    <w:lvl w:ilvl="0">
      <w:lvlJc w:val="left"/>
      <w:lvlText w:val="%1."/>
      <w:numFmt w:val="decimal"/>
      <w:start w:val="13"/>
    </w:lvl>
    <w:lvl w:ilvl="1">
      <w:lvlJc w:val="left"/>
      <w:lvlText w:val="%2"/>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
      <w:numFmt w:val="bullet"/>
      <w:start w:val="1"/>
    </w:lvl>
    <w:lvl w:ilvl="1">
      <w:lvlJc w:val="left"/>
      <w:lvlText w:val="(%2)"/>
      <w:numFmt w:val="lowerRoman"/>
      <w:start w:val="1"/>
    </w:lvl>
  </w:abstractNum>
  <w:abstractNum w:abstractNumId="21">
    <w:nsid w:val="6763845E"/>
    <w:multiLevelType w:val="hybridMultilevel"/>
    <w:lvl w:ilvl="0">
      <w:lvlJc w:val="left"/>
      <w:lvlText w:val="*"/>
      <w:numFmt w:val="bullet"/>
      <w:start w:val="1"/>
    </w:lvl>
    <w:lvl w:ilvl="1">
      <w:lvlJc w:val="left"/>
      <w:lvlText w:val="(%2)"/>
      <w:numFmt w:val="lowerRoman"/>
      <w:start w:val="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2025-04-25T05:40:51Z</dcterms:created>
  <dcterms:modified xsi:type="dcterms:W3CDTF">2025-04-25T05:40:51Z</dcterms:modified>
</cp:coreProperties>
</file>