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301"/>
        <w:spacing w:after="0"/>
        <w:rPr>
          <w:sz w:val="20"/>
          <w:szCs w:val="20"/>
          <w:color w:val="auto"/>
        </w:rPr>
      </w:pPr>
      <w:r>
        <w:rPr>
          <w:rFonts w:ascii="Courier New" w:cs="Courier New" w:eastAsia="Courier New" w:hAnsi="Courier New"/>
          <w:sz w:val="16"/>
          <w:szCs w:val="16"/>
          <w:color w:val="auto"/>
        </w:rPr>
        <w:t>1</w:t>
      </w:r>
    </w:p>
    <w:p>
      <w:pPr>
        <w:spacing w:after="0" w:line="191" w:lineRule="exact"/>
        <w:rPr>
          <w:sz w:val="24"/>
          <w:szCs w:val="24"/>
          <w:color w:val="auto"/>
        </w:rPr>
      </w:pPr>
    </w:p>
    <w:p>
      <w:pPr>
        <w:ind w:left="381"/>
        <w:spacing w:after="0"/>
        <w:rPr>
          <w:sz w:val="20"/>
          <w:szCs w:val="20"/>
          <w:color w:val="auto"/>
        </w:rPr>
      </w:pPr>
      <w:r>
        <w:rPr>
          <w:rFonts w:ascii="Courier New" w:cs="Courier New" w:eastAsia="Courier New" w:hAnsi="Courier New"/>
          <w:sz w:val="16"/>
          <w:szCs w:val="16"/>
          <w:color w:val="auto"/>
        </w:rPr>
        <w:t>As filed with the Securities and Exchange Commission on April 10, 2000</w:t>
      </w:r>
    </w:p>
    <w:p>
      <w:pPr>
        <w:spacing w:after="0" w:line="378" w:lineRule="exact"/>
        <w:rPr>
          <w:sz w:val="24"/>
          <w:szCs w:val="24"/>
          <w:color w:val="auto"/>
        </w:rPr>
      </w:pPr>
    </w:p>
    <w:p>
      <w:pPr>
        <w:ind w:left="5241"/>
        <w:spacing w:after="0"/>
        <w:rPr>
          <w:sz w:val="20"/>
          <w:szCs w:val="20"/>
          <w:color w:val="auto"/>
        </w:rPr>
      </w:pPr>
      <w:r>
        <w:rPr>
          <w:rFonts w:ascii="Courier New" w:cs="Courier New" w:eastAsia="Courier New" w:hAnsi="Courier New"/>
          <w:sz w:val="16"/>
          <w:szCs w:val="16"/>
          <w:color w:val="auto"/>
        </w:rPr>
        <w:t>Registration No. 333-94757</w:t>
      </w:r>
    </w:p>
    <w:p>
      <w:pPr>
        <w:spacing w:after="0" w:line="5" w:lineRule="exact"/>
        <w:rPr>
          <w:sz w:val="24"/>
          <w:szCs w:val="24"/>
          <w:color w:val="auto"/>
        </w:rPr>
      </w:pPr>
    </w:p>
    <w:p>
      <w:pPr>
        <w:ind w:left="201" w:hanging="201"/>
        <w:spacing w:after="0"/>
        <w:tabs>
          <w:tab w:leader="none" w:pos="20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5" w:lineRule="exact"/>
        <w:rPr>
          <w:rFonts w:ascii="Courier New" w:cs="Courier New" w:eastAsia="Courier New" w:hAnsi="Courier New"/>
          <w:sz w:val="16"/>
          <w:szCs w:val="16"/>
          <w:color w:val="auto"/>
        </w:rPr>
      </w:pPr>
    </w:p>
    <w:p>
      <w:pPr>
        <w:ind w:left="2221"/>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SECURITIES AND EXCHANGE COMMISSION</w:t>
      </w:r>
    </w:p>
    <w:p>
      <w:pPr>
        <w:spacing w:after="0" w:line="5" w:lineRule="exact"/>
        <w:rPr>
          <w:rFonts w:ascii="Courier New" w:cs="Courier New" w:eastAsia="Courier New" w:hAnsi="Courier New"/>
          <w:sz w:val="16"/>
          <w:szCs w:val="16"/>
          <w:color w:val="auto"/>
        </w:rPr>
      </w:pPr>
    </w:p>
    <w:p>
      <w:pPr>
        <w:ind w:left="2801"/>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WASHINGTON, D.C. 20549</w:t>
      </w:r>
    </w:p>
    <w:p>
      <w:pPr>
        <w:spacing w:after="0" w:line="5" w:lineRule="exact"/>
        <w:rPr>
          <w:rFonts w:ascii="Courier New" w:cs="Courier New" w:eastAsia="Courier New" w:hAnsi="Courier New"/>
          <w:sz w:val="16"/>
          <w:szCs w:val="16"/>
          <w:color w:val="auto"/>
        </w:rPr>
      </w:pPr>
    </w:p>
    <w:p>
      <w:pPr>
        <w:ind w:left="2721"/>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91" w:lineRule="exact"/>
        <w:rPr>
          <w:sz w:val="24"/>
          <w:szCs w:val="24"/>
          <w:color w:val="auto"/>
        </w:rPr>
      </w:pPr>
    </w:p>
    <w:p>
      <w:pPr>
        <w:ind w:left="3101"/>
        <w:spacing w:after="0"/>
        <w:rPr>
          <w:sz w:val="20"/>
          <w:szCs w:val="20"/>
          <w:color w:val="auto"/>
        </w:rPr>
      </w:pPr>
      <w:r>
        <w:rPr>
          <w:rFonts w:ascii="Courier New" w:cs="Courier New" w:eastAsia="Courier New" w:hAnsi="Courier New"/>
          <w:sz w:val="16"/>
          <w:szCs w:val="16"/>
          <w:color w:val="auto"/>
        </w:rPr>
        <w:t>AMENDMENT NO. 2</w:t>
      </w:r>
    </w:p>
    <w:p>
      <w:pPr>
        <w:spacing w:after="0" w:line="191" w:lineRule="exact"/>
        <w:rPr>
          <w:sz w:val="24"/>
          <w:szCs w:val="24"/>
          <w:color w:val="auto"/>
        </w:rPr>
      </w:pPr>
    </w:p>
    <w:p>
      <w:pPr>
        <w:jc w:val="center"/>
        <w:ind w:right="2459"/>
        <w:spacing w:after="0"/>
        <w:rPr>
          <w:sz w:val="20"/>
          <w:szCs w:val="20"/>
          <w:color w:val="auto"/>
        </w:rPr>
      </w:pPr>
      <w:r>
        <w:rPr>
          <w:rFonts w:ascii="Courier New" w:cs="Courier New" w:eastAsia="Courier New" w:hAnsi="Courier New"/>
          <w:sz w:val="16"/>
          <w:szCs w:val="16"/>
          <w:color w:val="auto"/>
        </w:rPr>
        <w:t>TO</w:t>
      </w:r>
    </w:p>
    <w:p>
      <w:pPr>
        <w:spacing w:after="0" w:line="5" w:lineRule="exact"/>
        <w:rPr>
          <w:sz w:val="24"/>
          <w:szCs w:val="24"/>
          <w:color w:val="auto"/>
        </w:rPr>
      </w:pPr>
    </w:p>
    <w:p>
      <w:pPr>
        <w:jc w:val="center"/>
        <w:ind w:right="2459"/>
        <w:spacing w:after="0"/>
        <w:rPr>
          <w:sz w:val="20"/>
          <w:szCs w:val="20"/>
          <w:color w:val="auto"/>
        </w:rPr>
      </w:pPr>
      <w:r>
        <w:rPr>
          <w:rFonts w:ascii="Courier New" w:cs="Courier New" w:eastAsia="Courier New" w:hAnsi="Courier New"/>
          <w:sz w:val="16"/>
          <w:szCs w:val="16"/>
          <w:color w:val="auto"/>
        </w:rPr>
        <w:t>FORM S-3</w:t>
      </w:r>
    </w:p>
    <w:p>
      <w:pPr>
        <w:spacing w:after="0" w:line="5" w:lineRule="exact"/>
        <w:rPr>
          <w:sz w:val="24"/>
          <w:szCs w:val="24"/>
          <w:color w:val="auto"/>
        </w:rPr>
      </w:pPr>
    </w:p>
    <w:p>
      <w:pPr>
        <w:jc w:val="center"/>
        <w:ind w:right="2379"/>
        <w:spacing w:after="0"/>
        <w:rPr>
          <w:sz w:val="20"/>
          <w:szCs w:val="20"/>
          <w:color w:val="auto"/>
        </w:rPr>
      </w:pPr>
      <w:r>
        <w:rPr>
          <w:rFonts w:ascii="Courier New" w:cs="Courier New" w:eastAsia="Courier New" w:hAnsi="Courier New"/>
          <w:sz w:val="16"/>
          <w:szCs w:val="16"/>
          <w:color w:val="auto"/>
        </w:rPr>
        <w:t>REGISTRATION STATEMENT UNDER THE SECURITIES ACT OF 1933</w:t>
      </w:r>
    </w:p>
    <w:p>
      <w:pPr>
        <w:spacing w:after="0" w:line="5" w:lineRule="exact"/>
        <w:rPr>
          <w:sz w:val="24"/>
          <w:szCs w:val="24"/>
          <w:color w:val="auto"/>
        </w:rPr>
      </w:pPr>
    </w:p>
    <w:p>
      <w:pPr>
        <w:ind w:left="2721"/>
        <w:spacing w:after="0"/>
        <w:rPr>
          <w:sz w:val="20"/>
          <w:szCs w:val="20"/>
          <w:color w:val="auto"/>
        </w:rPr>
      </w:pPr>
      <w:r>
        <w:rPr>
          <w:rFonts w:ascii="Courier New" w:cs="Courier New" w:eastAsia="Courier New" w:hAnsi="Courier New"/>
          <w:sz w:val="16"/>
          <w:szCs w:val="16"/>
          <w:color w:val="auto"/>
        </w:rPr>
        <w:t>------------------------</w:t>
      </w:r>
    </w:p>
    <w:p>
      <w:pPr>
        <w:spacing w:after="0" w:line="191" w:lineRule="exact"/>
        <w:rPr>
          <w:sz w:val="24"/>
          <w:szCs w:val="24"/>
          <w:color w:val="auto"/>
        </w:rPr>
      </w:pPr>
    </w:p>
    <w:p>
      <w:pPr>
        <w:ind w:left="2421"/>
        <w:spacing w:after="0"/>
        <w:rPr>
          <w:sz w:val="20"/>
          <w:szCs w:val="20"/>
          <w:color w:val="auto"/>
        </w:rPr>
      </w:pPr>
      <w:r>
        <w:rPr>
          <w:rFonts w:ascii="Courier New" w:cs="Courier New" w:eastAsia="Courier New" w:hAnsi="Courier New"/>
          <w:sz w:val="16"/>
          <w:szCs w:val="16"/>
          <w:color w:val="auto"/>
        </w:rPr>
        <w:t>CHECKFREE HOLDINGS CORPORATION</w:t>
      </w:r>
    </w:p>
    <w:p>
      <w:pPr>
        <w:spacing w:after="0" w:line="5" w:lineRule="exact"/>
        <w:rPr>
          <w:sz w:val="24"/>
          <w:szCs w:val="24"/>
          <w:color w:val="auto"/>
        </w:rPr>
      </w:pPr>
    </w:p>
    <w:p>
      <w:pPr>
        <w:ind w:left="1061"/>
        <w:spacing w:after="0"/>
        <w:rPr>
          <w:sz w:val="20"/>
          <w:szCs w:val="20"/>
          <w:color w:val="auto"/>
        </w:rPr>
      </w:pPr>
      <w:r>
        <w:rPr>
          <w:rFonts w:ascii="Courier New" w:cs="Courier New" w:eastAsia="Courier New" w:hAnsi="Courier New"/>
          <w:sz w:val="16"/>
          <w:szCs w:val="16"/>
          <w:color w:val="auto"/>
        </w:rPr>
        <w:t>CHECKFREE SERVICES CORPORATION (FORMERLY CHECKFREE CORPORATION)</w:t>
      </w:r>
    </w:p>
    <w:p>
      <w:pPr>
        <w:spacing w:after="0" w:line="5" w:lineRule="exact"/>
        <w:rPr>
          <w:sz w:val="24"/>
          <w:szCs w:val="24"/>
          <w:color w:val="auto"/>
        </w:rPr>
      </w:pPr>
    </w:p>
    <w:p>
      <w:pPr>
        <w:ind w:left="2321"/>
        <w:spacing w:after="0"/>
        <w:rPr>
          <w:sz w:val="20"/>
          <w:szCs w:val="20"/>
          <w:color w:val="auto"/>
        </w:rPr>
      </w:pPr>
      <w:r>
        <w:rPr>
          <w:rFonts w:ascii="Courier New" w:cs="Courier New" w:eastAsia="Courier New" w:hAnsi="Courier New"/>
          <w:sz w:val="16"/>
          <w:szCs w:val="16"/>
          <w:color w:val="auto"/>
        </w:rPr>
        <w:t>CHECKFREE INVESTMENT CORPORATION</w:t>
      </w:r>
    </w:p>
    <w:p>
      <w:pPr>
        <w:spacing w:after="0" w:line="5" w:lineRule="exact"/>
        <w:rPr>
          <w:sz w:val="24"/>
          <w:szCs w:val="24"/>
          <w:color w:val="auto"/>
        </w:rPr>
      </w:pPr>
    </w:p>
    <w:p>
      <w:pPr>
        <w:jc w:val="center"/>
        <w:ind w:right="2459"/>
        <w:spacing w:after="0" w:line="247" w:lineRule="auto"/>
        <w:rPr>
          <w:sz w:val="20"/>
          <w:szCs w:val="20"/>
          <w:color w:val="auto"/>
        </w:rPr>
      </w:pPr>
      <w:r>
        <w:rPr>
          <w:rFonts w:ascii="Courier New" w:cs="Courier New" w:eastAsia="Courier New" w:hAnsi="Courier New"/>
          <w:sz w:val="16"/>
          <w:szCs w:val="16"/>
          <w:color w:val="auto"/>
        </w:rPr>
        <w:t>CHECKFREE INVESTMENT SERVICES, INC. CHECKFREE MANAGEMENT CORPORATION (Exact name of Registrant as specified in its charter)</w:t>
      </w:r>
    </w:p>
    <w:p>
      <w:pPr>
        <w:spacing w:after="0" w:line="186" w:lineRule="exact"/>
        <w:rPr>
          <w:sz w:val="24"/>
          <w:szCs w:val="24"/>
          <w:color w:val="auto"/>
        </w:rPr>
      </w:pPr>
    </w:p>
    <w:p>
      <w:pPr>
        <w:ind w:left="1" w:right="2459" w:firstLine="1066"/>
        <w:spacing w:after="0" w:line="247" w:lineRule="auto"/>
        <w:rPr>
          <w:sz w:val="20"/>
          <w:szCs w:val="20"/>
          <w:color w:val="auto"/>
        </w:rPr>
      </w:pPr>
      <w:r>
        <w:rPr>
          <w:rFonts w:ascii="Courier New" w:cs="Courier New" w:eastAsia="Courier New" w:hAnsi="Courier New"/>
          <w:sz w:val="16"/>
          <w:szCs w:val="16"/>
          <w:color w:val="auto"/>
        </w:rPr>
        <w:t>Delaware 7374 58-2360335 (State or other jurisdiction of (Primary Standard Industrial (I.R.S. Employer incorporation or organization) Classification Code Number) Identification No.)</w:t>
      </w:r>
    </w:p>
    <w:p>
      <w:pPr>
        <w:spacing w:after="0" w:line="186" w:lineRule="exact"/>
        <w:rPr>
          <w:sz w:val="24"/>
          <w:szCs w:val="24"/>
          <w:color w:val="auto"/>
        </w:rPr>
      </w:pPr>
    </w:p>
    <w:p>
      <w:pPr>
        <w:ind w:left="2721"/>
        <w:spacing w:after="0"/>
        <w:rPr>
          <w:sz w:val="20"/>
          <w:szCs w:val="20"/>
          <w:color w:val="auto"/>
        </w:rPr>
      </w:pPr>
      <w:r>
        <w:rPr>
          <w:rFonts w:ascii="Courier New" w:cs="Courier New" w:eastAsia="Courier New" w:hAnsi="Courier New"/>
          <w:sz w:val="16"/>
          <w:szCs w:val="16"/>
          <w:color w:val="auto"/>
        </w:rPr>
        <w:t>------------------------</w:t>
      </w:r>
    </w:p>
    <w:p>
      <w:pPr>
        <w:spacing w:after="0" w:line="191" w:lineRule="exact"/>
        <w:rPr>
          <w:sz w:val="24"/>
          <w:szCs w:val="24"/>
          <w:color w:val="auto"/>
        </w:rPr>
      </w:pPr>
    </w:p>
    <w:p>
      <w:pPr>
        <w:jc w:val="center"/>
        <w:ind w:right="2379"/>
        <w:spacing w:after="0"/>
        <w:rPr>
          <w:sz w:val="20"/>
          <w:szCs w:val="20"/>
          <w:color w:val="auto"/>
        </w:rPr>
      </w:pPr>
      <w:r>
        <w:rPr>
          <w:rFonts w:ascii="Courier New" w:cs="Courier New" w:eastAsia="Courier New" w:hAnsi="Courier New"/>
          <w:sz w:val="16"/>
          <w:szCs w:val="16"/>
          <w:color w:val="auto"/>
        </w:rPr>
        <w:t>4411 East Jones Bridge Road</w:t>
      </w:r>
    </w:p>
    <w:p>
      <w:pPr>
        <w:spacing w:after="0" w:line="5" w:lineRule="exact"/>
        <w:rPr>
          <w:sz w:val="24"/>
          <w:szCs w:val="24"/>
          <w:color w:val="auto"/>
        </w:rPr>
      </w:pPr>
    </w:p>
    <w:p>
      <w:pPr>
        <w:jc w:val="center"/>
        <w:ind w:right="2379"/>
        <w:spacing w:after="0"/>
        <w:rPr>
          <w:sz w:val="20"/>
          <w:szCs w:val="20"/>
          <w:color w:val="auto"/>
        </w:rPr>
      </w:pPr>
      <w:r>
        <w:rPr>
          <w:rFonts w:ascii="Courier New" w:cs="Courier New" w:eastAsia="Courier New" w:hAnsi="Courier New"/>
          <w:sz w:val="16"/>
          <w:szCs w:val="16"/>
          <w:color w:val="auto"/>
        </w:rPr>
        <w:t>Norcross, Georgia 30092</w:t>
      </w:r>
    </w:p>
    <w:p>
      <w:pPr>
        <w:spacing w:after="0" w:line="191" w:lineRule="exact"/>
        <w:rPr>
          <w:sz w:val="24"/>
          <w:szCs w:val="24"/>
          <w:color w:val="auto"/>
        </w:rPr>
      </w:pPr>
    </w:p>
    <w:p>
      <w:pPr>
        <w:jc w:val="center"/>
        <w:ind w:right="2459"/>
        <w:spacing w:after="0"/>
        <w:rPr>
          <w:sz w:val="20"/>
          <w:szCs w:val="20"/>
          <w:color w:val="auto"/>
        </w:rPr>
      </w:pPr>
      <w:r>
        <w:rPr>
          <w:rFonts w:ascii="Courier New" w:cs="Courier New" w:eastAsia="Courier New" w:hAnsi="Courier New"/>
          <w:sz w:val="16"/>
          <w:szCs w:val="16"/>
          <w:color w:val="auto"/>
        </w:rPr>
        <w:t>(678) 375-3000</w:t>
      </w:r>
    </w:p>
    <w:p>
      <w:pPr>
        <w:spacing w:after="0" w:line="191" w:lineRule="exact"/>
        <w:rPr>
          <w:sz w:val="24"/>
          <w:szCs w:val="24"/>
          <w:color w:val="auto"/>
        </w:rPr>
      </w:pPr>
    </w:p>
    <w:p>
      <w:pPr>
        <w:jc w:val="center"/>
        <w:ind w:right="2379"/>
        <w:spacing w:after="0"/>
        <w:rPr>
          <w:sz w:val="20"/>
          <w:szCs w:val="20"/>
          <w:color w:val="auto"/>
        </w:rPr>
      </w:pPr>
      <w:r>
        <w:rPr>
          <w:rFonts w:ascii="Courier New" w:cs="Courier New" w:eastAsia="Courier New" w:hAnsi="Courier New"/>
          <w:sz w:val="16"/>
          <w:szCs w:val="16"/>
          <w:color w:val="auto"/>
        </w:rPr>
        <w:t>(Address, including zip code, and telephone number, including</w:t>
      </w:r>
    </w:p>
    <w:p>
      <w:pPr>
        <w:spacing w:after="0" w:line="5" w:lineRule="exact"/>
        <w:rPr>
          <w:sz w:val="24"/>
          <w:szCs w:val="24"/>
          <w:color w:val="auto"/>
        </w:rPr>
      </w:pPr>
    </w:p>
    <w:p>
      <w:pPr>
        <w:jc w:val="center"/>
        <w:ind w:right="2379"/>
        <w:spacing w:after="0"/>
        <w:rPr>
          <w:sz w:val="20"/>
          <w:szCs w:val="20"/>
          <w:color w:val="auto"/>
        </w:rPr>
      </w:pPr>
      <w:r>
        <w:rPr>
          <w:rFonts w:ascii="Courier New" w:cs="Courier New" w:eastAsia="Courier New" w:hAnsi="Courier New"/>
          <w:sz w:val="16"/>
          <w:szCs w:val="16"/>
          <w:color w:val="auto"/>
        </w:rPr>
        <w:t>area code, of Registrant's principal executive offices)</w:t>
      </w:r>
    </w:p>
    <w:p>
      <w:pPr>
        <w:spacing w:after="0" w:line="5" w:lineRule="exact"/>
        <w:rPr>
          <w:sz w:val="24"/>
          <w:szCs w:val="24"/>
          <w:color w:val="auto"/>
        </w:rPr>
      </w:pPr>
    </w:p>
    <w:p>
      <w:pPr>
        <w:ind w:left="2721"/>
        <w:spacing w:after="0"/>
        <w:rPr>
          <w:sz w:val="20"/>
          <w:szCs w:val="20"/>
          <w:color w:val="auto"/>
        </w:rPr>
      </w:pPr>
      <w:r>
        <w:rPr>
          <w:rFonts w:ascii="Courier New" w:cs="Courier New" w:eastAsia="Courier New" w:hAnsi="Courier New"/>
          <w:sz w:val="16"/>
          <w:szCs w:val="16"/>
          <w:color w:val="auto"/>
        </w:rPr>
        <w:t>------------------------</w:t>
      </w:r>
    </w:p>
    <w:p>
      <w:pPr>
        <w:spacing w:after="0" w:line="378" w:lineRule="exact"/>
        <w:rPr>
          <w:sz w:val="24"/>
          <w:szCs w:val="24"/>
          <w:color w:val="auto"/>
        </w:rPr>
      </w:pPr>
    </w:p>
    <w:p>
      <w:pPr>
        <w:ind w:left="3001"/>
        <w:spacing w:after="0"/>
        <w:rPr>
          <w:sz w:val="20"/>
          <w:szCs w:val="20"/>
          <w:color w:val="auto"/>
        </w:rPr>
      </w:pPr>
      <w:r>
        <w:rPr>
          <w:rFonts w:ascii="Courier New" w:cs="Courier New" w:eastAsia="Courier New" w:hAnsi="Courier New"/>
          <w:sz w:val="16"/>
          <w:szCs w:val="16"/>
          <w:color w:val="auto"/>
        </w:rPr>
        <w:t>Peter F. Sinisgalli</w:t>
      </w:r>
    </w:p>
    <w:p>
      <w:pPr>
        <w:spacing w:after="0" w:line="5" w:lineRule="exact"/>
        <w:rPr>
          <w:sz w:val="24"/>
          <w:szCs w:val="24"/>
          <w:color w:val="auto"/>
        </w:rPr>
      </w:pPr>
    </w:p>
    <w:p>
      <w:pPr>
        <w:ind w:left="2141"/>
        <w:spacing w:after="0"/>
        <w:rPr>
          <w:sz w:val="20"/>
          <w:szCs w:val="20"/>
          <w:color w:val="auto"/>
        </w:rPr>
      </w:pPr>
      <w:r>
        <w:rPr>
          <w:rFonts w:ascii="Courier New" w:cs="Courier New" w:eastAsia="Courier New" w:hAnsi="Courier New"/>
          <w:sz w:val="16"/>
          <w:szCs w:val="16"/>
          <w:color w:val="auto"/>
        </w:rPr>
        <w:t>President and Chief Operating Officer</w:t>
      </w:r>
    </w:p>
    <w:p>
      <w:pPr>
        <w:spacing w:after="0" w:line="5" w:lineRule="exact"/>
        <w:rPr>
          <w:sz w:val="24"/>
          <w:szCs w:val="24"/>
          <w:color w:val="auto"/>
        </w:rPr>
      </w:pPr>
    </w:p>
    <w:p>
      <w:pPr>
        <w:ind w:left="2421"/>
        <w:spacing w:after="0"/>
        <w:rPr>
          <w:sz w:val="20"/>
          <w:szCs w:val="20"/>
          <w:color w:val="auto"/>
        </w:rPr>
      </w:pPr>
      <w:r>
        <w:rPr>
          <w:rFonts w:ascii="Courier New" w:cs="Courier New" w:eastAsia="Courier New" w:hAnsi="Courier New"/>
          <w:sz w:val="16"/>
          <w:szCs w:val="16"/>
          <w:color w:val="auto"/>
        </w:rPr>
        <w:t>CheckFree Holdings Corporation</w:t>
      </w:r>
    </w:p>
    <w:p>
      <w:pPr>
        <w:spacing w:after="0" w:line="5" w:lineRule="exact"/>
        <w:rPr>
          <w:sz w:val="24"/>
          <w:szCs w:val="24"/>
          <w:color w:val="auto"/>
        </w:rPr>
      </w:pPr>
    </w:p>
    <w:p>
      <w:pPr>
        <w:ind w:left="2621"/>
        <w:spacing w:after="0"/>
        <w:rPr>
          <w:sz w:val="20"/>
          <w:szCs w:val="20"/>
          <w:color w:val="auto"/>
        </w:rPr>
      </w:pPr>
      <w:r>
        <w:rPr>
          <w:rFonts w:ascii="Courier New" w:cs="Courier New" w:eastAsia="Courier New" w:hAnsi="Courier New"/>
          <w:sz w:val="16"/>
          <w:szCs w:val="16"/>
          <w:color w:val="auto"/>
        </w:rPr>
        <w:t>4411 East Jones Bridge Road</w:t>
      </w:r>
    </w:p>
    <w:p>
      <w:pPr>
        <w:spacing w:after="0" w:line="5" w:lineRule="exact"/>
        <w:rPr>
          <w:sz w:val="24"/>
          <w:szCs w:val="24"/>
          <w:color w:val="auto"/>
        </w:rPr>
      </w:pPr>
    </w:p>
    <w:p>
      <w:pPr>
        <w:ind w:left="2801"/>
        <w:spacing w:after="0"/>
        <w:rPr>
          <w:sz w:val="20"/>
          <w:szCs w:val="20"/>
          <w:color w:val="auto"/>
        </w:rPr>
      </w:pPr>
      <w:r>
        <w:rPr>
          <w:rFonts w:ascii="Courier New" w:cs="Courier New" w:eastAsia="Courier New" w:hAnsi="Courier New"/>
          <w:sz w:val="16"/>
          <w:szCs w:val="16"/>
          <w:color w:val="auto"/>
        </w:rPr>
        <w:t>Norcross, Georgia 30092</w:t>
      </w:r>
    </w:p>
    <w:p>
      <w:pPr>
        <w:spacing w:after="0" w:line="191" w:lineRule="exact"/>
        <w:rPr>
          <w:sz w:val="24"/>
          <w:szCs w:val="24"/>
          <w:color w:val="auto"/>
        </w:rPr>
      </w:pPr>
    </w:p>
    <w:p>
      <w:pPr>
        <w:jc w:val="center"/>
        <w:ind w:right="2459"/>
        <w:spacing w:after="0"/>
        <w:rPr>
          <w:sz w:val="20"/>
          <w:szCs w:val="20"/>
          <w:color w:val="auto"/>
        </w:rPr>
      </w:pPr>
      <w:r>
        <w:rPr>
          <w:rFonts w:ascii="Courier New" w:cs="Courier New" w:eastAsia="Courier New" w:hAnsi="Courier New"/>
          <w:sz w:val="16"/>
          <w:szCs w:val="16"/>
          <w:color w:val="auto"/>
        </w:rPr>
        <w:t>(678) 375-3000</w:t>
      </w:r>
    </w:p>
    <w:p>
      <w:pPr>
        <w:spacing w:after="0" w:line="191" w:lineRule="exact"/>
        <w:rPr>
          <w:sz w:val="24"/>
          <w:szCs w:val="24"/>
          <w:color w:val="auto"/>
        </w:rPr>
      </w:pPr>
    </w:p>
    <w:p>
      <w:pPr>
        <w:ind w:left="1841" w:right="3539" w:hanging="677"/>
        <w:spacing w:after="0" w:line="246" w:lineRule="auto"/>
        <w:rPr>
          <w:sz w:val="20"/>
          <w:szCs w:val="20"/>
          <w:color w:val="auto"/>
        </w:rPr>
      </w:pPr>
      <w:r>
        <w:rPr>
          <w:rFonts w:ascii="Courier New" w:cs="Courier New" w:eastAsia="Courier New" w:hAnsi="Courier New"/>
          <w:sz w:val="16"/>
          <w:szCs w:val="16"/>
          <w:color w:val="auto"/>
        </w:rPr>
        <w:t>(Name, address, including zip code, and telephone number, including area code, of agent for service)</w:t>
      </w:r>
    </w:p>
    <w:p>
      <w:pPr>
        <w:spacing w:after="0" w:line="1" w:lineRule="exact"/>
        <w:rPr>
          <w:sz w:val="24"/>
          <w:szCs w:val="24"/>
          <w:color w:val="auto"/>
        </w:rPr>
      </w:pPr>
    </w:p>
    <w:p>
      <w:pPr>
        <w:ind w:left="2721"/>
        <w:spacing w:after="0"/>
        <w:rPr>
          <w:sz w:val="20"/>
          <w:szCs w:val="20"/>
          <w:color w:val="auto"/>
        </w:rPr>
      </w:pPr>
      <w:r>
        <w:rPr>
          <w:rFonts w:ascii="Courier New" w:cs="Courier New" w:eastAsia="Courier New" w:hAnsi="Courier New"/>
          <w:sz w:val="16"/>
          <w:szCs w:val="16"/>
          <w:color w:val="auto"/>
        </w:rPr>
        <w:t>------------------------</w:t>
      </w:r>
    </w:p>
    <w:p>
      <w:pPr>
        <w:spacing w:after="0" w:line="191" w:lineRule="exact"/>
        <w:rPr>
          <w:sz w:val="24"/>
          <w:szCs w:val="24"/>
          <w:color w:val="auto"/>
        </w:rPr>
      </w:pPr>
    </w:p>
    <w:p>
      <w:pPr>
        <w:ind w:left="2521"/>
        <w:spacing w:after="0"/>
        <w:rPr>
          <w:sz w:val="20"/>
          <w:szCs w:val="20"/>
          <w:color w:val="auto"/>
        </w:rPr>
      </w:pPr>
      <w:r>
        <w:rPr>
          <w:rFonts w:ascii="Courier New" w:cs="Courier New" w:eastAsia="Courier New" w:hAnsi="Courier New"/>
          <w:sz w:val="16"/>
          <w:szCs w:val="16"/>
          <w:color w:val="auto"/>
        </w:rPr>
        <w:t>Copies of Correspondence to:</w:t>
      </w:r>
    </w:p>
    <w:p>
      <w:pPr>
        <w:spacing w:after="0" w:line="191" w:lineRule="exact"/>
        <w:rPr>
          <w:sz w:val="24"/>
          <w:szCs w:val="24"/>
          <w:color w:val="auto"/>
        </w:rPr>
      </w:pPr>
    </w:p>
    <w:p>
      <w:pPr>
        <w:ind w:left="2801"/>
        <w:spacing w:after="0"/>
        <w:rPr>
          <w:sz w:val="20"/>
          <w:szCs w:val="20"/>
          <w:color w:val="auto"/>
        </w:rPr>
      </w:pPr>
      <w:r>
        <w:rPr>
          <w:rFonts w:ascii="Courier New" w:cs="Courier New" w:eastAsia="Courier New" w:hAnsi="Courier New"/>
          <w:sz w:val="16"/>
          <w:szCs w:val="16"/>
          <w:color w:val="auto"/>
        </w:rPr>
        <w:t>Robert J. Tannous, Esq.</w:t>
      </w:r>
    </w:p>
    <w:p>
      <w:pPr>
        <w:spacing w:after="0" w:line="5" w:lineRule="exact"/>
        <w:rPr>
          <w:sz w:val="24"/>
          <w:szCs w:val="24"/>
          <w:color w:val="auto"/>
        </w:rPr>
      </w:pPr>
    </w:p>
    <w:p>
      <w:pPr>
        <w:ind w:left="2221"/>
        <w:spacing w:after="0"/>
        <w:rPr>
          <w:sz w:val="20"/>
          <w:szCs w:val="20"/>
          <w:color w:val="auto"/>
        </w:rPr>
      </w:pPr>
      <w:r>
        <w:rPr>
          <w:rFonts w:ascii="Courier New" w:cs="Courier New" w:eastAsia="Courier New" w:hAnsi="Courier New"/>
          <w:sz w:val="16"/>
          <w:szCs w:val="16"/>
          <w:color w:val="auto"/>
        </w:rPr>
        <w:t>Porter, Wright, Morris &amp; Arthur LLP</w:t>
      </w:r>
    </w:p>
    <w:p>
      <w:pPr>
        <w:spacing w:after="0" w:line="5" w:lineRule="exact"/>
        <w:rPr>
          <w:sz w:val="24"/>
          <w:szCs w:val="24"/>
          <w:color w:val="auto"/>
        </w:rPr>
      </w:pPr>
    </w:p>
    <w:p>
      <w:pPr>
        <w:ind w:left="2901"/>
        <w:spacing w:after="0"/>
        <w:rPr>
          <w:sz w:val="20"/>
          <w:szCs w:val="20"/>
          <w:color w:val="auto"/>
        </w:rPr>
      </w:pPr>
      <w:r>
        <w:rPr>
          <w:rFonts w:ascii="Courier New" w:cs="Courier New" w:eastAsia="Courier New" w:hAnsi="Courier New"/>
          <w:sz w:val="16"/>
          <w:szCs w:val="16"/>
          <w:color w:val="auto"/>
        </w:rPr>
        <w:t>41 South High Street</w:t>
      </w:r>
    </w:p>
    <w:p>
      <w:pPr>
        <w:spacing w:after="0" w:line="5" w:lineRule="exact"/>
        <w:rPr>
          <w:sz w:val="24"/>
          <w:szCs w:val="24"/>
          <w:color w:val="auto"/>
        </w:rPr>
      </w:pPr>
    </w:p>
    <w:p>
      <w:pPr>
        <w:ind w:left="2901"/>
        <w:spacing w:after="0"/>
        <w:rPr>
          <w:sz w:val="20"/>
          <w:szCs w:val="20"/>
          <w:color w:val="auto"/>
        </w:rPr>
      </w:pPr>
      <w:r>
        <w:rPr>
          <w:rFonts w:ascii="Courier New" w:cs="Courier New" w:eastAsia="Courier New" w:hAnsi="Courier New"/>
          <w:sz w:val="16"/>
          <w:szCs w:val="16"/>
          <w:color w:val="auto"/>
        </w:rPr>
        <w:t>Columbus, Ohio 43215</w:t>
      </w:r>
    </w:p>
    <w:p>
      <w:pPr>
        <w:spacing w:after="0" w:line="5" w:lineRule="exact"/>
        <w:rPr>
          <w:sz w:val="24"/>
          <w:szCs w:val="24"/>
          <w:color w:val="auto"/>
        </w:rPr>
      </w:pPr>
    </w:p>
    <w:p>
      <w:pPr>
        <w:ind w:left="3781" w:hanging="583"/>
        <w:spacing w:after="0"/>
        <w:tabs>
          <w:tab w:leader="none" w:pos="3781"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227-1953</w:t>
      </w:r>
    </w:p>
    <w:p>
      <w:pPr>
        <w:spacing w:after="0" w:line="5" w:lineRule="exact"/>
        <w:rPr>
          <w:rFonts w:ascii="Courier New" w:cs="Courier New" w:eastAsia="Courier New" w:hAnsi="Courier New"/>
          <w:sz w:val="16"/>
          <w:szCs w:val="16"/>
          <w:color w:val="auto"/>
        </w:rPr>
      </w:pPr>
    </w:p>
    <w:p>
      <w:pPr>
        <w:ind w:left="2721"/>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91" w:lineRule="exact"/>
        <w:rPr>
          <w:sz w:val="24"/>
          <w:szCs w:val="24"/>
          <w:color w:val="auto"/>
        </w:rPr>
      </w:pPr>
    </w:p>
    <w:p>
      <w:pPr>
        <w:ind w:left="1" w:right="3039"/>
        <w:spacing w:after="0" w:line="247" w:lineRule="auto"/>
        <w:rPr>
          <w:sz w:val="20"/>
          <w:szCs w:val="20"/>
          <w:color w:val="auto"/>
        </w:rPr>
      </w:pPr>
      <w:r>
        <w:rPr>
          <w:rFonts w:ascii="Courier New" w:cs="Courier New" w:eastAsia="Courier New" w:hAnsi="Courier New"/>
          <w:sz w:val="16"/>
          <w:szCs w:val="16"/>
          <w:color w:val="auto"/>
        </w:rPr>
        <w:t>Approximate date of commencement of proposed sale of the securities to the public: As soon as practicable after this Registration Statement becomes effective.</w:t>
      </w:r>
    </w:p>
    <w:p>
      <w:pPr>
        <w:spacing w:after="0" w:line="186" w:lineRule="exact"/>
        <w:rPr>
          <w:sz w:val="24"/>
          <w:szCs w:val="24"/>
          <w:color w:val="auto"/>
        </w:rPr>
      </w:pPr>
    </w:p>
    <w:p>
      <w:pPr>
        <w:jc w:val="both"/>
        <w:ind w:left="1" w:right="2559"/>
        <w:spacing w:after="0" w:line="248" w:lineRule="auto"/>
        <w:rPr>
          <w:sz w:val="20"/>
          <w:szCs w:val="20"/>
          <w:color w:val="auto"/>
        </w:rPr>
      </w:pPr>
      <w:r>
        <w:rPr>
          <w:rFonts w:ascii="Courier New" w:cs="Courier New" w:eastAsia="Courier New" w:hAnsi="Courier New"/>
          <w:sz w:val="16"/>
          <w:szCs w:val="16"/>
          <w:color w:val="auto"/>
        </w:rPr>
        <w:t>If the only securities being registered on this Form are being offered pursuant to dividend or interest reinvestment plans, please check the following box. [ ]</w:t>
      </w:r>
    </w:p>
    <w:p>
      <w:pPr>
        <w:spacing w:after="0" w:line="184" w:lineRule="exact"/>
        <w:rPr>
          <w:sz w:val="24"/>
          <w:szCs w:val="24"/>
          <w:color w:val="auto"/>
        </w:rPr>
      </w:pPr>
    </w:p>
    <w:p>
      <w:pPr>
        <w:ind w:left="1" w:right="2459"/>
        <w:spacing w:after="0" w:line="247" w:lineRule="auto"/>
        <w:rPr>
          <w:sz w:val="20"/>
          <w:szCs w:val="20"/>
          <w:color w:val="auto"/>
        </w:rPr>
      </w:pPr>
      <w:r>
        <w:rPr>
          <w:rFonts w:ascii="Courier New" w:cs="Courier New" w:eastAsia="Courier New" w:hAnsi="Courier New"/>
          <w:sz w:val="16"/>
          <w:szCs w:val="16"/>
          <w:color w:val="auto"/>
        </w:rPr>
        <w:t>If any securities being registered on this Form are to be offered on a delayed or continuous basis pursuant to Rule 415 under the Securities Act of 1933, other than securities offered only in connection with dividend or interest reinvestment plans, check the following box. [x]</w:t>
      </w:r>
    </w:p>
    <w:p>
      <w:pPr>
        <w:spacing w:after="0" w:line="186" w:lineRule="exact"/>
        <w:rPr>
          <w:sz w:val="24"/>
          <w:szCs w:val="24"/>
          <w:color w:val="auto"/>
        </w:rPr>
      </w:pPr>
    </w:p>
    <w:p>
      <w:pPr>
        <w:ind w:left="1" w:right="2459"/>
        <w:spacing w:after="0" w:line="247" w:lineRule="auto"/>
        <w:rPr>
          <w:sz w:val="20"/>
          <w:szCs w:val="20"/>
          <w:color w:val="auto"/>
        </w:rPr>
      </w:pPr>
      <w:r>
        <w:rPr>
          <w:rFonts w:ascii="Courier New" w:cs="Courier New" w:eastAsia="Courier New" w:hAnsi="Courier New"/>
          <w:sz w:val="16"/>
          <w:szCs w:val="16"/>
          <w:color w:val="auto"/>
        </w:rPr>
        <w:t>If this Form is filed to register additional securities for an offering pursuant to Rule 462(b) under the Securities Act, please check the following box and list the Securities Act registration statement number of the earlier effective registration statement for the same offering. [ ] _________</w:t>
      </w:r>
    </w:p>
    <w:p>
      <w:pPr>
        <w:spacing w:after="0" w:line="186" w:lineRule="exact"/>
        <w:rPr>
          <w:sz w:val="24"/>
          <w:szCs w:val="24"/>
          <w:color w:val="auto"/>
        </w:rPr>
      </w:pPr>
    </w:p>
    <w:p>
      <w:pPr>
        <w:ind w:left="1" w:right="2659"/>
        <w:spacing w:after="0" w:line="247" w:lineRule="auto"/>
        <w:rPr>
          <w:sz w:val="20"/>
          <w:szCs w:val="20"/>
          <w:color w:val="auto"/>
        </w:rPr>
      </w:pPr>
      <w:r>
        <w:rPr>
          <w:rFonts w:ascii="Courier New" w:cs="Courier New" w:eastAsia="Courier New" w:hAnsi="Courier New"/>
          <w:sz w:val="16"/>
          <w:szCs w:val="16"/>
          <w:color w:val="auto"/>
        </w:rPr>
        <w:t>If this Form is a post-effective amendment filed pursuant to Rule 462(c) under the Securities Act, please check the following box and list the Securities Act registration statement number of the earlier effective registration statement for the same offering. [ ] _________</w:t>
      </w:r>
    </w:p>
    <w:p>
      <w:pPr>
        <w:spacing w:after="0" w:line="186" w:lineRule="exact"/>
        <w:rPr>
          <w:sz w:val="24"/>
          <w:szCs w:val="24"/>
          <w:color w:val="auto"/>
        </w:rPr>
      </w:pPr>
    </w:p>
    <w:p>
      <w:pPr>
        <w:ind w:left="1" w:right="3039"/>
        <w:spacing w:after="0" w:line="248" w:lineRule="auto"/>
        <w:rPr>
          <w:sz w:val="20"/>
          <w:szCs w:val="20"/>
          <w:color w:val="auto"/>
        </w:rPr>
      </w:pPr>
      <w:r>
        <w:rPr>
          <w:rFonts w:ascii="Courier New" w:cs="Courier New" w:eastAsia="Courier New" w:hAnsi="Courier New"/>
          <w:sz w:val="16"/>
          <w:szCs w:val="16"/>
          <w:color w:val="auto"/>
        </w:rPr>
        <w:t>If delivery of the prospectus is expected to be made pursuant to Rule 434, please check the following box. [ ]</w:t>
      </w:r>
    </w:p>
    <w:p>
      <w:pPr>
        <w:sectPr>
          <w:pgSz w:w="11900" w:h="16838" w:orient="portrait"/>
          <w:cols w:equalWidth="0" w:num="1">
            <w:col w:w="10220"/>
          </w:cols>
          <w:pgMar w:left="239" w:top="241" w:right="1440" w:bottom="5" w:gutter="0" w:footer="0" w:header="0"/>
        </w:sectPr>
      </w:pPr>
    </w:p>
    <w:bookmarkStart w:id="1" w:name="page2"/>
    <w:bookmarkEnd w:id="1"/>
    <w:p>
      <w:pPr>
        <w:ind w:left="300"/>
        <w:spacing w:after="0"/>
        <w:rPr>
          <w:sz w:val="20"/>
          <w:szCs w:val="20"/>
          <w:color w:val="auto"/>
        </w:rPr>
      </w:pPr>
      <w:r>
        <w:rPr>
          <w:rFonts w:ascii="Courier New" w:cs="Courier New" w:eastAsia="Courier New" w:hAnsi="Courier New"/>
          <w:sz w:val="16"/>
          <w:szCs w:val="16"/>
          <w:color w:val="auto"/>
        </w:rPr>
        <w:t>2</w:t>
      </w:r>
    </w:p>
    <w:p>
      <w:pPr>
        <w:spacing w:after="0" w:line="5" w:lineRule="exact"/>
        <w:rPr>
          <w:sz w:val="20"/>
          <w:szCs w:val="20"/>
          <w:color w:val="auto"/>
        </w:rPr>
      </w:pPr>
    </w:p>
    <w:p>
      <w:pPr>
        <w:ind w:left="480" w:right="2459"/>
        <w:spacing w:after="0" w:line="246" w:lineRule="auto"/>
        <w:rPr>
          <w:sz w:val="20"/>
          <w:szCs w:val="20"/>
          <w:color w:val="auto"/>
        </w:rPr>
      </w:pPr>
      <w:r>
        <w:rPr>
          <w:rFonts w:ascii="Courier New" w:cs="Courier New" w:eastAsia="Courier New" w:hAnsi="Courier New"/>
          <w:sz w:val="16"/>
          <w:szCs w:val="16"/>
          <w:color w:val="auto"/>
        </w:rPr>
        <w:t>INFORMATION CONTAINED HEREIN IS SUBJECT TO COMPLETION OR AMENDMENT. A REGISTRATION STATEMENT RELATING TO THESE SECURITIES HAS BEEN FILED WITH THE SECURITIES AND EXCHANGE COMMISSION. THESE SECURITIES MAY NOT BE SOLD NOR MAY OFFERS TO BUY BE ACCEPTED PRIOR TO THE TIME THE REGISTRATION STATEMENT BECOMES EFFECTIVE. THIS PROSPECTUS SHALL NOT CONSTITUTE AN OFFER TO SELL OR THE SOLICITATION OF AN OFFER TO BUY NOR SHALL THERE BE ANY SALE OF THESE SECURITIES IN ANY STATE IN WHICH SUCH OFFER, SOLICITATION OR SALE WOULD BE UNLAWFUL PRIOR TO REGISTRATION OR QUALIFICATION UNDER THE SECURITIES LAWS OF ANY SUCH STATE.</w:t>
      </w:r>
    </w:p>
    <w:p>
      <w:pPr>
        <w:spacing w:after="0" w:line="191" w:lineRule="exact"/>
        <w:rPr>
          <w:sz w:val="20"/>
          <w:szCs w:val="20"/>
          <w:color w:val="auto"/>
        </w:rPr>
      </w:pPr>
    </w:p>
    <w:p>
      <w:pPr>
        <w:jc w:val="center"/>
        <w:ind w:right="2559"/>
        <w:spacing w:after="0"/>
        <w:rPr>
          <w:sz w:val="20"/>
          <w:szCs w:val="20"/>
          <w:color w:val="auto"/>
        </w:rPr>
      </w:pPr>
      <w:r>
        <w:rPr>
          <w:rFonts w:ascii="Courier New" w:cs="Courier New" w:eastAsia="Courier New" w:hAnsi="Courier New"/>
          <w:sz w:val="16"/>
          <w:szCs w:val="16"/>
          <w:color w:val="auto"/>
        </w:rPr>
        <w:t>SUBJECT TO COMPLETION</w:t>
      </w:r>
    </w:p>
    <w:p>
      <w:pPr>
        <w:spacing w:after="0" w:line="191" w:lineRule="exact"/>
        <w:rPr>
          <w:sz w:val="20"/>
          <w:szCs w:val="20"/>
          <w:color w:val="auto"/>
        </w:rPr>
      </w:pPr>
    </w:p>
    <w:p>
      <w:pPr>
        <w:ind w:left="1740"/>
        <w:spacing w:after="0"/>
        <w:rPr>
          <w:sz w:val="20"/>
          <w:szCs w:val="20"/>
          <w:color w:val="auto"/>
        </w:rPr>
      </w:pPr>
      <w:r>
        <w:rPr>
          <w:rFonts w:ascii="Courier New" w:cs="Courier New" w:eastAsia="Courier New" w:hAnsi="Courier New"/>
          <w:sz w:val="16"/>
          <w:szCs w:val="16"/>
          <w:color w:val="auto"/>
        </w:rPr>
        <w:t>PRELIMINARY PROSPECTUS DATED APRIL 10, 2000</w:t>
      </w:r>
    </w:p>
    <w:p>
      <w:pPr>
        <w:spacing w:after="0" w:line="19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PROSPECTUS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91" w:lineRule="exact"/>
        <w:rPr>
          <w:sz w:val="20"/>
          <w:szCs w:val="20"/>
          <w:color w:val="auto"/>
        </w:rPr>
      </w:pPr>
    </w:p>
    <w:p>
      <w:pPr>
        <w:ind w:left="3300"/>
        <w:spacing w:after="0"/>
        <w:rPr>
          <w:sz w:val="20"/>
          <w:szCs w:val="20"/>
          <w:color w:val="auto"/>
        </w:rPr>
      </w:pPr>
      <w:r>
        <w:rPr>
          <w:rFonts w:ascii="Courier New" w:cs="Courier New" w:eastAsia="Courier New" w:hAnsi="Courier New"/>
          <w:sz w:val="16"/>
          <w:szCs w:val="16"/>
          <w:color w:val="auto"/>
        </w:rPr>
        <w:t>$172,500,000</w:t>
      </w:r>
    </w:p>
    <w:p>
      <w:pPr>
        <w:spacing w:after="0" w:line="191" w:lineRule="exact"/>
        <w:rPr>
          <w:sz w:val="20"/>
          <w:szCs w:val="20"/>
          <w:color w:val="auto"/>
        </w:rPr>
      </w:pPr>
    </w:p>
    <w:p>
      <w:pPr>
        <w:ind w:left="2620"/>
        <w:spacing w:after="0"/>
        <w:rPr>
          <w:sz w:val="20"/>
          <w:szCs w:val="20"/>
          <w:color w:val="auto"/>
        </w:rPr>
      </w:pPr>
      <w:r>
        <w:rPr>
          <w:rFonts w:ascii="Courier New" w:cs="Courier New" w:eastAsia="Courier New" w:hAnsi="Courier New"/>
          <w:sz w:val="16"/>
          <w:szCs w:val="16"/>
          <w:color w:val="auto"/>
        </w:rPr>
        <w:t>(CHECKFREE HOLDINGS LOGO)</w:t>
      </w:r>
    </w:p>
    <w:p>
      <w:pPr>
        <w:spacing w:after="0" w:line="191" w:lineRule="exact"/>
        <w:rPr>
          <w:sz w:val="20"/>
          <w:szCs w:val="20"/>
          <w:color w:val="auto"/>
        </w:rPr>
      </w:pPr>
    </w:p>
    <w:p>
      <w:pPr>
        <w:ind w:left="1840" w:hanging="290"/>
        <w:spacing w:after="0"/>
        <w:tabs>
          <w:tab w:leader="none" w:pos="184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1/2% CONVERTIBLE SUBORDINATED NOTES DUE 2006</w:t>
      </w:r>
    </w:p>
    <w:p>
      <w:pPr>
        <w:spacing w:after="0" w:line="191" w:lineRule="exact"/>
        <w:rPr>
          <w:rFonts w:ascii="Courier New" w:cs="Courier New" w:eastAsia="Courier New" w:hAnsi="Courier New"/>
          <w:sz w:val="16"/>
          <w:szCs w:val="16"/>
          <w:color w:val="auto"/>
        </w:rPr>
      </w:pPr>
    </w:p>
    <w:p>
      <w:pPr>
        <w:ind w:left="280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91"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This prospectus relates to:</w:t>
      </w:r>
    </w:p>
    <w:p>
      <w:pPr>
        <w:spacing w:after="0" w:line="191" w:lineRule="exact"/>
        <w:rPr>
          <w:sz w:val="20"/>
          <w:szCs w:val="20"/>
          <w:color w:val="auto"/>
        </w:rPr>
      </w:pPr>
    </w:p>
    <w:p>
      <w:pPr>
        <w:ind w:left="960" w:right="2959" w:hanging="379"/>
        <w:spacing w:after="0" w:line="248" w:lineRule="auto"/>
        <w:tabs>
          <w:tab w:leader="none" w:pos="96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$172,500,000 principal amount of 6 1/2% convertible subordinated notes due 2006;</w:t>
      </w:r>
    </w:p>
    <w:p>
      <w:pPr>
        <w:spacing w:after="0" w:line="184" w:lineRule="exact"/>
        <w:rPr>
          <w:rFonts w:ascii="Courier New" w:cs="Courier New" w:eastAsia="Courier New" w:hAnsi="Courier New"/>
          <w:sz w:val="16"/>
          <w:szCs w:val="16"/>
          <w:color w:val="auto"/>
        </w:rPr>
      </w:pPr>
    </w:p>
    <w:p>
      <w:pPr>
        <w:ind w:left="960" w:right="2559" w:hanging="379"/>
        <w:spacing w:after="0" w:line="248" w:lineRule="auto"/>
        <w:tabs>
          <w:tab w:leader="none" w:pos="96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shares of our common stock issuable upon conversion of the notes; and</w:t>
      </w:r>
    </w:p>
    <w:p>
      <w:pPr>
        <w:spacing w:after="0" w:line="184" w:lineRule="exact"/>
        <w:rPr>
          <w:rFonts w:ascii="Courier New" w:cs="Courier New" w:eastAsia="Courier New" w:hAnsi="Courier New"/>
          <w:sz w:val="16"/>
          <w:szCs w:val="16"/>
          <w:color w:val="auto"/>
        </w:rPr>
      </w:pPr>
    </w:p>
    <w:p>
      <w:pPr>
        <w:ind w:left="960" w:right="3239" w:hanging="379"/>
        <w:spacing w:after="0" w:line="248" w:lineRule="auto"/>
        <w:tabs>
          <w:tab w:leader="none" w:pos="96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subsidiary guarantee of the notes on behalf of each of our subsidiaries.</w:t>
      </w:r>
    </w:p>
    <w:p>
      <w:pPr>
        <w:spacing w:after="0" w:line="184" w:lineRule="exact"/>
        <w:rPr>
          <w:sz w:val="20"/>
          <w:szCs w:val="20"/>
          <w:color w:val="auto"/>
        </w:rPr>
      </w:pPr>
    </w:p>
    <w:p>
      <w:pPr>
        <w:ind w:right="2559"/>
        <w:spacing w:after="0" w:line="247" w:lineRule="auto"/>
        <w:rPr>
          <w:sz w:val="20"/>
          <w:szCs w:val="20"/>
          <w:color w:val="auto"/>
        </w:rPr>
      </w:pPr>
      <w:r>
        <w:rPr>
          <w:rFonts w:ascii="Courier New" w:cs="Courier New" w:eastAsia="Courier New" w:hAnsi="Courier New"/>
          <w:sz w:val="16"/>
          <w:szCs w:val="16"/>
          <w:color w:val="auto"/>
        </w:rPr>
        <w:t>The notes, the shares of our common stock and the subsidiary guarantee are offered for resale in this prospectus are offered for the accounts of their holders. The notes and the subsidiary guarantee were initially acquired from us in November 1999 in connection with a private offering by a group of investment banking firms as initial purchasers who resold the notes pursuant to Rule 144A of the Securities Act of 1933.</w:t>
      </w:r>
    </w:p>
    <w:p>
      <w:pPr>
        <w:spacing w:after="0" w:line="372" w:lineRule="exact"/>
        <w:rPr>
          <w:sz w:val="20"/>
          <w:szCs w:val="20"/>
          <w:color w:val="auto"/>
        </w:rPr>
      </w:pPr>
    </w:p>
    <w:p>
      <w:pPr>
        <w:ind w:right="2459" w:firstLine="484"/>
        <w:spacing w:after="0" w:line="246" w:lineRule="auto"/>
        <w:rPr>
          <w:sz w:val="20"/>
          <w:szCs w:val="20"/>
          <w:color w:val="auto"/>
        </w:rPr>
      </w:pPr>
      <w:r>
        <w:rPr>
          <w:rFonts w:ascii="Courier New" w:cs="Courier New" w:eastAsia="Courier New" w:hAnsi="Courier New"/>
          <w:sz w:val="16"/>
          <w:szCs w:val="16"/>
          <w:color w:val="auto"/>
        </w:rPr>
        <w:t>We will pay interest on the notes on June 1 and December 1 of each year, commencing on June 1, 2000. The notes will mature on December 1, 2006. The notes will be convertible at your option, unless previously redeemed, into shares of our common stock at a conversion rate of 13.6612 shares of our common stock per note, subject to adjustments described in this prospectus. We may redeem the notes, in whole or in part, at any time on or after December 1, 2002. If a change in control of CheckFree occurs, each holder of the notes may require us to repurchase some or all of its notes. If we cannot make the scheduled payments on the notes, our subsidiaries, CheckFree Services Corporation (formerly CheckFree Corporation), CheckFree Management Corporation, CheckFree Investment Corporation and CheckFree Investment Services, Inc., will be required to make them for us pursuant to a subsidiary guarantee. The notes are eligible for trading in The Portal(TM) Market.</w:t>
      </w:r>
    </w:p>
    <w:p>
      <w:pPr>
        <w:spacing w:after="0" w:line="194" w:lineRule="exact"/>
        <w:rPr>
          <w:sz w:val="20"/>
          <w:szCs w:val="20"/>
          <w:color w:val="auto"/>
        </w:rPr>
      </w:pPr>
    </w:p>
    <w:p>
      <w:pPr>
        <w:jc w:val="both"/>
        <w:ind w:right="2659" w:firstLine="484"/>
        <w:spacing w:after="0" w:line="247" w:lineRule="auto"/>
        <w:rPr>
          <w:sz w:val="20"/>
          <w:szCs w:val="20"/>
          <w:color w:val="auto"/>
        </w:rPr>
      </w:pPr>
      <w:r>
        <w:rPr>
          <w:rFonts w:ascii="Courier New" w:cs="Courier New" w:eastAsia="Courier New" w:hAnsi="Courier New"/>
          <w:sz w:val="16"/>
          <w:szCs w:val="16"/>
          <w:color w:val="auto"/>
        </w:rPr>
        <w:t>Our common stock is traded on the Nasdaq National Market under the symbol "CKFR." On April 7, 2000, the last reported sale price of our common stock was $59.19 per share.</w:t>
      </w:r>
    </w:p>
    <w:p>
      <w:pPr>
        <w:spacing w:after="0" w:line="372" w:lineRule="exact"/>
        <w:rPr>
          <w:sz w:val="20"/>
          <w:szCs w:val="20"/>
          <w:color w:val="auto"/>
        </w:rPr>
      </w:pPr>
    </w:p>
    <w:p>
      <w:pPr>
        <w:ind w:right="2959" w:firstLine="484"/>
        <w:spacing w:after="0" w:line="248" w:lineRule="auto"/>
        <w:rPr>
          <w:sz w:val="20"/>
          <w:szCs w:val="20"/>
          <w:color w:val="auto"/>
        </w:rPr>
      </w:pPr>
      <w:r>
        <w:rPr>
          <w:rFonts w:ascii="Courier New" w:cs="Courier New" w:eastAsia="Courier New" w:hAnsi="Courier New"/>
          <w:sz w:val="16"/>
          <w:szCs w:val="16"/>
          <w:color w:val="auto"/>
        </w:rPr>
        <w:t>INVESTING IN THE NOTES INVOLVES RISKS WHICH ARE DESCRIBED IN THE "RISK FACTORS" SECTION BEGINNING ON PAGE 8 OF THIS PROSPECTUS.</w:t>
      </w:r>
    </w:p>
    <w:p>
      <w:pPr>
        <w:spacing w:after="0" w:line="184" w:lineRule="exact"/>
        <w:rPr>
          <w:sz w:val="20"/>
          <w:szCs w:val="20"/>
          <w:color w:val="auto"/>
        </w:rPr>
      </w:pPr>
    </w:p>
    <w:p>
      <w:pPr>
        <w:ind w:right="2459" w:firstLine="484"/>
        <w:spacing w:after="0" w:line="247" w:lineRule="auto"/>
        <w:rPr>
          <w:sz w:val="20"/>
          <w:szCs w:val="20"/>
          <w:color w:val="auto"/>
        </w:rPr>
      </w:pPr>
      <w:r>
        <w:rPr>
          <w:rFonts w:ascii="Courier New" w:cs="Courier New" w:eastAsia="Courier New" w:hAnsi="Courier New"/>
          <w:sz w:val="16"/>
          <w:szCs w:val="16"/>
          <w:color w:val="auto"/>
        </w:rPr>
        <w:t>The proceeds from the sale of the securities offered by this prospectus are solely for the security holders who own and are selling the securities. We will not receive any of the proceeds from the sale of these securities.</w:t>
      </w:r>
    </w:p>
    <w:p>
      <w:pPr>
        <w:spacing w:after="0" w:line="186" w:lineRule="exact"/>
        <w:rPr>
          <w:sz w:val="20"/>
          <w:szCs w:val="20"/>
          <w:color w:val="auto"/>
        </w:rPr>
      </w:pPr>
    </w:p>
    <w:p>
      <w:pPr>
        <w:ind w:right="2659" w:firstLine="484"/>
        <w:spacing w:after="0" w:line="247" w:lineRule="auto"/>
        <w:rPr>
          <w:sz w:val="20"/>
          <w:szCs w:val="20"/>
          <w:color w:val="auto"/>
        </w:rPr>
      </w:pPr>
      <w:r>
        <w:rPr>
          <w:rFonts w:ascii="Courier New" w:cs="Courier New" w:eastAsia="Courier New" w:hAnsi="Courier New"/>
          <w:sz w:val="16"/>
          <w:szCs w:val="16"/>
          <w:color w:val="auto"/>
        </w:rPr>
        <w:t>NEITHER THE SECURITIES AND EXCHANGE COMMISSION NOR ANY STATE SECURITIES COMMISSION HAS APPROVED OR DISAPPROVED THESE SECURITIES, OR DETERMINED IF THIS PROSPECTUS IS TRUTHFUL OR COMPLETE. ANY REPRESENTATION TO THE CONTRARY IS A CRIMINAL OFFENSE.</w:t>
      </w:r>
    </w:p>
    <w:p>
      <w:pPr>
        <w:spacing w:after="0" w:line="186" w:lineRule="exact"/>
        <w:rPr>
          <w:sz w:val="20"/>
          <w:szCs w:val="20"/>
          <w:color w:val="auto"/>
        </w:rPr>
      </w:pPr>
    </w:p>
    <w:p>
      <w:pPr>
        <w:ind w:left="2800"/>
        <w:spacing w:after="0"/>
        <w:rPr>
          <w:sz w:val="20"/>
          <w:szCs w:val="20"/>
          <w:color w:val="auto"/>
        </w:rPr>
      </w:pPr>
      <w:r>
        <w:rPr>
          <w:rFonts w:ascii="Courier New" w:cs="Courier New" w:eastAsia="Courier New" w:hAnsi="Courier New"/>
          <w:sz w:val="16"/>
          <w:szCs w:val="16"/>
          <w:color w:val="auto"/>
        </w:rPr>
        <w:t>----------------------</w:t>
      </w:r>
    </w:p>
    <w:p>
      <w:pPr>
        <w:spacing w:after="0" w:line="378" w:lineRule="exact"/>
        <w:rPr>
          <w:sz w:val="20"/>
          <w:szCs w:val="20"/>
          <w:color w:val="auto"/>
        </w:rPr>
      </w:pPr>
    </w:p>
    <w:p>
      <w:pPr>
        <w:ind w:left="1640"/>
        <w:spacing w:after="0"/>
        <w:rPr>
          <w:sz w:val="20"/>
          <w:szCs w:val="20"/>
          <w:color w:val="auto"/>
        </w:rPr>
      </w:pPr>
      <w:r>
        <w:rPr>
          <w:rFonts w:ascii="Courier New" w:cs="Courier New" w:eastAsia="Courier New" w:hAnsi="Courier New"/>
          <w:sz w:val="16"/>
          <w:szCs w:val="16"/>
          <w:color w:val="auto"/>
        </w:rPr>
        <w:t>The date of this prospectus is April 10, 2000</w:t>
      </w:r>
    </w:p>
    <w:p>
      <w:pPr>
        <w:sectPr>
          <w:pgSz w:w="11900" w:h="16838" w:orient="portrait"/>
          <w:cols w:equalWidth="0" w:num="1">
            <w:col w:w="10219"/>
          </w:cols>
          <w:pgMar w:left="240" w:top="303" w:right="1440" w:bottom="1068"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183"/>
        </w:trPr>
        <w:tc>
          <w:tcPr>
            <w:tcW w:w="7260" w:type="dxa"/>
            <w:vAlign w:val="bottom"/>
          </w:tcPr>
          <w:p>
            <w:pPr>
              <w:ind w:left="300"/>
              <w:spacing w:after="0"/>
              <w:rPr>
                <w:sz w:val="20"/>
                <w:szCs w:val="20"/>
                <w:color w:val="auto"/>
              </w:rPr>
            </w:pPr>
            <w:r>
              <w:rPr>
                <w:rFonts w:ascii="Courier New" w:cs="Courier New" w:eastAsia="Courier New" w:hAnsi="Courier New"/>
                <w:sz w:val="16"/>
                <w:szCs w:val="16"/>
                <w:color w:val="auto"/>
              </w:rPr>
              <w:t>3</w:t>
            </w:r>
          </w:p>
        </w:tc>
        <w:tc>
          <w:tcPr>
            <w:tcW w:w="400" w:type="dxa"/>
            <w:vAlign w:val="bottom"/>
          </w:tcPr>
          <w:p>
            <w:pPr>
              <w:spacing w:after="0"/>
              <w:rPr>
                <w:sz w:val="15"/>
                <w:szCs w:val="15"/>
                <w:color w:val="auto"/>
              </w:rPr>
            </w:pPr>
          </w:p>
        </w:tc>
      </w:tr>
      <w:tr>
        <w:trPr>
          <w:trHeight w:val="559"/>
        </w:trPr>
        <w:tc>
          <w:tcPr>
            <w:tcW w:w="7260" w:type="dxa"/>
            <w:vAlign w:val="bottom"/>
          </w:tcPr>
          <w:p>
            <w:pPr>
              <w:ind w:left="3100"/>
              <w:spacing w:after="0"/>
              <w:rPr>
                <w:sz w:val="20"/>
                <w:szCs w:val="20"/>
                <w:color w:val="auto"/>
              </w:rPr>
            </w:pPr>
            <w:r>
              <w:rPr>
                <w:rFonts w:ascii="Courier New" w:cs="Courier New" w:eastAsia="Courier New" w:hAnsi="Courier New"/>
                <w:sz w:val="16"/>
                <w:szCs w:val="16"/>
                <w:color w:val="auto"/>
              </w:rPr>
              <w:t>TABLE OF CONTENTS</w:t>
            </w:r>
          </w:p>
        </w:tc>
        <w:tc>
          <w:tcPr>
            <w:tcW w:w="400" w:type="dxa"/>
            <w:vAlign w:val="bottom"/>
          </w:tcPr>
          <w:p>
            <w:pPr>
              <w:spacing w:after="0"/>
              <w:rPr>
                <w:sz w:val="24"/>
                <w:szCs w:val="24"/>
                <w:color w:val="auto"/>
              </w:rPr>
            </w:pPr>
          </w:p>
        </w:tc>
      </w:tr>
      <w:tr>
        <w:trPr>
          <w:trHeight w:val="373"/>
        </w:trPr>
        <w:tc>
          <w:tcPr>
            <w:tcW w:w="7260" w:type="dxa"/>
            <w:vAlign w:val="bottom"/>
          </w:tcPr>
          <w:p>
            <w:pPr>
              <w:spacing w:after="0"/>
              <w:rPr>
                <w:sz w:val="24"/>
                <w:szCs w:val="24"/>
                <w:color w:val="auto"/>
              </w:rPr>
            </w:pPr>
          </w:p>
        </w:tc>
        <w:tc>
          <w:tcPr>
            <w:tcW w:w="400" w:type="dxa"/>
            <w:vAlign w:val="bottom"/>
          </w:tcPr>
          <w:p>
            <w:pPr>
              <w:jc w:val="right"/>
              <w:spacing w:after="0"/>
              <w:rPr>
                <w:sz w:val="20"/>
                <w:szCs w:val="20"/>
                <w:color w:val="auto"/>
              </w:rPr>
            </w:pPr>
            <w:r>
              <w:rPr>
                <w:rFonts w:ascii="Courier New" w:cs="Courier New" w:eastAsia="Courier New" w:hAnsi="Courier New"/>
                <w:sz w:val="16"/>
                <w:szCs w:val="16"/>
                <w:color w:val="auto"/>
                <w:w w:val="98"/>
              </w:rPr>
              <w:t>PAGE</w:t>
            </w:r>
          </w:p>
        </w:tc>
      </w:tr>
      <w:tr>
        <w:trPr>
          <w:trHeight w:val="186"/>
        </w:trPr>
        <w:tc>
          <w:tcPr>
            <w:tcW w:w="7260" w:type="dxa"/>
            <w:vAlign w:val="bottom"/>
          </w:tcPr>
          <w:p>
            <w:pPr>
              <w:spacing w:after="0"/>
              <w:rPr>
                <w:sz w:val="16"/>
                <w:szCs w:val="16"/>
                <w:color w:val="auto"/>
              </w:rPr>
            </w:pPr>
          </w:p>
        </w:tc>
        <w:tc>
          <w:tcPr>
            <w:tcW w:w="400" w:type="dxa"/>
            <w:vAlign w:val="bottom"/>
          </w:tcPr>
          <w:p>
            <w:pPr>
              <w:jc w:val="right"/>
              <w:spacing w:after="0"/>
              <w:rPr>
                <w:sz w:val="20"/>
                <w:szCs w:val="20"/>
                <w:color w:val="auto"/>
              </w:rPr>
            </w:pPr>
            <w:r>
              <w:rPr>
                <w:rFonts w:ascii="Courier New" w:cs="Courier New" w:eastAsia="Courier New" w:hAnsi="Courier New"/>
                <w:sz w:val="16"/>
                <w:szCs w:val="16"/>
                <w:color w:val="auto"/>
                <w:w w:val="98"/>
              </w:rPr>
              <w:t>----</w:t>
            </w:r>
          </w:p>
        </w:tc>
      </w:tr>
      <w:tr>
        <w:trPr>
          <w:trHeight w:val="559"/>
        </w:trPr>
        <w:tc>
          <w:tcPr>
            <w:tcW w:w="7260" w:type="dxa"/>
            <w:vAlign w:val="bottom"/>
          </w:tcPr>
          <w:p>
            <w:pPr>
              <w:spacing w:after="0"/>
              <w:rPr>
                <w:sz w:val="20"/>
                <w:szCs w:val="20"/>
                <w:color w:val="auto"/>
              </w:rPr>
            </w:pPr>
            <w:r>
              <w:rPr>
                <w:rFonts w:ascii="Courier New" w:cs="Courier New" w:eastAsia="Courier New" w:hAnsi="Courier New"/>
                <w:sz w:val="16"/>
                <w:szCs w:val="16"/>
                <w:color w:val="auto"/>
                <w:w w:val="99"/>
              </w:rPr>
              <w:t>Summary.....................................................................</w:t>
            </w:r>
          </w:p>
        </w:tc>
        <w:tc>
          <w:tcPr>
            <w:tcW w:w="40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4</w:t>
            </w:r>
          </w:p>
        </w:tc>
      </w:tr>
      <w:tr>
        <w:trPr>
          <w:trHeight w:val="186"/>
        </w:trPr>
        <w:tc>
          <w:tcPr>
            <w:tcW w:w="7260" w:type="dxa"/>
            <w:vAlign w:val="bottom"/>
          </w:tcPr>
          <w:p>
            <w:pPr>
              <w:spacing w:after="0"/>
              <w:rPr>
                <w:sz w:val="20"/>
                <w:szCs w:val="20"/>
                <w:color w:val="auto"/>
              </w:rPr>
            </w:pPr>
            <w:r>
              <w:rPr>
                <w:rFonts w:ascii="Courier New" w:cs="Courier New" w:eastAsia="Courier New" w:hAnsi="Courier New"/>
                <w:sz w:val="16"/>
                <w:szCs w:val="16"/>
                <w:color w:val="auto"/>
                <w:w w:val="99"/>
              </w:rPr>
              <w:t>Risk Factors................................................................</w:t>
            </w:r>
          </w:p>
        </w:tc>
        <w:tc>
          <w:tcPr>
            <w:tcW w:w="40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8</w:t>
            </w:r>
          </w:p>
        </w:tc>
      </w:tr>
      <w:tr>
        <w:trPr>
          <w:trHeight w:val="186"/>
        </w:trPr>
        <w:tc>
          <w:tcPr>
            <w:tcW w:w="7260" w:type="dxa"/>
            <w:vAlign w:val="bottom"/>
          </w:tcPr>
          <w:p>
            <w:pPr>
              <w:spacing w:after="0"/>
              <w:rPr>
                <w:sz w:val="20"/>
                <w:szCs w:val="20"/>
                <w:color w:val="auto"/>
              </w:rPr>
            </w:pPr>
            <w:r>
              <w:rPr>
                <w:rFonts w:ascii="Courier New" w:cs="Courier New" w:eastAsia="Courier New" w:hAnsi="Courier New"/>
                <w:sz w:val="16"/>
                <w:szCs w:val="16"/>
                <w:color w:val="auto"/>
              </w:rPr>
              <w:t>Forward-Looking Statements.................................................</w:t>
            </w:r>
          </w:p>
        </w:tc>
        <w:tc>
          <w:tcPr>
            <w:tcW w:w="400" w:type="dxa"/>
            <w:vAlign w:val="bottom"/>
          </w:tcPr>
          <w:p>
            <w:pPr>
              <w:jc w:val="right"/>
              <w:ind w:right="119"/>
              <w:spacing w:after="0"/>
              <w:rPr>
                <w:sz w:val="20"/>
                <w:szCs w:val="20"/>
                <w:color w:val="auto"/>
              </w:rPr>
            </w:pPr>
            <w:r>
              <w:rPr>
                <w:rFonts w:ascii="Courier New" w:cs="Courier New" w:eastAsia="Courier New" w:hAnsi="Courier New"/>
                <w:sz w:val="16"/>
                <w:szCs w:val="16"/>
                <w:color w:val="auto"/>
                <w:w w:val="93"/>
              </w:rPr>
              <w:t>18</w:t>
            </w:r>
          </w:p>
        </w:tc>
      </w:tr>
      <w:tr>
        <w:trPr>
          <w:trHeight w:val="186"/>
        </w:trPr>
        <w:tc>
          <w:tcPr>
            <w:tcW w:w="7260" w:type="dxa"/>
            <w:vAlign w:val="bottom"/>
          </w:tcPr>
          <w:p>
            <w:pPr>
              <w:spacing w:after="0"/>
              <w:rPr>
                <w:sz w:val="20"/>
                <w:szCs w:val="20"/>
                <w:color w:val="auto"/>
              </w:rPr>
            </w:pPr>
            <w:r>
              <w:rPr>
                <w:rFonts w:ascii="Courier New" w:cs="Courier New" w:eastAsia="Courier New" w:hAnsi="Courier New"/>
                <w:sz w:val="16"/>
                <w:szCs w:val="16"/>
                <w:color w:val="auto"/>
              </w:rPr>
              <w:t>Ratio of Earnings to Fixed Charges.........................................</w:t>
            </w:r>
          </w:p>
        </w:tc>
        <w:tc>
          <w:tcPr>
            <w:tcW w:w="400" w:type="dxa"/>
            <w:vAlign w:val="bottom"/>
          </w:tcPr>
          <w:p>
            <w:pPr>
              <w:jc w:val="right"/>
              <w:ind w:right="119"/>
              <w:spacing w:after="0"/>
              <w:rPr>
                <w:sz w:val="20"/>
                <w:szCs w:val="20"/>
                <w:color w:val="auto"/>
              </w:rPr>
            </w:pPr>
            <w:r>
              <w:rPr>
                <w:rFonts w:ascii="Courier New" w:cs="Courier New" w:eastAsia="Courier New" w:hAnsi="Courier New"/>
                <w:sz w:val="16"/>
                <w:szCs w:val="16"/>
                <w:color w:val="auto"/>
                <w:w w:val="93"/>
              </w:rPr>
              <w:t>18</w:t>
            </w:r>
          </w:p>
        </w:tc>
      </w:tr>
      <w:tr>
        <w:trPr>
          <w:trHeight w:val="186"/>
        </w:trPr>
        <w:tc>
          <w:tcPr>
            <w:tcW w:w="7260" w:type="dxa"/>
            <w:vAlign w:val="bottom"/>
          </w:tcPr>
          <w:p>
            <w:pPr>
              <w:spacing w:after="0"/>
              <w:rPr>
                <w:sz w:val="20"/>
                <w:szCs w:val="20"/>
                <w:color w:val="auto"/>
              </w:rPr>
            </w:pPr>
            <w:r>
              <w:rPr>
                <w:rFonts w:ascii="Courier New" w:cs="Courier New" w:eastAsia="Courier New" w:hAnsi="Courier New"/>
                <w:sz w:val="16"/>
                <w:szCs w:val="16"/>
                <w:color w:val="auto"/>
              </w:rPr>
              <w:t>Use of Proceeds............................................................</w:t>
            </w:r>
          </w:p>
        </w:tc>
        <w:tc>
          <w:tcPr>
            <w:tcW w:w="400" w:type="dxa"/>
            <w:vAlign w:val="bottom"/>
          </w:tcPr>
          <w:p>
            <w:pPr>
              <w:jc w:val="right"/>
              <w:ind w:right="119"/>
              <w:spacing w:after="0"/>
              <w:rPr>
                <w:sz w:val="20"/>
                <w:szCs w:val="20"/>
                <w:color w:val="auto"/>
              </w:rPr>
            </w:pPr>
            <w:r>
              <w:rPr>
                <w:rFonts w:ascii="Courier New" w:cs="Courier New" w:eastAsia="Courier New" w:hAnsi="Courier New"/>
                <w:sz w:val="16"/>
                <w:szCs w:val="16"/>
                <w:color w:val="auto"/>
                <w:w w:val="93"/>
              </w:rPr>
              <w:t>19</w:t>
            </w:r>
          </w:p>
        </w:tc>
      </w:tr>
      <w:tr>
        <w:trPr>
          <w:trHeight w:val="186"/>
        </w:trPr>
        <w:tc>
          <w:tcPr>
            <w:tcW w:w="7260" w:type="dxa"/>
            <w:vAlign w:val="bottom"/>
          </w:tcPr>
          <w:p>
            <w:pPr>
              <w:spacing w:after="0"/>
              <w:rPr>
                <w:sz w:val="20"/>
                <w:szCs w:val="20"/>
                <w:color w:val="auto"/>
              </w:rPr>
            </w:pPr>
            <w:r>
              <w:rPr>
                <w:rFonts w:ascii="Courier New" w:cs="Courier New" w:eastAsia="Courier New" w:hAnsi="Courier New"/>
                <w:sz w:val="16"/>
                <w:szCs w:val="16"/>
                <w:color w:val="auto"/>
              </w:rPr>
              <w:t>Description of Notes.......................................................</w:t>
            </w:r>
          </w:p>
        </w:tc>
        <w:tc>
          <w:tcPr>
            <w:tcW w:w="400" w:type="dxa"/>
            <w:vAlign w:val="bottom"/>
          </w:tcPr>
          <w:p>
            <w:pPr>
              <w:jc w:val="right"/>
              <w:ind w:right="119"/>
              <w:spacing w:after="0"/>
              <w:rPr>
                <w:sz w:val="20"/>
                <w:szCs w:val="20"/>
                <w:color w:val="auto"/>
              </w:rPr>
            </w:pPr>
            <w:r>
              <w:rPr>
                <w:rFonts w:ascii="Courier New" w:cs="Courier New" w:eastAsia="Courier New" w:hAnsi="Courier New"/>
                <w:sz w:val="16"/>
                <w:szCs w:val="16"/>
                <w:color w:val="auto"/>
                <w:w w:val="93"/>
              </w:rPr>
              <w:t>19</w:t>
            </w:r>
          </w:p>
        </w:tc>
      </w:tr>
      <w:tr>
        <w:trPr>
          <w:trHeight w:val="186"/>
        </w:trPr>
        <w:tc>
          <w:tcPr>
            <w:tcW w:w="7260" w:type="dxa"/>
            <w:vAlign w:val="bottom"/>
          </w:tcPr>
          <w:p>
            <w:pPr>
              <w:spacing w:after="0"/>
              <w:rPr>
                <w:sz w:val="20"/>
                <w:szCs w:val="20"/>
                <w:color w:val="auto"/>
              </w:rPr>
            </w:pPr>
            <w:r>
              <w:rPr>
                <w:rFonts w:ascii="Courier New" w:cs="Courier New" w:eastAsia="Courier New" w:hAnsi="Courier New"/>
                <w:sz w:val="16"/>
                <w:szCs w:val="16"/>
                <w:color w:val="auto"/>
              </w:rPr>
              <w:t>Description of Certain Indebtedness........................................</w:t>
            </w:r>
          </w:p>
        </w:tc>
        <w:tc>
          <w:tcPr>
            <w:tcW w:w="400" w:type="dxa"/>
            <w:vAlign w:val="bottom"/>
          </w:tcPr>
          <w:p>
            <w:pPr>
              <w:jc w:val="right"/>
              <w:ind w:right="119"/>
              <w:spacing w:after="0"/>
              <w:rPr>
                <w:sz w:val="20"/>
                <w:szCs w:val="20"/>
                <w:color w:val="auto"/>
              </w:rPr>
            </w:pPr>
            <w:r>
              <w:rPr>
                <w:rFonts w:ascii="Courier New" w:cs="Courier New" w:eastAsia="Courier New" w:hAnsi="Courier New"/>
                <w:sz w:val="16"/>
                <w:szCs w:val="16"/>
                <w:color w:val="auto"/>
                <w:w w:val="93"/>
              </w:rPr>
              <w:t>33</w:t>
            </w:r>
          </w:p>
        </w:tc>
      </w:tr>
      <w:tr>
        <w:trPr>
          <w:trHeight w:val="186"/>
        </w:trPr>
        <w:tc>
          <w:tcPr>
            <w:tcW w:w="7260" w:type="dxa"/>
            <w:vAlign w:val="bottom"/>
          </w:tcPr>
          <w:p>
            <w:pPr>
              <w:spacing w:after="0"/>
              <w:rPr>
                <w:sz w:val="20"/>
                <w:szCs w:val="20"/>
                <w:color w:val="auto"/>
              </w:rPr>
            </w:pPr>
            <w:r>
              <w:rPr>
                <w:rFonts w:ascii="Courier New" w:cs="Courier New" w:eastAsia="Courier New" w:hAnsi="Courier New"/>
                <w:sz w:val="16"/>
                <w:szCs w:val="16"/>
                <w:color w:val="auto"/>
              </w:rPr>
              <w:t>Certain Federal Income Tax Consequences....................................</w:t>
            </w:r>
          </w:p>
        </w:tc>
        <w:tc>
          <w:tcPr>
            <w:tcW w:w="400" w:type="dxa"/>
            <w:vAlign w:val="bottom"/>
          </w:tcPr>
          <w:p>
            <w:pPr>
              <w:jc w:val="right"/>
              <w:ind w:right="119"/>
              <w:spacing w:after="0"/>
              <w:rPr>
                <w:sz w:val="20"/>
                <w:szCs w:val="20"/>
                <w:color w:val="auto"/>
              </w:rPr>
            </w:pPr>
            <w:r>
              <w:rPr>
                <w:rFonts w:ascii="Courier New" w:cs="Courier New" w:eastAsia="Courier New" w:hAnsi="Courier New"/>
                <w:sz w:val="16"/>
                <w:szCs w:val="16"/>
                <w:color w:val="auto"/>
                <w:w w:val="93"/>
              </w:rPr>
              <w:t>34</w:t>
            </w:r>
          </w:p>
        </w:tc>
      </w:tr>
      <w:tr>
        <w:trPr>
          <w:trHeight w:val="186"/>
        </w:trPr>
        <w:tc>
          <w:tcPr>
            <w:tcW w:w="7260" w:type="dxa"/>
            <w:vAlign w:val="bottom"/>
          </w:tcPr>
          <w:p>
            <w:pPr>
              <w:spacing w:after="0"/>
              <w:rPr>
                <w:sz w:val="20"/>
                <w:szCs w:val="20"/>
                <w:color w:val="auto"/>
              </w:rPr>
            </w:pPr>
            <w:r>
              <w:rPr>
                <w:rFonts w:ascii="Courier New" w:cs="Courier New" w:eastAsia="Courier New" w:hAnsi="Courier New"/>
                <w:sz w:val="16"/>
                <w:szCs w:val="16"/>
                <w:color w:val="auto"/>
              </w:rPr>
              <w:t>Selling Securityholders....................................................</w:t>
            </w:r>
          </w:p>
        </w:tc>
        <w:tc>
          <w:tcPr>
            <w:tcW w:w="400" w:type="dxa"/>
            <w:vAlign w:val="bottom"/>
          </w:tcPr>
          <w:p>
            <w:pPr>
              <w:jc w:val="right"/>
              <w:ind w:right="119"/>
              <w:spacing w:after="0"/>
              <w:rPr>
                <w:sz w:val="20"/>
                <w:szCs w:val="20"/>
                <w:color w:val="auto"/>
              </w:rPr>
            </w:pPr>
            <w:r>
              <w:rPr>
                <w:rFonts w:ascii="Courier New" w:cs="Courier New" w:eastAsia="Courier New" w:hAnsi="Courier New"/>
                <w:sz w:val="16"/>
                <w:szCs w:val="16"/>
                <w:color w:val="auto"/>
                <w:w w:val="93"/>
              </w:rPr>
              <w:t>37</w:t>
            </w:r>
          </w:p>
        </w:tc>
      </w:tr>
      <w:tr>
        <w:trPr>
          <w:trHeight w:val="186"/>
        </w:trPr>
        <w:tc>
          <w:tcPr>
            <w:tcW w:w="7260" w:type="dxa"/>
            <w:vAlign w:val="bottom"/>
          </w:tcPr>
          <w:p>
            <w:pPr>
              <w:spacing w:after="0"/>
              <w:rPr>
                <w:sz w:val="20"/>
                <w:szCs w:val="20"/>
                <w:color w:val="auto"/>
              </w:rPr>
            </w:pPr>
            <w:r>
              <w:rPr>
                <w:rFonts w:ascii="Courier New" w:cs="Courier New" w:eastAsia="Courier New" w:hAnsi="Courier New"/>
                <w:sz w:val="16"/>
                <w:szCs w:val="16"/>
                <w:color w:val="auto"/>
              </w:rPr>
              <w:t>Plan of Distribution.......................................................</w:t>
            </w:r>
          </w:p>
        </w:tc>
        <w:tc>
          <w:tcPr>
            <w:tcW w:w="400" w:type="dxa"/>
            <w:vAlign w:val="bottom"/>
          </w:tcPr>
          <w:p>
            <w:pPr>
              <w:jc w:val="right"/>
              <w:ind w:right="119"/>
              <w:spacing w:after="0"/>
              <w:rPr>
                <w:sz w:val="20"/>
                <w:szCs w:val="20"/>
                <w:color w:val="auto"/>
              </w:rPr>
            </w:pPr>
            <w:r>
              <w:rPr>
                <w:rFonts w:ascii="Courier New" w:cs="Courier New" w:eastAsia="Courier New" w:hAnsi="Courier New"/>
                <w:sz w:val="16"/>
                <w:szCs w:val="16"/>
                <w:color w:val="auto"/>
                <w:w w:val="93"/>
              </w:rPr>
              <w:t>40</w:t>
            </w:r>
          </w:p>
        </w:tc>
      </w:tr>
      <w:tr>
        <w:trPr>
          <w:trHeight w:val="186"/>
        </w:trPr>
        <w:tc>
          <w:tcPr>
            <w:tcW w:w="7260" w:type="dxa"/>
            <w:vAlign w:val="bottom"/>
          </w:tcPr>
          <w:p>
            <w:pPr>
              <w:spacing w:after="0"/>
              <w:rPr>
                <w:sz w:val="20"/>
                <w:szCs w:val="20"/>
                <w:color w:val="auto"/>
              </w:rPr>
            </w:pPr>
            <w:r>
              <w:rPr>
                <w:rFonts w:ascii="Courier New" w:cs="Courier New" w:eastAsia="Courier New" w:hAnsi="Courier New"/>
                <w:sz w:val="16"/>
                <w:szCs w:val="16"/>
                <w:color w:val="auto"/>
              </w:rPr>
              <w:t>Legal Matters..............................................................</w:t>
            </w:r>
          </w:p>
        </w:tc>
        <w:tc>
          <w:tcPr>
            <w:tcW w:w="400" w:type="dxa"/>
            <w:vAlign w:val="bottom"/>
          </w:tcPr>
          <w:p>
            <w:pPr>
              <w:jc w:val="right"/>
              <w:ind w:right="119"/>
              <w:spacing w:after="0"/>
              <w:rPr>
                <w:sz w:val="20"/>
                <w:szCs w:val="20"/>
                <w:color w:val="auto"/>
              </w:rPr>
            </w:pPr>
            <w:r>
              <w:rPr>
                <w:rFonts w:ascii="Courier New" w:cs="Courier New" w:eastAsia="Courier New" w:hAnsi="Courier New"/>
                <w:sz w:val="16"/>
                <w:szCs w:val="16"/>
                <w:color w:val="auto"/>
                <w:w w:val="93"/>
              </w:rPr>
              <w:t>41</w:t>
            </w:r>
          </w:p>
        </w:tc>
      </w:tr>
      <w:tr>
        <w:trPr>
          <w:trHeight w:val="186"/>
        </w:trPr>
        <w:tc>
          <w:tcPr>
            <w:tcW w:w="7260" w:type="dxa"/>
            <w:vAlign w:val="bottom"/>
          </w:tcPr>
          <w:p>
            <w:pPr>
              <w:spacing w:after="0"/>
              <w:rPr>
                <w:sz w:val="20"/>
                <w:szCs w:val="20"/>
                <w:color w:val="auto"/>
              </w:rPr>
            </w:pPr>
            <w:r>
              <w:rPr>
                <w:rFonts w:ascii="Courier New" w:cs="Courier New" w:eastAsia="Courier New" w:hAnsi="Courier New"/>
                <w:sz w:val="16"/>
                <w:szCs w:val="16"/>
                <w:color w:val="auto"/>
              </w:rPr>
              <w:t>Experts....................................................................</w:t>
            </w:r>
          </w:p>
        </w:tc>
        <w:tc>
          <w:tcPr>
            <w:tcW w:w="400" w:type="dxa"/>
            <w:vAlign w:val="bottom"/>
          </w:tcPr>
          <w:p>
            <w:pPr>
              <w:jc w:val="right"/>
              <w:ind w:right="119"/>
              <w:spacing w:after="0"/>
              <w:rPr>
                <w:sz w:val="20"/>
                <w:szCs w:val="20"/>
                <w:color w:val="auto"/>
              </w:rPr>
            </w:pPr>
            <w:r>
              <w:rPr>
                <w:rFonts w:ascii="Courier New" w:cs="Courier New" w:eastAsia="Courier New" w:hAnsi="Courier New"/>
                <w:sz w:val="16"/>
                <w:szCs w:val="16"/>
                <w:color w:val="auto"/>
                <w:w w:val="93"/>
              </w:rPr>
              <w:t>41</w:t>
            </w:r>
          </w:p>
        </w:tc>
      </w:tr>
      <w:tr>
        <w:trPr>
          <w:trHeight w:val="186"/>
        </w:trPr>
        <w:tc>
          <w:tcPr>
            <w:tcW w:w="7260" w:type="dxa"/>
            <w:vAlign w:val="bottom"/>
          </w:tcPr>
          <w:p>
            <w:pPr>
              <w:spacing w:after="0"/>
              <w:rPr>
                <w:sz w:val="20"/>
                <w:szCs w:val="20"/>
                <w:color w:val="auto"/>
              </w:rPr>
            </w:pPr>
            <w:r>
              <w:rPr>
                <w:rFonts w:ascii="Courier New" w:cs="Courier New" w:eastAsia="Courier New" w:hAnsi="Courier New"/>
                <w:sz w:val="16"/>
                <w:szCs w:val="16"/>
                <w:color w:val="auto"/>
              </w:rPr>
              <w:t>Where You Can Find More Information........................................</w:t>
            </w:r>
          </w:p>
        </w:tc>
        <w:tc>
          <w:tcPr>
            <w:tcW w:w="400" w:type="dxa"/>
            <w:vAlign w:val="bottom"/>
          </w:tcPr>
          <w:p>
            <w:pPr>
              <w:jc w:val="right"/>
              <w:ind w:right="119"/>
              <w:spacing w:after="0"/>
              <w:rPr>
                <w:sz w:val="20"/>
                <w:szCs w:val="20"/>
                <w:color w:val="auto"/>
              </w:rPr>
            </w:pPr>
            <w:r>
              <w:rPr>
                <w:rFonts w:ascii="Courier New" w:cs="Courier New" w:eastAsia="Courier New" w:hAnsi="Courier New"/>
                <w:sz w:val="16"/>
                <w:szCs w:val="16"/>
                <w:color w:val="auto"/>
                <w:w w:val="93"/>
              </w:rPr>
              <w:t>42</w:t>
            </w:r>
          </w:p>
        </w:tc>
      </w:tr>
      <w:tr>
        <w:trPr>
          <w:trHeight w:val="186"/>
        </w:trPr>
        <w:tc>
          <w:tcPr>
            <w:tcW w:w="7260" w:type="dxa"/>
            <w:vAlign w:val="bottom"/>
          </w:tcPr>
          <w:p>
            <w:pPr>
              <w:spacing w:after="0"/>
              <w:rPr>
                <w:sz w:val="20"/>
                <w:szCs w:val="20"/>
                <w:color w:val="auto"/>
              </w:rPr>
            </w:pPr>
            <w:r>
              <w:rPr>
                <w:rFonts w:ascii="Courier New" w:cs="Courier New" w:eastAsia="Courier New" w:hAnsi="Courier New"/>
                <w:sz w:val="16"/>
                <w:szCs w:val="16"/>
                <w:color w:val="auto"/>
              </w:rPr>
              <w:t>Incorporation of Documents by Reference....................................</w:t>
            </w:r>
          </w:p>
        </w:tc>
        <w:tc>
          <w:tcPr>
            <w:tcW w:w="400" w:type="dxa"/>
            <w:vAlign w:val="bottom"/>
          </w:tcPr>
          <w:p>
            <w:pPr>
              <w:jc w:val="right"/>
              <w:ind w:right="119"/>
              <w:spacing w:after="0"/>
              <w:rPr>
                <w:sz w:val="20"/>
                <w:szCs w:val="20"/>
                <w:color w:val="auto"/>
              </w:rPr>
            </w:pPr>
            <w:r>
              <w:rPr>
                <w:rFonts w:ascii="Courier New" w:cs="Courier New" w:eastAsia="Courier New" w:hAnsi="Courier New"/>
                <w:sz w:val="16"/>
                <w:szCs w:val="16"/>
                <w:color w:val="auto"/>
                <w:w w:val="93"/>
              </w:rPr>
              <w:t>43</w:t>
            </w:r>
          </w:p>
        </w:tc>
      </w:tr>
      <w:tr>
        <w:trPr>
          <w:trHeight w:val="559"/>
        </w:trPr>
        <w:tc>
          <w:tcPr>
            <w:tcW w:w="7260" w:type="dxa"/>
            <w:vAlign w:val="bottom"/>
          </w:tcPr>
          <w:p>
            <w:pPr>
              <w:ind w:left="3780"/>
              <w:spacing w:after="0"/>
              <w:rPr>
                <w:sz w:val="20"/>
                <w:szCs w:val="20"/>
                <w:color w:val="auto"/>
              </w:rPr>
            </w:pPr>
            <w:r>
              <w:rPr>
                <w:rFonts w:ascii="Courier New" w:cs="Courier New" w:eastAsia="Courier New" w:hAnsi="Courier New"/>
                <w:sz w:val="16"/>
                <w:szCs w:val="16"/>
                <w:color w:val="auto"/>
              </w:rPr>
              <w:t>3</w:t>
            </w:r>
          </w:p>
        </w:tc>
        <w:tc>
          <w:tcPr>
            <w:tcW w:w="400" w:type="dxa"/>
            <w:vAlign w:val="bottom"/>
          </w:tcPr>
          <w:p>
            <w:pPr>
              <w:spacing w:after="0"/>
              <w:rPr>
                <w:sz w:val="24"/>
                <w:szCs w:val="24"/>
                <w:color w:val="auto"/>
              </w:rPr>
            </w:pPr>
          </w:p>
        </w:tc>
      </w:tr>
    </w:tbl>
    <w:p>
      <w:pPr>
        <w:sectPr>
          <w:pgSz w:w="11900" w:h="16838" w:orient="portrait"/>
          <w:cols w:equalWidth="0" w:num="1">
            <w:col w:w="10219"/>
          </w:cols>
          <w:pgMar w:left="240" w:top="303" w:right="1440" w:bottom="1440" w:gutter="0" w:footer="0" w:header="0"/>
        </w:sectPr>
      </w:pPr>
    </w:p>
    <w:bookmarkStart w:id="3" w:name="page4"/>
    <w:bookmarkEnd w:id="3"/>
    <w:p>
      <w:pPr>
        <w:ind w:left="300"/>
        <w:spacing w:after="0"/>
        <w:rPr>
          <w:sz w:val="20"/>
          <w:szCs w:val="20"/>
          <w:color w:val="auto"/>
        </w:rPr>
      </w:pPr>
      <w:r>
        <w:rPr>
          <w:rFonts w:ascii="Courier New" w:cs="Courier New" w:eastAsia="Courier New" w:hAnsi="Courier New"/>
          <w:sz w:val="16"/>
          <w:szCs w:val="16"/>
          <w:color w:val="auto"/>
        </w:rPr>
        <w:t>4</w:t>
      </w:r>
    </w:p>
    <w:p>
      <w:pPr>
        <w:spacing w:after="0" w:line="5" w:lineRule="exact"/>
        <w:rPr>
          <w:sz w:val="20"/>
          <w:szCs w:val="20"/>
          <w:color w:val="auto"/>
        </w:rPr>
      </w:pPr>
    </w:p>
    <w:p>
      <w:pPr>
        <w:ind w:left="3580"/>
        <w:spacing w:after="0"/>
        <w:rPr>
          <w:sz w:val="20"/>
          <w:szCs w:val="20"/>
          <w:color w:val="auto"/>
        </w:rPr>
      </w:pPr>
      <w:r>
        <w:rPr>
          <w:rFonts w:ascii="Courier New" w:cs="Courier New" w:eastAsia="Courier New" w:hAnsi="Courier New"/>
          <w:sz w:val="16"/>
          <w:szCs w:val="16"/>
          <w:color w:val="auto"/>
        </w:rPr>
        <w:t>SUMMARY</w:t>
      </w:r>
    </w:p>
    <w:p>
      <w:pPr>
        <w:spacing w:after="0" w:line="378" w:lineRule="exact"/>
        <w:rPr>
          <w:sz w:val="20"/>
          <w:szCs w:val="20"/>
          <w:color w:val="auto"/>
        </w:rPr>
      </w:pPr>
    </w:p>
    <w:p>
      <w:pPr>
        <w:ind w:right="2459" w:firstLine="872"/>
        <w:spacing w:after="0" w:line="246" w:lineRule="auto"/>
        <w:rPr>
          <w:sz w:val="20"/>
          <w:szCs w:val="20"/>
          <w:color w:val="auto"/>
        </w:rPr>
      </w:pPr>
      <w:r>
        <w:rPr>
          <w:rFonts w:ascii="Courier New" w:cs="Courier New" w:eastAsia="Courier New" w:hAnsi="Courier New"/>
          <w:sz w:val="16"/>
          <w:szCs w:val="16"/>
          <w:color w:val="auto"/>
        </w:rPr>
        <w:t>The information in this summary may not contain all of the information that may be important to you. You should read the entire prospectus and the information incorporated by reference in this prospectus, including the financial statements and related notes, before making an investment decision. All references to "we," "us," "our," or "CheckFree" in this prospectus mean CheckFree Holdings Corporation and all entities owned or controlled by CheckFree Holdings Corporation, except where it is made clear that the term only means the parent company.</w:t>
      </w:r>
    </w:p>
    <w:p>
      <w:pPr>
        <w:spacing w:after="0" w:line="377" w:lineRule="exact"/>
        <w:rPr>
          <w:sz w:val="20"/>
          <w:szCs w:val="20"/>
          <w:color w:val="auto"/>
        </w:rPr>
      </w:pPr>
    </w:p>
    <w:p>
      <w:pPr>
        <w:ind w:left="3400"/>
        <w:spacing w:after="0"/>
        <w:rPr>
          <w:sz w:val="20"/>
          <w:szCs w:val="20"/>
          <w:color w:val="auto"/>
        </w:rPr>
      </w:pPr>
      <w:r>
        <w:rPr>
          <w:rFonts w:ascii="Courier New" w:cs="Courier New" w:eastAsia="Courier New" w:hAnsi="Courier New"/>
          <w:sz w:val="16"/>
          <w:szCs w:val="16"/>
          <w:color w:val="auto"/>
        </w:rPr>
        <w:t>OUR COMPANY</w:t>
      </w:r>
    </w:p>
    <w:p>
      <w:pPr>
        <w:spacing w:after="0" w:line="378" w:lineRule="exact"/>
        <w:rPr>
          <w:sz w:val="20"/>
          <w:szCs w:val="20"/>
          <w:color w:val="auto"/>
        </w:rPr>
      </w:pPr>
    </w:p>
    <w:p>
      <w:pPr>
        <w:ind w:left="880"/>
        <w:spacing w:after="0"/>
        <w:rPr>
          <w:sz w:val="20"/>
          <w:szCs w:val="20"/>
          <w:color w:val="auto"/>
        </w:rPr>
      </w:pPr>
      <w:r>
        <w:rPr>
          <w:rFonts w:ascii="Courier New" w:cs="Courier New" w:eastAsia="Courier New" w:hAnsi="Courier New"/>
          <w:sz w:val="16"/>
          <w:szCs w:val="16"/>
          <w:color w:val="auto"/>
        </w:rPr>
        <w:t>We are the leading provider of electronic billing and payment services.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We operate our business through three independent but inter-related divisions:</w:t>
      </w:r>
    </w:p>
    <w:p>
      <w:pPr>
        <w:spacing w:after="0" w:line="191" w:lineRule="exact"/>
        <w:rPr>
          <w:sz w:val="20"/>
          <w:szCs w:val="20"/>
          <w:color w:val="auto"/>
        </w:rPr>
      </w:pPr>
    </w:p>
    <w:p>
      <w:pPr>
        <w:ind w:left="1060" w:hanging="189"/>
        <w:spacing w:after="0"/>
        <w:tabs>
          <w:tab w:leader="none" w:pos="106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Electronic Commerce;</w:t>
      </w:r>
    </w:p>
    <w:p>
      <w:pPr>
        <w:spacing w:after="0" w:line="191" w:lineRule="exact"/>
        <w:rPr>
          <w:rFonts w:ascii="Courier New" w:cs="Courier New" w:eastAsia="Courier New" w:hAnsi="Courier New"/>
          <w:sz w:val="16"/>
          <w:szCs w:val="16"/>
          <w:color w:val="auto"/>
        </w:rPr>
      </w:pPr>
    </w:p>
    <w:p>
      <w:pPr>
        <w:ind w:left="1060" w:hanging="189"/>
        <w:spacing w:after="0"/>
        <w:tabs>
          <w:tab w:leader="none" w:pos="106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Investment Services; and</w:t>
      </w:r>
    </w:p>
    <w:p>
      <w:pPr>
        <w:spacing w:after="0" w:line="191" w:lineRule="exact"/>
        <w:rPr>
          <w:rFonts w:ascii="Courier New" w:cs="Courier New" w:eastAsia="Courier New" w:hAnsi="Courier New"/>
          <w:sz w:val="16"/>
          <w:szCs w:val="16"/>
          <w:color w:val="auto"/>
        </w:rPr>
      </w:pPr>
    </w:p>
    <w:p>
      <w:pPr>
        <w:ind w:left="1060" w:hanging="189"/>
        <w:spacing w:after="0"/>
        <w:tabs>
          <w:tab w:leader="none" w:pos="106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Software.</w:t>
      </w:r>
    </w:p>
    <w:p>
      <w:pPr>
        <w:spacing w:after="0" w:line="191" w:lineRule="exact"/>
        <w:rPr>
          <w:sz w:val="20"/>
          <w:szCs w:val="20"/>
          <w:color w:val="auto"/>
        </w:rPr>
      </w:pPr>
    </w:p>
    <w:p>
      <w:pPr>
        <w:jc w:val="right"/>
        <w:ind w:right="2459"/>
        <w:spacing w:after="0"/>
        <w:rPr>
          <w:sz w:val="20"/>
          <w:szCs w:val="20"/>
          <w:color w:val="auto"/>
        </w:rPr>
      </w:pPr>
      <w:r>
        <w:rPr>
          <w:rFonts w:ascii="Courier New" w:cs="Courier New" w:eastAsia="Courier New" w:hAnsi="Courier New"/>
          <w:sz w:val="16"/>
          <w:szCs w:val="16"/>
          <w:color w:val="auto"/>
        </w:rPr>
        <w:t>Our Electronic Commerce business provides services that allow consumers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to:</w:t>
      </w:r>
    </w:p>
    <w:p>
      <w:pPr>
        <w:spacing w:after="0" w:line="191" w:lineRule="exact"/>
        <w:rPr>
          <w:sz w:val="20"/>
          <w:szCs w:val="20"/>
          <w:color w:val="auto"/>
        </w:rPr>
      </w:pPr>
    </w:p>
    <w:p>
      <w:pPr>
        <w:ind w:left="1060" w:hanging="189"/>
        <w:spacing w:after="0"/>
        <w:tabs>
          <w:tab w:leader="none" w:pos="106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receive electronic bills through the Internet;</w:t>
      </w:r>
    </w:p>
    <w:p>
      <w:pPr>
        <w:spacing w:after="0" w:line="191" w:lineRule="exact"/>
        <w:rPr>
          <w:rFonts w:ascii="Courier New" w:cs="Courier New" w:eastAsia="Courier New" w:hAnsi="Courier New"/>
          <w:sz w:val="16"/>
          <w:szCs w:val="16"/>
          <w:color w:val="auto"/>
        </w:rPr>
      </w:pPr>
    </w:p>
    <w:p>
      <w:pPr>
        <w:ind w:left="1060" w:hanging="189"/>
        <w:spacing w:after="0"/>
        <w:tabs>
          <w:tab w:leader="none" w:pos="106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pay any bill--electronic or paper--to anyone; and</w:t>
      </w:r>
    </w:p>
    <w:p>
      <w:pPr>
        <w:spacing w:after="0" w:line="191" w:lineRule="exact"/>
        <w:rPr>
          <w:rFonts w:ascii="Courier New" w:cs="Courier New" w:eastAsia="Courier New" w:hAnsi="Courier New"/>
          <w:sz w:val="16"/>
          <w:szCs w:val="16"/>
          <w:color w:val="auto"/>
        </w:rPr>
      </w:pPr>
    </w:p>
    <w:p>
      <w:pPr>
        <w:ind w:left="1060" w:right="2559" w:hanging="189"/>
        <w:spacing w:after="0" w:line="248" w:lineRule="auto"/>
        <w:tabs>
          <w:tab w:leader="none" w:pos="106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perform customary banking transactions, including balance inquiries, transfers between accounts and on-line statement reconciliations.</w:t>
      </w:r>
    </w:p>
    <w:p>
      <w:pPr>
        <w:spacing w:after="0" w:line="184" w:lineRule="exact"/>
        <w:rPr>
          <w:sz w:val="20"/>
          <w:szCs w:val="20"/>
          <w:color w:val="auto"/>
        </w:rPr>
      </w:pPr>
    </w:p>
    <w:p>
      <w:pPr>
        <w:ind w:right="2659" w:firstLine="872"/>
        <w:spacing w:after="0" w:line="247" w:lineRule="auto"/>
        <w:rPr>
          <w:sz w:val="20"/>
          <w:szCs w:val="20"/>
          <w:color w:val="auto"/>
        </w:rPr>
      </w:pPr>
      <w:r>
        <w:rPr>
          <w:rFonts w:ascii="Courier New" w:cs="Courier New" w:eastAsia="Courier New" w:hAnsi="Courier New"/>
          <w:sz w:val="16"/>
          <w:szCs w:val="16"/>
          <w:color w:val="auto"/>
        </w:rPr>
        <w:t>We currently provide electronic billing and payment services for approximately 3 million consumers. Our services are available through over 350 sources, including:</w:t>
      </w:r>
    </w:p>
    <w:p>
      <w:pPr>
        <w:spacing w:after="0" w:line="186" w:lineRule="exact"/>
        <w:rPr>
          <w:sz w:val="20"/>
          <w:szCs w:val="20"/>
          <w:color w:val="auto"/>
        </w:rPr>
      </w:pPr>
    </w:p>
    <w:p>
      <w:pPr>
        <w:ind w:left="1060" w:hanging="189"/>
        <w:spacing w:after="0"/>
        <w:tabs>
          <w:tab w:leader="none" w:pos="1060"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23 of the 25 largest U.S. banks;</w:t>
      </w:r>
    </w:p>
    <w:p>
      <w:pPr>
        <w:spacing w:after="0" w:line="191" w:lineRule="exact"/>
        <w:rPr>
          <w:rFonts w:ascii="Courier New" w:cs="Courier New" w:eastAsia="Courier New" w:hAnsi="Courier New"/>
          <w:sz w:val="16"/>
          <w:szCs w:val="16"/>
          <w:color w:val="auto"/>
        </w:rPr>
      </w:pPr>
    </w:p>
    <w:p>
      <w:pPr>
        <w:ind w:left="1060" w:hanging="189"/>
        <w:spacing w:after="0"/>
        <w:tabs>
          <w:tab w:leader="none" w:pos="1060"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8 of the top 10 U.S. brokerage firms;</w:t>
      </w:r>
    </w:p>
    <w:p>
      <w:pPr>
        <w:spacing w:after="0" w:line="191" w:lineRule="exact"/>
        <w:rPr>
          <w:rFonts w:ascii="Courier New" w:cs="Courier New" w:eastAsia="Courier New" w:hAnsi="Courier New"/>
          <w:sz w:val="16"/>
          <w:szCs w:val="16"/>
          <w:color w:val="auto"/>
        </w:rPr>
      </w:pPr>
    </w:p>
    <w:p>
      <w:pPr>
        <w:ind w:left="1060" w:hanging="189"/>
        <w:spacing w:after="0"/>
        <w:tabs>
          <w:tab w:leader="none" w:pos="1060"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Yahoo!, a leading Internet portal;</w:t>
      </w:r>
    </w:p>
    <w:p>
      <w:pPr>
        <w:spacing w:after="0" w:line="191" w:lineRule="exact"/>
        <w:rPr>
          <w:rFonts w:ascii="Courier New" w:cs="Courier New" w:eastAsia="Courier New" w:hAnsi="Courier New"/>
          <w:sz w:val="16"/>
          <w:szCs w:val="16"/>
          <w:color w:val="auto"/>
        </w:rPr>
      </w:pPr>
    </w:p>
    <w:p>
      <w:pPr>
        <w:ind w:left="1060" w:hanging="189"/>
        <w:spacing w:after="0"/>
        <w:tabs>
          <w:tab w:leader="none" w:pos="1060"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WingspanBank.com, a leading Internet-based full-service bank;</w:t>
      </w:r>
    </w:p>
    <w:p>
      <w:pPr>
        <w:spacing w:after="0" w:line="191" w:lineRule="exact"/>
        <w:rPr>
          <w:rFonts w:ascii="Courier New" w:cs="Courier New" w:eastAsia="Courier New" w:hAnsi="Courier New"/>
          <w:sz w:val="16"/>
          <w:szCs w:val="16"/>
          <w:color w:val="auto"/>
        </w:rPr>
      </w:pPr>
    </w:p>
    <w:p>
      <w:pPr>
        <w:ind w:left="1060" w:hanging="189"/>
        <w:spacing w:after="0"/>
        <w:tabs>
          <w:tab w:leader="none" w:pos="1060"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Internet financial sites like Quicken.com; and</w:t>
      </w:r>
    </w:p>
    <w:p>
      <w:pPr>
        <w:spacing w:after="0" w:line="191" w:lineRule="exact"/>
        <w:rPr>
          <w:rFonts w:ascii="Courier New" w:cs="Courier New" w:eastAsia="Courier New" w:hAnsi="Courier New"/>
          <w:sz w:val="16"/>
          <w:szCs w:val="16"/>
          <w:color w:val="auto"/>
        </w:rPr>
      </w:pPr>
    </w:p>
    <w:p>
      <w:pPr>
        <w:ind w:left="1060" w:right="2859" w:hanging="189"/>
        <w:spacing w:after="0" w:line="248" w:lineRule="auto"/>
        <w:tabs>
          <w:tab w:leader="none" w:pos="1060"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personal financial management software like Quicken and Microsoft Money.</w:t>
      </w:r>
    </w:p>
    <w:p>
      <w:pPr>
        <w:spacing w:after="0" w:line="184" w:lineRule="exact"/>
        <w:rPr>
          <w:sz w:val="20"/>
          <w:szCs w:val="20"/>
          <w:color w:val="auto"/>
        </w:rPr>
      </w:pPr>
    </w:p>
    <w:p>
      <w:pPr>
        <w:ind w:right="2659" w:firstLine="872"/>
        <w:spacing w:after="0" w:line="247" w:lineRule="auto"/>
        <w:rPr>
          <w:sz w:val="20"/>
          <w:szCs w:val="20"/>
          <w:color w:val="auto"/>
        </w:rPr>
      </w:pPr>
      <w:r>
        <w:rPr>
          <w:rFonts w:ascii="Courier New" w:cs="Courier New" w:eastAsia="Courier New" w:hAnsi="Courier New"/>
          <w:sz w:val="16"/>
          <w:szCs w:val="16"/>
          <w:color w:val="auto"/>
        </w:rPr>
        <w:t>We have developed contracts with over 1,100 merchants nationwide that enable us to remit more than 50% of all of our bill payments electronically. During the three-month period ended December 31, 1999, we processed an average of nearly 14 million transactions per month and, for the year ended June 30, 1999, we processed more than 125 million transactions.</w:t>
      </w:r>
    </w:p>
    <w:p>
      <w:pPr>
        <w:spacing w:after="0" w:line="185" w:lineRule="exact"/>
        <w:rPr>
          <w:sz w:val="20"/>
          <w:szCs w:val="20"/>
          <w:color w:val="auto"/>
        </w:rPr>
      </w:pPr>
    </w:p>
    <w:p>
      <w:pPr>
        <w:ind w:right="2459" w:firstLine="872"/>
        <w:spacing w:after="0" w:line="246" w:lineRule="auto"/>
        <w:rPr>
          <w:sz w:val="20"/>
          <w:szCs w:val="20"/>
          <w:color w:val="auto"/>
        </w:rPr>
      </w:pPr>
      <w:r>
        <w:rPr>
          <w:rFonts w:ascii="Courier New" w:cs="Courier New" w:eastAsia="Courier New" w:hAnsi="Courier New"/>
          <w:sz w:val="16"/>
          <w:szCs w:val="16"/>
          <w:color w:val="auto"/>
        </w:rPr>
        <w:t>In March 1997, we introduced electronic billing -- "E-Bill" -- which enables merchants to deliver billing as well as marketing materials interactively to their customers over the Internet. As of December 31, 1999, we had signed contracts for E-Bill services with 89 of the country's largest billers. In December 1999, we presented more than 38,000 electronic bills, which is nearly double the number of bills presented through E-Bill services in September 1999. Additionally, over 100 CheckFree distribution points are live with Internet billing and payment.</w:t>
      </w:r>
    </w:p>
    <w:p>
      <w:pPr>
        <w:spacing w:after="0" w:line="191" w:lineRule="exact"/>
        <w:rPr>
          <w:sz w:val="20"/>
          <w:szCs w:val="20"/>
          <w:color w:val="auto"/>
        </w:rPr>
      </w:pPr>
    </w:p>
    <w:p>
      <w:pPr>
        <w:ind w:right="2459" w:firstLine="872"/>
        <w:spacing w:after="0" w:line="246" w:lineRule="auto"/>
        <w:rPr>
          <w:sz w:val="20"/>
          <w:szCs w:val="20"/>
          <w:color w:val="auto"/>
        </w:rPr>
      </w:pPr>
      <w:r>
        <w:rPr>
          <w:rFonts w:ascii="Courier New" w:cs="Courier New" w:eastAsia="Courier New" w:hAnsi="Courier New"/>
          <w:sz w:val="16"/>
          <w:szCs w:val="16"/>
          <w:color w:val="auto"/>
        </w:rPr>
        <w:t>For example, when a customer instructs us to pay a bill, we have the ability to process the payment either by electronic funds transfer or by paper check. Our patented bill payment processing system in Norcross, Georgia determines the preferred method of payment to balance processing costs, operational efficiencies and risk of loss. If we are willing to assume the risk for the funds and we have an electronic connection to the merchant, the remittance will be sent electronically. Otherwise, the remittance will be sent to the merchant by a paper check or draft drawn directly on the customer's checking account. In an electronic remittance, the funds are transmitted electronically to the merchant with the customer's account number included as an addenda record. For a paper draft, the customer's name, address, and account number is printed on the face of the check. In addition, our processing system provides the ability to aggregate multiple electronic and paper remittances due to merchants. Thus, if multiple payments are going to the same merchant on the same day, we may send one check for the sum of these payments and include a remittance statement that provides the customers' names, addresses, account numbers, and payment amounts. Our strategy is to drive operational efficiency and improve profitability by increasing the percentage of transactions we process electronically.</w:t>
      </w:r>
    </w:p>
    <w:p>
      <w:pPr>
        <w:sectPr>
          <w:pgSz w:w="11900" w:h="16838" w:orient="portrait"/>
          <w:cols w:equalWidth="0" w:num="1">
            <w:col w:w="10219"/>
          </w:cols>
          <w:pgMar w:left="240" w:top="303" w:right="1440" w:bottom="0" w:gutter="0" w:footer="0" w:header="0"/>
        </w:sectPr>
      </w:pPr>
    </w:p>
    <w:bookmarkStart w:id="4" w:name="page5"/>
    <w:bookmarkEnd w:id="4"/>
    <w:p>
      <w:pPr>
        <w:ind w:right="2559" w:firstLine="872"/>
        <w:spacing w:after="0" w:line="247" w:lineRule="auto"/>
        <w:rPr>
          <w:sz w:val="20"/>
          <w:szCs w:val="20"/>
          <w:color w:val="auto"/>
        </w:rPr>
      </w:pPr>
      <w:r>
        <w:rPr>
          <w:rFonts w:ascii="Courier New" w:cs="Courier New" w:eastAsia="Courier New" w:hAnsi="Courier New"/>
          <w:sz w:val="16"/>
          <w:szCs w:val="16"/>
          <w:color w:val="auto"/>
        </w:rPr>
        <w:t>We are also a leading provider of institutional portfolio management and information services and financial application software. Our Investment Services business offers portfolio accounting and performance measurement services to investment advisors, brokerage firms, banks and insurance companies and financial planning application software to financial planners.</w:t>
      </w:r>
    </w:p>
    <w:p>
      <w:pPr>
        <w:spacing w:after="0" w:line="185" w:lineRule="exact"/>
        <w:rPr>
          <w:sz w:val="20"/>
          <w:szCs w:val="20"/>
          <w:color w:val="auto"/>
        </w:rPr>
      </w:pPr>
    </w:p>
    <w:p>
      <w:pPr>
        <w:ind w:left="880"/>
        <w:spacing w:after="0"/>
        <w:rPr>
          <w:sz w:val="20"/>
          <w:szCs w:val="20"/>
          <w:color w:val="auto"/>
        </w:rPr>
      </w:pPr>
      <w:r>
        <w:rPr>
          <w:rFonts w:ascii="Courier New" w:cs="Courier New" w:eastAsia="Courier New" w:hAnsi="Courier New"/>
          <w:sz w:val="16"/>
          <w:szCs w:val="16"/>
          <w:color w:val="auto"/>
        </w:rPr>
        <w:t>Our portfolio management system solution includes:</w:t>
      </w:r>
    </w:p>
    <w:p>
      <w:pPr>
        <w:spacing w:after="0" w:line="191" w:lineRule="exact"/>
        <w:rPr>
          <w:sz w:val="20"/>
          <w:szCs w:val="20"/>
          <w:color w:val="auto"/>
        </w:rPr>
      </w:pPr>
    </w:p>
    <w:p>
      <w:pPr>
        <w:ind w:left="1060" w:hanging="189"/>
        <w:spacing w:after="0"/>
        <w:tabs>
          <w:tab w:leader="none" w:pos="1060"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data conversion;</w:t>
      </w:r>
    </w:p>
    <w:p>
      <w:pPr>
        <w:spacing w:after="0" w:line="191" w:lineRule="exact"/>
        <w:rPr>
          <w:rFonts w:ascii="Courier New" w:cs="Courier New" w:eastAsia="Courier New" w:hAnsi="Courier New"/>
          <w:sz w:val="16"/>
          <w:szCs w:val="16"/>
          <w:color w:val="auto"/>
        </w:rPr>
      </w:pPr>
    </w:p>
    <w:p>
      <w:pPr>
        <w:ind w:left="1060" w:hanging="189"/>
        <w:spacing w:after="0"/>
        <w:tabs>
          <w:tab w:leader="none" w:pos="1060"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personnel training;</w:t>
      </w:r>
    </w:p>
    <w:p>
      <w:pPr>
        <w:spacing w:after="0" w:line="191" w:lineRule="exact"/>
        <w:rPr>
          <w:rFonts w:ascii="Courier New" w:cs="Courier New" w:eastAsia="Courier New" w:hAnsi="Courier New"/>
          <w:sz w:val="16"/>
          <w:szCs w:val="16"/>
          <w:color w:val="auto"/>
        </w:rPr>
      </w:pPr>
    </w:p>
    <w:p>
      <w:pPr>
        <w:ind w:left="1060" w:hanging="189"/>
        <w:spacing w:after="0"/>
        <w:tabs>
          <w:tab w:leader="none" w:pos="1060"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trading system;</w:t>
      </w:r>
    </w:p>
    <w:p>
      <w:pPr>
        <w:spacing w:after="0" w:line="191" w:lineRule="exact"/>
        <w:rPr>
          <w:rFonts w:ascii="Courier New" w:cs="Courier New" w:eastAsia="Courier New" w:hAnsi="Courier New"/>
          <w:sz w:val="16"/>
          <w:szCs w:val="16"/>
          <w:color w:val="auto"/>
        </w:rPr>
      </w:pPr>
    </w:p>
    <w:p>
      <w:pPr>
        <w:ind w:left="1060" w:hanging="189"/>
        <w:spacing w:after="0"/>
        <w:tabs>
          <w:tab w:leader="none" w:pos="1060"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graphical client reporting;</w:t>
      </w:r>
    </w:p>
    <w:p>
      <w:pPr>
        <w:spacing w:after="0" w:line="191" w:lineRule="exact"/>
        <w:rPr>
          <w:rFonts w:ascii="Courier New" w:cs="Courier New" w:eastAsia="Courier New" w:hAnsi="Courier New"/>
          <w:sz w:val="16"/>
          <w:szCs w:val="16"/>
          <w:color w:val="auto"/>
        </w:rPr>
      </w:pPr>
    </w:p>
    <w:p>
      <w:pPr>
        <w:ind w:left="1060" w:hanging="189"/>
        <w:spacing w:after="0"/>
        <w:tabs>
          <w:tab w:leader="none" w:pos="1060"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performance measurement;</w:t>
      </w:r>
    </w:p>
    <w:p>
      <w:pPr>
        <w:spacing w:after="0" w:line="191" w:lineRule="exact"/>
        <w:rPr>
          <w:rFonts w:ascii="Courier New" w:cs="Courier New" w:eastAsia="Courier New" w:hAnsi="Courier New"/>
          <w:sz w:val="16"/>
          <w:szCs w:val="16"/>
          <w:color w:val="auto"/>
        </w:rPr>
      </w:pPr>
    </w:p>
    <w:p>
      <w:pPr>
        <w:ind w:left="1060" w:hanging="189"/>
        <w:spacing w:after="0"/>
        <w:tabs>
          <w:tab w:leader="none" w:pos="1060"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technical network support and interface setup; and</w:t>
      </w:r>
    </w:p>
    <w:p>
      <w:pPr>
        <w:spacing w:after="0" w:line="191" w:lineRule="exact"/>
        <w:rPr>
          <w:rFonts w:ascii="Courier New" w:cs="Courier New" w:eastAsia="Courier New" w:hAnsi="Courier New"/>
          <w:sz w:val="16"/>
          <w:szCs w:val="16"/>
          <w:color w:val="auto"/>
        </w:rPr>
      </w:pPr>
    </w:p>
    <w:p>
      <w:pPr>
        <w:ind w:left="1060" w:hanging="189"/>
        <w:spacing w:after="0"/>
        <w:tabs>
          <w:tab w:leader="none" w:pos="1060"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DTC processing.</w:t>
      </w:r>
    </w:p>
    <w:p>
      <w:pPr>
        <w:spacing w:after="0" w:line="191" w:lineRule="exact"/>
        <w:rPr>
          <w:sz w:val="20"/>
          <w:szCs w:val="20"/>
          <w:color w:val="auto"/>
        </w:rPr>
      </w:pPr>
    </w:p>
    <w:p>
      <w:pPr>
        <w:ind w:left="880"/>
        <w:spacing w:after="0"/>
        <w:rPr>
          <w:sz w:val="20"/>
          <w:szCs w:val="20"/>
          <w:color w:val="auto"/>
        </w:rPr>
      </w:pPr>
      <w:r>
        <w:rPr>
          <w:rFonts w:ascii="Courier New" w:cs="Courier New" w:eastAsia="Courier New" w:hAnsi="Courier New"/>
          <w:sz w:val="16"/>
          <w:szCs w:val="16"/>
          <w:color w:val="auto"/>
        </w:rPr>
        <w:t>Our financial planning software applications include:</w:t>
      </w:r>
    </w:p>
    <w:p>
      <w:pPr>
        <w:spacing w:after="0" w:line="191" w:lineRule="exact"/>
        <w:rPr>
          <w:sz w:val="20"/>
          <w:szCs w:val="20"/>
          <w:color w:val="auto"/>
        </w:rPr>
      </w:pPr>
    </w:p>
    <w:p>
      <w:pPr>
        <w:ind w:left="1060" w:hanging="189"/>
        <w:spacing w:after="0"/>
        <w:tabs>
          <w:tab w:leader="none" w:pos="106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retirement and estate planning modules;</w:t>
      </w:r>
    </w:p>
    <w:p>
      <w:pPr>
        <w:spacing w:after="0" w:line="191" w:lineRule="exact"/>
        <w:rPr>
          <w:rFonts w:ascii="Courier New" w:cs="Courier New" w:eastAsia="Courier New" w:hAnsi="Courier New"/>
          <w:sz w:val="16"/>
          <w:szCs w:val="16"/>
          <w:color w:val="auto"/>
        </w:rPr>
      </w:pPr>
    </w:p>
    <w:p>
      <w:pPr>
        <w:ind w:left="1060" w:hanging="189"/>
        <w:spacing w:after="0"/>
        <w:tabs>
          <w:tab w:leader="none" w:pos="106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cash flow, tax and education planning modules;</w:t>
      </w:r>
    </w:p>
    <w:p>
      <w:pPr>
        <w:spacing w:after="0" w:line="191" w:lineRule="exact"/>
        <w:rPr>
          <w:rFonts w:ascii="Courier New" w:cs="Courier New" w:eastAsia="Courier New" w:hAnsi="Courier New"/>
          <w:sz w:val="16"/>
          <w:szCs w:val="16"/>
          <w:color w:val="auto"/>
        </w:rPr>
      </w:pPr>
    </w:p>
    <w:p>
      <w:pPr>
        <w:ind w:left="1060" w:hanging="189"/>
        <w:spacing w:after="0"/>
        <w:tabs>
          <w:tab w:leader="none" w:pos="106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asset allocation module; and</w:t>
      </w:r>
    </w:p>
    <w:p>
      <w:pPr>
        <w:spacing w:after="0" w:line="191" w:lineRule="exact"/>
        <w:rPr>
          <w:rFonts w:ascii="Courier New" w:cs="Courier New" w:eastAsia="Courier New" w:hAnsi="Courier New"/>
          <w:sz w:val="16"/>
          <w:szCs w:val="16"/>
          <w:color w:val="auto"/>
        </w:rPr>
      </w:pPr>
    </w:p>
    <w:p>
      <w:pPr>
        <w:ind w:left="1060" w:hanging="189"/>
        <w:spacing w:after="0"/>
        <w:tabs>
          <w:tab w:leader="none" w:pos="106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investment manager performance database system.</w:t>
      </w:r>
    </w:p>
    <w:p>
      <w:pPr>
        <w:spacing w:after="0" w:line="191" w:lineRule="exact"/>
        <w:rPr>
          <w:sz w:val="20"/>
          <w:szCs w:val="20"/>
          <w:color w:val="auto"/>
        </w:rPr>
      </w:pPr>
    </w:p>
    <w:p>
      <w:pPr>
        <w:ind w:right="2559" w:firstLine="872"/>
        <w:spacing w:after="0" w:line="247" w:lineRule="auto"/>
        <w:rPr>
          <w:sz w:val="20"/>
          <w:szCs w:val="20"/>
          <w:color w:val="auto"/>
        </w:rPr>
      </w:pPr>
      <w:r>
        <w:rPr>
          <w:rFonts w:ascii="Courier New" w:cs="Courier New" w:eastAsia="Courier New" w:hAnsi="Courier New"/>
          <w:sz w:val="16"/>
          <w:szCs w:val="16"/>
          <w:color w:val="auto"/>
        </w:rPr>
        <w:t>Our fee-based money manager clients are typically sponsors or managers of wrap money management products or traditional money managers, managing investments of institutions and high net worth individuals.</w:t>
      </w:r>
    </w:p>
    <w:p>
      <w:pPr>
        <w:spacing w:after="0" w:line="186" w:lineRule="exact"/>
        <w:rPr>
          <w:sz w:val="20"/>
          <w:szCs w:val="20"/>
          <w:color w:val="auto"/>
        </w:rPr>
      </w:pPr>
    </w:p>
    <w:p>
      <w:pPr>
        <w:ind w:right="2459" w:firstLine="872"/>
        <w:spacing w:after="0" w:line="247" w:lineRule="auto"/>
        <w:rPr>
          <w:sz w:val="20"/>
          <w:szCs w:val="20"/>
          <w:color w:val="auto"/>
        </w:rPr>
      </w:pPr>
      <w:r>
        <w:rPr>
          <w:rFonts w:ascii="Courier New" w:cs="Courier New" w:eastAsia="Courier New" w:hAnsi="Courier New"/>
          <w:sz w:val="16"/>
          <w:szCs w:val="16"/>
          <w:color w:val="auto"/>
        </w:rPr>
        <w:t>Our Software businesses provide electronic commerce and financial applications software and services for businesses and financial institutions. We design, market, license and support the following software applications, among others:</w:t>
      </w:r>
    </w:p>
    <w:p>
      <w:pPr>
        <w:spacing w:after="0" w:line="186" w:lineRule="exact"/>
        <w:rPr>
          <w:sz w:val="20"/>
          <w:szCs w:val="20"/>
          <w:color w:val="auto"/>
        </w:rPr>
      </w:pPr>
    </w:p>
    <w:p>
      <w:pPr>
        <w:ind w:left="880"/>
        <w:spacing w:after="0"/>
        <w:rPr>
          <w:sz w:val="20"/>
          <w:szCs w:val="20"/>
          <w:color w:val="auto"/>
        </w:rPr>
      </w:pPr>
      <w:r>
        <w:rPr>
          <w:rFonts w:ascii="Courier New" w:cs="Courier New" w:eastAsia="Courier New" w:hAnsi="Courier New"/>
          <w:sz w:val="16"/>
          <w:szCs w:val="16"/>
          <w:color w:val="auto"/>
        </w:rPr>
        <w:t>- Electronic Funds Transfer.</w:t>
      </w:r>
    </w:p>
    <w:p>
      <w:pPr>
        <w:spacing w:after="0" w:line="191" w:lineRule="exact"/>
        <w:rPr>
          <w:sz w:val="20"/>
          <w:szCs w:val="20"/>
          <w:color w:val="auto"/>
        </w:rPr>
      </w:pPr>
    </w:p>
    <w:p>
      <w:pPr>
        <w:ind w:left="880" w:right="2459" w:firstLine="872"/>
        <w:spacing w:after="0" w:line="247" w:lineRule="auto"/>
        <w:rPr>
          <w:sz w:val="20"/>
          <w:szCs w:val="20"/>
          <w:color w:val="auto"/>
        </w:rPr>
      </w:pPr>
      <w:r>
        <w:rPr>
          <w:rFonts w:ascii="Courier New" w:cs="Courier New" w:eastAsia="Courier New" w:hAnsi="Courier New"/>
          <w:sz w:val="16"/>
          <w:szCs w:val="16"/>
          <w:color w:val="auto"/>
        </w:rPr>
        <w:t>Through our Paperless Entry Processing system or PEP+ software, we offer an online, real-time system providing an operational interface for originating and receiving payments through the Automated Clearing House or ACH.</w:t>
      </w:r>
    </w:p>
    <w:p>
      <w:pPr>
        <w:spacing w:after="0" w:line="186" w:lineRule="exact"/>
        <w:rPr>
          <w:sz w:val="20"/>
          <w:szCs w:val="20"/>
          <w:color w:val="auto"/>
        </w:rPr>
      </w:pPr>
    </w:p>
    <w:p>
      <w:pPr>
        <w:ind w:left="880"/>
        <w:spacing w:after="0"/>
        <w:rPr>
          <w:sz w:val="20"/>
          <w:szCs w:val="20"/>
          <w:color w:val="auto"/>
        </w:rPr>
      </w:pPr>
      <w:r>
        <w:rPr>
          <w:rFonts w:ascii="Courier New" w:cs="Courier New" w:eastAsia="Courier New" w:hAnsi="Courier New"/>
          <w:sz w:val="16"/>
          <w:szCs w:val="16"/>
          <w:color w:val="auto"/>
        </w:rPr>
        <w:t>- Reconciliation.</w:t>
      </w:r>
    </w:p>
    <w:p>
      <w:pPr>
        <w:spacing w:after="0" w:line="191" w:lineRule="exact"/>
        <w:rPr>
          <w:sz w:val="20"/>
          <w:szCs w:val="20"/>
          <w:color w:val="auto"/>
        </w:rPr>
      </w:pPr>
    </w:p>
    <w:p>
      <w:pPr>
        <w:ind w:left="880" w:right="2459" w:firstLine="872"/>
        <w:spacing w:after="0" w:line="247" w:lineRule="auto"/>
        <w:rPr>
          <w:sz w:val="20"/>
          <w:szCs w:val="20"/>
          <w:color w:val="auto"/>
        </w:rPr>
      </w:pPr>
      <w:r>
        <w:rPr>
          <w:rFonts w:ascii="Courier New" w:cs="Courier New" w:eastAsia="Courier New" w:hAnsi="Courier New"/>
          <w:sz w:val="16"/>
          <w:szCs w:val="16"/>
          <w:color w:val="auto"/>
        </w:rPr>
        <w:t>Through our ReconPlus software, we provide U.S. banks, international banks and corporate treasury operations with automated check and non-check reconciliations in high volume, multi-location environments. Some of the services provided by ReconPlus are automated deposit verification, consolidated bank account reconciliation and cash mobilization, immediate and accurate funds availability data and improved cash control.</w:t>
      </w:r>
    </w:p>
    <w:p>
      <w:pPr>
        <w:spacing w:after="0" w:line="185" w:lineRule="exact"/>
        <w:rPr>
          <w:sz w:val="20"/>
          <w:szCs w:val="20"/>
          <w:color w:val="auto"/>
        </w:rPr>
      </w:pPr>
    </w:p>
    <w:p>
      <w:pPr>
        <w:ind w:left="880"/>
        <w:spacing w:after="0"/>
        <w:rPr>
          <w:sz w:val="20"/>
          <w:szCs w:val="20"/>
          <w:color w:val="auto"/>
        </w:rPr>
      </w:pPr>
      <w:r>
        <w:rPr>
          <w:rFonts w:ascii="Courier New" w:cs="Courier New" w:eastAsia="Courier New" w:hAnsi="Courier New"/>
          <w:sz w:val="16"/>
          <w:szCs w:val="16"/>
          <w:color w:val="auto"/>
        </w:rPr>
        <w:t>- Other.</w:t>
      </w:r>
    </w:p>
    <w:p>
      <w:pPr>
        <w:spacing w:after="0" w:line="191" w:lineRule="exact"/>
        <w:rPr>
          <w:sz w:val="20"/>
          <w:szCs w:val="20"/>
          <w:color w:val="auto"/>
        </w:rPr>
      </w:pPr>
    </w:p>
    <w:p>
      <w:pPr>
        <w:ind w:left="880" w:right="2559" w:firstLine="872"/>
        <w:spacing w:after="0" w:line="247" w:lineRule="auto"/>
        <w:rPr>
          <w:sz w:val="20"/>
          <w:szCs w:val="20"/>
          <w:color w:val="auto"/>
        </w:rPr>
      </w:pPr>
      <w:r>
        <w:rPr>
          <w:rFonts w:ascii="Courier New" w:cs="Courier New" w:eastAsia="Courier New" w:hAnsi="Courier New"/>
          <w:sz w:val="16"/>
          <w:szCs w:val="16"/>
          <w:color w:val="auto"/>
        </w:rPr>
        <w:t>We also provide software solutions such as regulatory compliance solutions for Form 1099 processing, safe box accounting and other applications.</w:t>
      </w:r>
    </w:p>
    <w:p>
      <w:pPr>
        <w:spacing w:after="0" w:line="372"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4</w:t>
      </w:r>
    </w:p>
    <w:p>
      <w:pPr>
        <w:sectPr>
          <w:pgSz w:w="11900" w:h="16838" w:orient="portrait"/>
          <w:cols w:equalWidth="0" w:num="1">
            <w:col w:w="10219"/>
          </w:cols>
          <w:pgMar w:left="240" w:top="142" w:right="1440" w:bottom="1440" w:gutter="0" w:footer="0" w:header="0"/>
        </w:sectPr>
      </w:pPr>
    </w:p>
    <w:bookmarkStart w:id="5" w:name="page6"/>
    <w:bookmarkEnd w:id="5"/>
    <w:p>
      <w:pPr>
        <w:ind w:left="300"/>
        <w:spacing w:after="0"/>
        <w:rPr>
          <w:sz w:val="20"/>
          <w:szCs w:val="20"/>
          <w:color w:val="auto"/>
        </w:rPr>
      </w:pPr>
      <w:r>
        <w:rPr>
          <w:rFonts w:ascii="Courier New" w:cs="Courier New" w:eastAsia="Courier New" w:hAnsi="Courier New"/>
          <w:sz w:val="16"/>
          <w:szCs w:val="16"/>
          <w:color w:val="auto"/>
        </w:rPr>
        <w:t>5</w:t>
      </w:r>
    </w:p>
    <w:p>
      <w:pPr>
        <w:spacing w:after="0" w:line="5" w:lineRule="exact"/>
        <w:rPr>
          <w:sz w:val="20"/>
          <w:szCs w:val="20"/>
          <w:color w:val="auto"/>
        </w:rPr>
      </w:pPr>
    </w:p>
    <w:p>
      <w:pPr>
        <w:ind w:right="2959" w:firstLine="872"/>
        <w:spacing w:after="0" w:line="247" w:lineRule="auto"/>
        <w:rPr>
          <w:sz w:val="20"/>
          <w:szCs w:val="20"/>
          <w:color w:val="auto"/>
        </w:rPr>
      </w:pPr>
      <w:r>
        <w:rPr>
          <w:rFonts w:ascii="Courier New" w:cs="Courier New" w:eastAsia="Courier New" w:hAnsi="Courier New"/>
          <w:sz w:val="16"/>
          <w:szCs w:val="16"/>
          <w:color w:val="auto"/>
        </w:rPr>
        <w:t>During the fiscal year ended June 30, 1999, Electronic Commerce accounted for 68% of our revenues and Software and Investment Services each accounted for 16% of our revenues.</w:t>
      </w:r>
    </w:p>
    <w:p>
      <w:pPr>
        <w:spacing w:after="0" w:line="186" w:lineRule="exact"/>
        <w:rPr>
          <w:sz w:val="20"/>
          <w:szCs w:val="20"/>
          <w:color w:val="auto"/>
        </w:rPr>
      </w:pPr>
    </w:p>
    <w:p>
      <w:pPr>
        <w:ind w:left="2900"/>
        <w:spacing w:after="0"/>
        <w:rPr>
          <w:sz w:val="20"/>
          <w:szCs w:val="20"/>
          <w:color w:val="auto"/>
        </w:rPr>
      </w:pPr>
      <w:r>
        <w:rPr>
          <w:rFonts w:ascii="Courier New" w:cs="Courier New" w:eastAsia="Courier New" w:hAnsi="Courier New"/>
          <w:sz w:val="16"/>
          <w:szCs w:val="16"/>
          <w:color w:val="auto"/>
        </w:rPr>
        <w:t>OUR BUSINESS STRATEGY</w:t>
      </w:r>
    </w:p>
    <w:p>
      <w:pPr>
        <w:spacing w:after="0" w:line="191" w:lineRule="exact"/>
        <w:rPr>
          <w:sz w:val="20"/>
          <w:szCs w:val="20"/>
          <w:color w:val="auto"/>
        </w:rPr>
      </w:pPr>
    </w:p>
    <w:p>
      <w:pPr>
        <w:ind w:right="2659" w:firstLine="872"/>
        <w:spacing w:after="0" w:line="247" w:lineRule="auto"/>
        <w:rPr>
          <w:sz w:val="20"/>
          <w:szCs w:val="20"/>
          <w:color w:val="auto"/>
        </w:rPr>
      </w:pPr>
      <w:r>
        <w:rPr>
          <w:rFonts w:ascii="Courier New" w:cs="Courier New" w:eastAsia="Courier New" w:hAnsi="Courier New"/>
          <w:sz w:val="16"/>
          <w:szCs w:val="16"/>
          <w:color w:val="auto"/>
        </w:rPr>
        <w:t>Our business strategy is to provide an expanding range of convenient, secure and cost-effective electronic commerce services to financial institutions, businesses and their customers. The key elements of our business strategy are to:</w:t>
      </w:r>
    </w:p>
    <w:p>
      <w:pPr>
        <w:spacing w:after="0" w:line="372" w:lineRule="exact"/>
        <w:rPr>
          <w:sz w:val="20"/>
          <w:szCs w:val="20"/>
          <w:color w:val="auto"/>
        </w:rPr>
      </w:pPr>
    </w:p>
    <w:p>
      <w:pPr>
        <w:ind w:left="1060" w:right="3439" w:hanging="189"/>
        <w:spacing w:after="0" w:line="248" w:lineRule="auto"/>
        <w:tabs>
          <w:tab w:leader="none" w:pos="1060"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drive increased adoption of electronic commerce services by consumers;</w:t>
      </w:r>
    </w:p>
    <w:p>
      <w:pPr>
        <w:spacing w:after="0" w:line="184" w:lineRule="exact"/>
        <w:rPr>
          <w:rFonts w:ascii="Courier New" w:cs="Courier New" w:eastAsia="Courier New" w:hAnsi="Courier New"/>
          <w:sz w:val="16"/>
          <w:szCs w:val="16"/>
          <w:color w:val="auto"/>
        </w:rPr>
      </w:pPr>
    </w:p>
    <w:p>
      <w:pPr>
        <w:ind w:left="1060" w:right="2559" w:hanging="189"/>
        <w:spacing w:after="0" w:line="248" w:lineRule="auto"/>
        <w:tabs>
          <w:tab w:leader="none" w:pos="1060"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continue to distribute electronic commerce services through multiple channels;</w:t>
      </w:r>
    </w:p>
    <w:p>
      <w:pPr>
        <w:spacing w:after="0" w:line="184" w:lineRule="exact"/>
        <w:rPr>
          <w:rFonts w:ascii="Courier New" w:cs="Courier New" w:eastAsia="Courier New" w:hAnsi="Courier New"/>
          <w:sz w:val="16"/>
          <w:szCs w:val="16"/>
          <w:color w:val="auto"/>
        </w:rPr>
      </w:pPr>
    </w:p>
    <w:p>
      <w:pPr>
        <w:ind w:left="1060" w:hanging="189"/>
        <w:spacing w:after="0"/>
        <w:tabs>
          <w:tab w:leader="none" w:pos="1060"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focus on customer care and technical support;</w:t>
      </w:r>
    </w:p>
    <w:p>
      <w:pPr>
        <w:spacing w:after="0" w:line="191" w:lineRule="exact"/>
        <w:rPr>
          <w:rFonts w:ascii="Courier New" w:cs="Courier New" w:eastAsia="Courier New" w:hAnsi="Courier New"/>
          <w:sz w:val="16"/>
          <w:szCs w:val="16"/>
          <w:color w:val="auto"/>
        </w:rPr>
      </w:pPr>
    </w:p>
    <w:p>
      <w:pPr>
        <w:ind w:left="1060" w:hanging="189"/>
        <w:spacing w:after="0"/>
        <w:tabs>
          <w:tab w:leader="none" w:pos="1060"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continue to improve operational efficiency and effectiveness; and</w:t>
      </w:r>
    </w:p>
    <w:p>
      <w:pPr>
        <w:spacing w:after="0" w:line="191" w:lineRule="exact"/>
        <w:rPr>
          <w:rFonts w:ascii="Courier New" w:cs="Courier New" w:eastAsia="Courier New" w:hAnsi="Courier New"/>
          <w:sz w:val="16"/>
          <w:szCs w:val="16"/>
          <w:color w:val="auto"/>
        </w:rPr>
      </w:pPr>
    </w:p>
    <w:p>
      <w:pPr>
        <w:ind w:left="1060" w:hanging="189"/>
        <w:spacing w:after="0"/>
        <w:tabs>
          <w:tab w:leader="none" w:pos="1060"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drive new forms of electronic commerce services.</w:t>
      </w:r>
    </w:p>
    <w:p>
      <w:pPr>
        <w:spacing w:after="0" w:line="200" w:lineRule="exact"/>
        <w:rPr>
          <w:sz w:val="20"/>
          <w:szCs w:val="20"/>
          <w:color w:val="auto"/>
        </w:rPr>
      </w:pPr>
    </w:p>
    <w:p>
      <w:pPr>
        <w:spacing w:after="0" w:line="364" w:lineRule="exact"/>
        <w:rPr>
          <w:sz w:val="20"/>
          <w:szCs w:val="20"/>
          <w:color w:val="auto"/>
        </w:rPr>
      </w:pPr>
    </w:p>
    <w:p>
      <w:pPr>
        <w:ind w:left="3400"/>
        <w:spacing w:after="0"/>
        <w:rPr>
          <w:sz w:val="20"/>
          <w:szCs w:val="20"/>
          <w:color w:val="auto"/>
        </w:rPr>
      </w:pPr>
      <w:r>
        <w:rPr>
          <w:rFonts w:ascii="Courier New" w:cs="Courier New" w:eastAsia="Courier New" w:hAnsi="Courier New"/>
          <w:sz w:val="16"/>
          <w:szCs w:val="16"/>
          <w:color w:val="auto"/>
        </w:rPr>
        <w:t>OUR ADDRESS</w:t>
      </w:r>
    </w:p>
    <w:p>
      <w:pPr>
        <w:spacing w:after="0" w:line="378" w:lineRule="exact"/>
        <w:rPr>
          <w:sz w:val="20"/>
          <w:szCs w:val="20"/>
          <w:color w:val="auto"/>
        </w:rPr>
      </w:pPr>
    </w:p>
    <w:p>
      <w:pPr>
        <w:ind w:right="2559" w:firstLine="872"/>
        <w:spacing w:after="0" w:line="247" w:lineRule="auto"/>
        <w:rPr>
          <w:sz w:val="20"/>
          <w:szCs w:val="20"/>
          <w:color w:val="auto"/>
        </w:rPr>
      </w:pPr>
      <w:r>
        <w:rPr>
          <w:rFonts w:ascii="Courier New" w:cs="Courier New" w:eastAsia="Courier New" w:hAnsi="Courier New"/>
          <w:sz w:val="16"/>
          <w:szCs w:val="16"/>
          <w:color w:val="auto"/>
        </w:rPr>
        <w:t>Our principal executive offices are located at 4411 East Jones Bridge Road, Norcross, Georgia 30092 and our telephone number is (678) 375-3000. We maintain a website at www.checkfree.com. This reference to our website address does not constitute incorporation by reference of the information contained on our website, so you should not consider any information on this website to be a part of this prospectus.</w:t>
      </w:r>
    </w:p>
    <w:p>
      <w:pPr>
        <w:spacing w:after="0" w:line="372"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5</w:t>
      </w:r>
    </w:p>
    <w:p>
      <w:pPr>
        <w:sectPr>
          <w:pgSz w:w="11900" w:h="16838" w:orient="portrait"/>
          <w:cols w:equalWidth="0" w:num="1">
            <w:col w:w="10219"/>
          </w:cols>
          <w:pgMar w:left="240" w:top="303" w:right="1440" w:bottom="1440" w:gutter="0" w:footer="0" w:header="0"/>
        </w:sectPr>
      </w:pPr>
    </w:p>
    <w:bookmarkStart w:id="6" w:name="page7"/>
    <w:bookmarkEnd w:id="6"/>
    <w:p>
      <w:pPr>
        <w:ind w:left="300"/>
        <w:spacing w:after="0"/>
        <w:rPr>
          <w:sz w:val="20"/>
          <w:szCs w:val="20"/>
          <w:color w:val="auto"/>
        </w:rPr>
      </w:pPr>
      <w:r>
        <w:rPr>
          <w:rFonts w:ascii="Courier New" w:cs="Courier New" w:eastAsia="Courier New" w:hAnsi="Courier New"/>
          <w:sz w:val="16"/>
          <w:szCs w:val="16"/>
          <w:color w:val="auto"/>
        </w:rPr>
        <w:t>6</w:t>
      </w:r>
    </w:p>
    <w:p>
      <w:pPr>
        <w:spacing w:after="0" w:line="378" w:lineRule="exact"/>
        <w:rPr>
          <w:sz w:val="20"/>
          <w:szCs w:val="20"/>
          <w:color w:val="auto"/>
        </w:rPr>
      </w:pPr>
    </w:p>
    <w:p>
      <w:pPr>
        <w:ind w:left="3480"/>
        <w:spacing w:after="0"/>
        <w:rPr>
          <w:sz w:val="20"/>
          <w:szCs w:val="20"/>
          <w:color w:val="auto"/>
        </w:rPr>
      </w:pPr>
      <w:r>
        <w:rPr>
          <w:rFonts w:ascii="Courier New" w:cs="Courier New" w:eastAsia="Courier New" w:hAnsi="Courier New"/>
          <w:sz w:val="16"/>
          <w:szCs w:val="16"/>
          <w:color w:val="auto"/>
        </w:rPr>
        <w:t>THE NOTES</w:t>
      </w:r>
    </w:p>
    <w:p>
      <w:pPr>
        <w:sectPr>
          <w:pgSz w:w="11900" w:h="16838" w:orient="portrait"/>
          <w:cols w:equalWidth="0" w:num="1">
            <w:col w:w="10219"/>
          </w:cols>
          <w:pgMar w:left="240" w:top="303" w:right="1440" w:bottom="881" w:gutter="0" w:footer="0" w:header="0"/>
        </w:sectPr>
      </w:pPr>
    </w:p>
    <w:p>
      <w:pPr>
        <w:spacing w:after="0" w:line="37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Issuer........................</w:t>
      </w:r>
    </w:p>
    <w:p>
      <w:pPr>
        <w:spacing w:after="0" w:line="20" w:lineRule="exact"/>
        <w:rPr>
          <w:sz w:val="20"/>
          <w:szCs w:val="20"/>
          <w:color w:val="auto"/>
        </w:rPr>
      </w:pPr>
      <w:r>
        <w:rPr>
          <w:sz w:val="20"/>
          <w:szCs w:val="20"/>
          <w:color w:val="auto"/>
        </w:rPr>
        <w:br w:type="column"/>
      </w:r>
    </w:p>
    <w:p>
      <w:pPr>
        <w:spacing w:after="0" w:line="35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CheckFree Holdings Corporation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4411 East Jones Bridge Road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Norcross, Georgia 30092</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(678) 375-3000</w:t>
      </w:r>
    </w:p>
    <w:p>
      <w:pPr>
        <w:spacing w:after="0" w:line="200" w:lineRule="exact"/>
        <w:rPr>
          <w:sz w:val="20"/>
          <w:szCs w:val="20"/>
          <w:color w:val="auto"/>
        </w:rPr>
      </w:pPr>
    </w:p>
    <w:p>
      <w:pPr>
        <w:sectPr>
          <w:pgSz w:w="11900" w:h="16838" w:orient="portrait"/>
          <w:cols w:equalWidth="0" w:num="2">
            <w:col w:w="2900" w:space="200"/>
            <w:col w:w="7119"/>
          </w:cols>
          <w:pgMar w:left="240" w:top="303" w:right="1440" w:bottom="881" w:gutter="0" w:footer="0" w:header="0"/>
          <w:type w:val="continuous"/>
        </w:sectPr>
      </w:pP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Notes.........................</w:t>
      </w:r>
    </w:p>
    <w:p>
      <w:pPr>
        <w:spacing w:after="0" w:line="20" w:lineRule="exact"/>
        <w:rPr>
          <w:sz w:val="20"/>
          <w:szCs w:val="20"/>
          <w:color w:val="auto"/>
        </w:rPr>
      </w:pPr>
      <w:r>
        <w:rPr>
          <w:sz w:val="20"/>
          <w:szCs w:val="20"/>
          <w:color w:val="auto"/>
        </w:rPr>
        <w:br w:type="column"/>
      </w:r>
    </w:p>
    <w:p>
      <w:pPr>
        <w:spacing w:after="0" w:line="158" w:lineRule="exact"/>
        <w:rPr>
          <w:sz w:val="20"/>
          <w:szCs w:val="20"/>
          <w:color w:val="auto"/>
        </w:rPr>
      </w:pPr>
    </w:p>
    <w:p>
      <w:pPr>
        <w:ind w:right="3039"/>
        <w:spacing w:after="0" w:line="248" w:lineRule="auto"/>
        <w:rPr>
          <w:sz w:val="20"/>
          <w:szCs w:val="20"/>
          <w:color w:val="auto"/>
        </w:rPr>
      </w:pPr>
      <w:r>
        <w:rPr>
          <w:rFonts w:ascii="Courier New" w:cs="Courier New" w:eastAsia="Courier New" w:hAnsi="Courier New"/>
          <w:sz w:val="16"/>
          <w:szCs w:val="16"/>
          <w:color w:val="auto"/>
        </w:rPr>
        <w:t>$172,500,000 aggregate principal amount of Convertible Subordinated Notes due 2006.</w:t>
      </w:r>
    </w:p>
    <w:p>
      <w:pPr>
        <w:spacing w:after="0" w:line="184" w:lineRule="exact"/>
        <w:rPr>
          <w:sz w:val="20"/>
          <w:szCs w:val="20"/>
          <w:color w:val="auto"/>
        </w:rPr>
      </w:pPr>
    </w:p>
    <w:p>
      <w:pPr>
        <w:sectPr>
          <w:pgSz w:w="11900" w:h="16838" w:orient="portrait"/>
          <w:cols w:equalWidth="0" w:num="2">
            <w:col w:w="2900" w:space="200"/>
            <w:col w:w="7119"/>
          </w:cols>
          <w:pgMar w:left="240" w:top="303" w:right="1440" w:bottom="881" w:gutter="0" w:footer="0" w:header="0"/>
          <w:type w:val="continuous"/>
        </w:sectPr>
      </w:pPr>
    </w:p>
    <w:p>
      <w:pPr>
        <w:spacing w:after="0"/>
        <w:rPr>
          <w:sz w:val="20"/>
          <w:szCs w:val="20"/>
          <w:color w:val="auto"/>
        </w:rPr>
      </w:pPr>
      <w:r>
        <w:rPr>
          <w:rFonts w:ascii="Courier New" w:cs="Courier New" w:eastAsia="Courier New" w:hAnsi="Courier New"/>
          <w:sz w:val="16"/>
          <w:szCs w:val="16"/>
          <w:color w:val="auto"/>
        </w:rPr>
        <w:t>Issue Price...................</w:t>
      </w:r>
    </w:p>
    <w:p>
      <w:pPr>
        <w:spacing w:after="0" w:line="20" w:lineRule="exact"/>
        <w:rPr>
          <w:sz w:val="20"/>
          <w:szCs w:val="20"/>
          <w:color w:val="auto"/>
        </w:rPr>
      </w:pPr>
      <w:r>
        <w:rPr>
          <w:sz w:val="20"/>
          <w:szCs w:val="20"/>
          <w:color w:val="auto"/>
        </w:rPr>
        <w:br w:type="column"/>
      </w:r>
    </w:p>
    <w:p>
      <w:pPr>
        <w:ind w:right="2859"/>
        <w:spacing w:after="0" w:line="248" w:lineRule="auto"/>
        <w:rPr>
          <w:sz w:val="20"/>
          <w:szCs w:val="20"/>
          <w:color w:val="auto"/>
        </w:rPr>
      </w:pPr>
      <w:r>
        <w:rPr>
          <w:rFonts w:ascii="Courier New" w:cs="Courier New" w:eastAsia="Courier New" w:hAnsi="Courier New"/>
          <w:sz w:val="16"/>
          <w:szCs w:val="16"/>
          <w:color w:val="auto"/>
        </w:rPr>
        <w:t>100% plus accrued interest, if any, from the date of issue.</w:t>
      </w:r>
    </w:p>
    <w:p>
      <w:pPr>
        <w:spacing w:after="0" w:line="184" w:lineRule="exact"/>
        <w:rPr>
          <w:sz w:val="20"/>
          <w:szCs w:val="20"/>
          <w:color w:val="auto"/>
        </w:rPr>
      </w:pPr>
    </w:p>
    <w:p>
      <w:pPr>
        <w:sectPr>
          <w:pgSz w:w="11900" w:h="16838" w:orient="portrait"/>
          <w:cols w:equalWidth="0" w:num="2">
            <w:col w:w="2900" w:space="200"/>
            <w:col w:w="7119"/>
          </w:cols>
          <w:pgMar w:left="240" w:top="303" w:right="1440" w:bottom="881" w:gutter="0" w:footer="0" w:header="0"/>
          <w:type w:val="continuous"/>
        </w:sectPr>
      </w:pPr>
    </w:p>
    <w:p>
      <w:pPr>
        <w:spacing w:after="0"/>
        <w:rPr>
          <w:sz w:val="20"/>
          <w:szCs w:val="20"/>
          <w:color w:val="auto"/>
        </w:rPr>
      </w:pPr>
      <w:r>
        <w:rPr>
          <w:rFonts w:ascii="Courier New" w:cs="Courier New" w:eastAsia="Courier New" w:hAnsi="Courier New"/>
          <w:sz w:val="16"/>
          <w:szCs w:val="16"/>
          <w:color w:val="auto"/>
        </w:rPr>
        <w:t>Interest......................</w:t>
      </w:r>
    </w:p>
    <w:p>
      <w:pPr>
        <w:spacing w:after="0" w:line="20" w:lineRule="exact"/>
        <w:rPr>
          <w:sz w:val="20"/>
          <w:szCs w:val="20"/>
          <w:color w:val="auto"/>
        </w:rPr>
      </w:pPr>
      <w:r>
        <w:rPr>
          <w:sz w:val="20"/>
          <w:szCs w:val="20"/>
          <w:color w:val="auto"/>
        </w:rPr>
        <w:br w:type="column"/>
      </w:r>
    </w:p>
    <w:p>
      <w:pPr>
        <w:ind w:right="2759"/>
        <w:spacing w:after="0" w:line="247" w:lineRule="auto"/>
        <w:rPr>
          <w:sz w:val="20"/>
          <w:szCs w:val="20"/>
          <w:color w:val="auto"/>
        </w:rPr>
      </w:pPr>
      <w:r>
        <w:rPr>
          <w:rFonts w:ascii="Courier New" w:cs="Courier New" w:eastAsia="Courier New" w:hAnsi="Courier New"/>
          <w:sz w:val="16"/>
          <w:szCs w:val="16"/>
          <w:color w:val="auto"/>
        </w:rPr>
        <w:t>6 1/2% per annum on the principal amount, payable semiannually in arrears on June 1 and December 1 of each year commencing on June 1, 2000.</w:t>
      </w:r>
    </w:p>
    <w:p>
      <w:pPr>
        <w:spacing w:after="0" w:line="186" w:lineRule="exact"/>
        <w:rPr>
          <w:sz w:val="20"/>
          <w:szCs w:val="20"/>
          <w:color w:val="auto"/>
        </w:rPr>
      </w:pPr>
    </w:p>
    <w:p>
      <w:pPr>
        <w:sectPr>
          <w:pgSz w:w="11900" w:h="16838" w:orient="portrait"/>
          <w:cols w:equalWidth="0" w:num="2">
            <w:col w:w="2900" w:space="200"/>
            <w:col w:w="7119"/>
          </w:cols>
          <w:pgMar w:left="240" w:top="303" w:right="1440" w:bottom="881" w:gutter="0" w:footer="0" w:header="0"/>
          <w:type w:val="continuous"/>
        </w:sectPr>
      </w:pPr>
    </w:p>
    <w:p>
      <w:pPr>
        <w:spacing w:after="0"/>
        <w:rPr>
          <w:sz w:val="20"/>
          <w:szCs w:val="20"/>
          <w:color w:val="auto"/>
        </w:rPr>
      </w:pPr>
      <w:r>
        <w:rPr>
          <w:rFonts w:ascii="Courier New" w:cs="Courier New" w:eastAsia="Courier New" w:hAnsi="Courier New"/>
          <w:sz w:val="16"/>
          <w:szCs w:val="16"/>
          <w:color w:val="auto"/>
        </w:rPr>
        <w:t>Denominations.................</w:t>
      </w:r>
    </w:p>
    <w:p>
      <w:pPr>
        <w:spacing w:after="0" w:line="20" w:lineRule="exact"/>
        <w:rPr>
          <w:sz w:val="20"/>
          <w:szCs w:val="20"/>
          <w:color w:val="auto"/>
        </w:rPr>
      </w:pPr>
      <w:r>
        <w:rPr>
          <w:sz w:val="20"/>
          <w:szCs w:val="20"/>
          <w:color w:val="auto"/>
        </w:rPr>
        <w:br w:type="column"/>
      </w:r>
    </w:p>
    <w:p>
      <w:pPr>
        <w:ind w:right="2459"/>
        <w:spacing w:after="0" w:line="248" w:lineRule="auto"/>
        <w:rPr>
          <w:sz w:val="20"/>
          <w:szCs w:val="20"/>
          <w:color w:val="auto"/>
        </w:rPr>
      </w:pPr>
      <w:r>
        <w:rPr>
          <w:rFonts w:ascii="Courier New" w:cs="Courier New" w:eastAsia="Courier New" w:hAnsi="Courier New"/>
          <w:sz w:val="16"/>
          <w:szCs w:val="16"/>
          <w:color w:val="auto"/>
        </w:rPr>
        <w:t>The notes are issued in denominations of $1,000 principal amount and integral multiples thereof.</w:t>
      </w:r>
    </w:p>
    <w:p>
      <w:pPr>
        <w:spacing w:after="0" w:line="184" w:lineRule="exact"/>
        <w:rPr>
          <w:sz w:val="20"/>
          <w:szCs w:val="20"/>
          <w:color w:val="auto"/>
        </w:rPr>
      </w:pPr>
    </w:p>
    <w:p>
      <w:pPr>
        <w:sectPr>
          <w:pgSz w:w="11900" w:h="16838" w:orient="portrait"/>
          <w:cols w:equalWidth="0" w:num="2">
            <w:col w:w="2900" w:space="200"/>
            <w:col w:w="7119"/>
          </w:cols>
          <w:pgMar w:left="240" w:top="303" w:right="1440" w:bottom="881" w:gutter="0" w:footer="0" w:header="0"/>
          <w:type w:val="continuous"/>
        </w:sectPr>
      </w:pPr>
    </w:p>
    <w:p>
      <w:pPr>
        <w:spacing w:after="0"/>
        <w:rPr>
          <w:sz w:val="20"/>
          <w:szCs w:val="20"/>
          <w:color w:val="auto"/>
        </w:rPr>
      </w:pPr>
      <w:r>
        <w:rPr>
          <w:rFonts w:ascii="Courier New" w:cs="Courier New" w:eastAsia="Courier New" w:hAnsi="Courier New"/>
          <w:sz w:val="16"/>
          <w:szCs w:val="16"/>
          <w:color w:val="auto"/>
        </w:rPr>
        <w:t>Conversion Rights.............</w:t>
      </w:r>
    </w:p>
    <w:p>
      <w:pPr>
        <w:spacing w:after="0" w:line="20" w:lineRule="exact"/>
        <w:rPr>
          <w:sz w:val="20"/>
          <w:szCs w:val="20"/>
          <w:color w:val="auto"/>
        </w:rPr>
      </w:pPr>
      <w:r>
        <w:rPr>
          <w:sz w:val="20"/>
          <w:szCs w:val="20"/>
          <w:color w:val="auto"/>
        </w:rPr>
        <w:br w:type="column"/>
      </w:r>
    </w:p>
    <w:p>
      <w:pPr>
        <w:ind w:right="2459"/>
        <w:spacing w:after="0" w:line="246" w:lineRule="auto"/>
        <w:rPr>
          <w:sz w:val="20"/>
          <w:szCs w:val="20"/>
          <w:color w:val="auto"/>
        </w:rPr>
      </w:pPr>
      <w:r>
        <w:rPr>
          <w:rFonts w:ascii="Courier New" w:cs="Courier New" w:eastAsia="Courier New" w:hAnsi="Courier New"/>
          <w:sz w:val="16"/>
          <w:szCs w:val="16"/>
          <w:color w:val="auto"/>
        </w:rPr>
        <w:t>Each note is convertible, at the option of the holder, at anytime prior to maturity, unless previously redeemed or otherwise purchased, into shares of our common stock at a conversion rate of 13.6612 shares per note. The conversion rate is subject to adjustment upon the occurrence of certain events affecting our common stock. Subject to certain exceptions, upon conversion, the holder will not receive any cash payment representing any further interest; such accrued cash interest will be deemed paid by the shares of our common stock received by the holder on conversion. See "Description of Notes--Conversion Rights."</w:t>
      </w:r>
    </w:p>
    <w:p>
      <w:pPr>
        <w:spacing w:after="0" w:line="194" w:lineRule="exact"/>
        <w:rPr>
          <w:sz w:val="20"/>
          <w:szCs w:val="20"/>
          <w:color w:val="auto"/>
        </w:rPr>
      </w:pPr>
    </w:p>
    <w:p>
      <w:pPr>
        <w:sectPr>
          <w:pgSz w:w="11900" w:h="16838" w:orient="portrait"/>
          <w:cols w:equalWidth="0" w:num="2">
            <w:col w:w="2900" w:space="200"/>
            <w:col w:w="7119"/>
          </w:cols>
          <w:pgMar w:left="240" w:top="303" w:right="1440" w:bottom="881" w:gutter="0" w:footer="0" w:header="0"/>
          <w:type w:val="continuous"/>
        </w:sectPr>
      </w:pPr>
    </w:p>
    <w:p>
      <w:pPr>
        <w:spacing w:after="0"/>
        <w:rPr>
          <w:sz w:val="20"/>
          <w:szCs w:val="20"/>
          <w:color w:val="auto"/>
        </w:rPr>
      </w:pPr>
      <w:r>
        <w:rPr>
          <w:rFonts w:ascii="Courier New" w:cs="Courier New" w:eastAsia="Courier New" w:hAnsi="Courier New"/>
          <w:sz w:val="16"/>
          <w:szCs w:val="16"/>
          <w:color w:val="auto"/>
        </w:rPr>
        <w:t>Maturity Date.................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December 1, 2006.</w:t>
      </w:r>
    </w:p>
    <w:p>
      <w:pPr>
        <w:spacing w:after="0" w:line="191" w:lineRule="exact"/>
        <w:rPr>
          <w:sz w:val="20"/>
          <w:szCs w:val="20"/>
          <w:color w:val="auto"/>
        </w:rPr>
      </w:pPr>
    </w:p>
    <w:p>
      <w:pPr>
        <w:sectPr>
          <w:pgSz w:w="11900" w:h="16838" w:orient="portrait"/>
          <w:cols w:equalWidth="0" w:num="2">
            <w:col w:w="2900" w:space="200"/>
            <w:col w:w="7119"/>
          </w:cols>
          <w:pgMar w:left="240" w:top="303" w:right="1440" w:bottom="881" w:gutter="0" w:footer="0" w:header="0"/>
          <w:type w:val="continuous"/>
        </w:sectPr>
      </w:pPr>
    </w:p>
    <w:p>
      <w:pPr>
        <w:spacing w:after="0"/>
        <w:rPr>
          <w:sz w:val="20"/>
          <w:szCs w:val="20"/>
          <w:color w:val="auto"/>
        </w:rPr>
      </w:pPr>
      <w:r>
        <w:rPr>
          <w:rFonts w:ascii="Courier New" w:cs="Courier New" w:eastAsia="Courier New" w:hAnsi="Courier New"/>
          <w:sz w:val="16"/>
          <w:szCs w:val="16"/>
          <w:color w:val="auto"/>
        </w:rPr>
        <w:t>Subsidiary Guarantee..........</w:t>
      </w:r>
    </w:p>
    <w:p>
      <w:pPr>
        <w:spacing w:after="0" w:line="20" w:lineRule="exact"/>
        <w:rPr>
          <w:sz w:val="20"/>
          <w:szCs w:val="20"/>
          <w:color w:val="auto"/>
        </w:rPr>
      </w:pPr>
      <w:r>
        <w:rPr>
          <w:sz w:val="20"/>
          <w:szCs w:val="20"/>
          <w:color w:val="auto"/>
        </w:rPr>
        <w:br w:type="column"/>
      </w:r>
    </w:p>
    <w:p>
      <w:pPr>
        <w:ind w:right="2459"/>
        <w:spacing w:after="0" w:line="246" w:lineRule="auto"/>
        <w:rPr>
          <w:sz w:val="20"/>
          <w:szCs w:val="20"/>
          <w:color w:val="auto"/>
        </w:rPr>
      </w:pPr>
      <w:r>
        <w:rPr>
          <w:rFonts w:ascii="Courier New" w:cs="Courier New" w:eastAsia="Courier New" w:hAnsi="Courier New"/>
          <w:sz w:val="16"/>
          <w:szCs w:val="16"/>
          <w:color w:val="auto"/>
        </w:rPr>
        <w:t>Each of our subsidiaries, jointly and severally, has fully and unconditionally guaranteed the notes on a subordinated basis. Future subsidiaries also may be required to guarantee the notes, including BlueGill Technologies, Inc. and TransPoint upon our completion of each of those acquisitions. See "Description of Notes-- Subsidiary Guarantee."</w:t>
      </w:r>
    </w:p>
    <w:p>
      <w:pPr>
        <w:spacing w:after="0" w:line="200" w:lineRule="exact"/>
        <w:rPr>
          <w:sz w:val="20"/>
          <w:szCs w:val="20"/>
          <w:color w:val="auto"/>
        </w:rPr>
      </w:pPr>
    </w:p>
    <w:p>
      <w:pPr>
        <w:sectPr>
          <w:pgSz w:w="11900" w:h="16838" w:orient="portrait"/>
          <w:cols w:equalWidth="0" w:num="2">
            <w:col w:w="2900" w:space="200"/>
            <w:col w:w="7119"/>
          </w:cols>
          <w:pgMar w:left="240" w:top="303" w:right="1440" w:bottom="881" w:gutter="0" w:footer="0" w:header="0"/>
          <w:type w:val="continuous"/>
        </w:sectPr>
      </w:pP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Ranking.......................</w:t>
      </w:r>
    </w:p>
    <w:p>
      <w:pPr>
        <w:spacing w:after="0" w:line="20" w:lineRule="exact"/>
        <w:rPr>
          <w:sz w:val="20"/>
          <w:szCs w:val="20"/>
          <w:color w:val="auto"/>
        </w:rPr>
      </w:pPr>
      <w:r>
        <w:rPr>
          <w:sz w:val="20"/>
          <w:szCs w:val="20"/>
          <w:color w:val="auto"/>
        </w:rPr>
        <w:br w:type="column"/>
      </w:r>
    </w:p>
    <w:p>
      <w:pPr>
        <w:spacing w:after="0" w:line="157" w:lineRule="exact"/>
        <w:rPr>
          <w:sz w:val="20"/>
          <w:szCs w:val="20"/>
          <w:color w:val="auto"/>
        </w:rPr>
      </w:pPr>
    </w:p>
    <w:p>
      <w:pPr>
        <w:ind w:right="2459"/>
        <w:spacing w:after="0" w:line="246" w:lineRule="auto"/>
        <w:rPr>
          <w:sz w:val="20"/>
          <w:szCs w:val="20"/>
          <w:color w:val="auto"/>
        </w:rPr>
      </w:pPr>
      <w:r>
        <w:rPr>
          <w:rFonts w:ascii="Courier New" w:cs="Courier New" w:eastAsia="Courier New" w:hAnsi="Courier New"/>
          <w:sz w:val="16"/>
          <w:szCs w:val="16"/>
          <w:color w:val="auto"/>
        </w:rPr>
        <w:t>The notes are our unsecured obligations and are subordinated to our existing and future senior indebtedness. The subsidiary guarantee is subordinated to all existing and future senior indebtedness of our subsidiaries. At December 31, 1999, we had no senior indebtedness outstanding, and our subsidiaries had $10.5 million of senior indebtedness outstanding. The indenture does not restrict the incurrence by us or our subsidiaries of indebtedness or other obligations.</w:t>
      </w:r>
    </w:p>
    <w:p>
      <w:pPr>
        <w:spacing w:after="0" w:line="193" w:lineRule="exact"/>
        <w:rPr>
          <w:sz w:val="20"/>
          <w:szCs w:val="20"/>
          <w:color w:val="auto"/>
        </w:rPr>
      </w:pPr>
    </w:p>
    <w:p>
      <w:pPr>
        <w:sectPr>
          <w:pgSz w:w="11900" w:h="16838" w:orient="portrait"/>
          <w:cols w:equalWidth="0" w:num="2">
            <w:col w:w="2900" w:space="200"/>
            <w:col w:w="7119"/>
          </w:cols>
          <w:pgMar w:left="240" w:top="303" w:right="1440" w:bottom="881" w:gutter="0" w:footer="0" w:header="0"/>
          <w:type w:val="continuous"/>
        </w:sectPr>
      </w:pPr>
    </w:p>
    <w:p>
      <w:pPr>
        <w:spacing w:after="0"/>
        <w:rPr>
          <w:sz w:val="20"/>
          <w:szCs w:val="20"/>
          <w:color w:val="auto"/>
        </w:rPr>
      </w:pPr>
      <w:r>
        <w:rPr>
          <w:rFonts w:ascii="Courier New" w:cs="Courier New" w:eastAsia="Courier New" w:hAnsi="Courier New"/>
          <w:sz w:val="16"/>
          <w:szCs w:val="16"/>
          <w:color w:val="auto"/>
        </w:rPr>
        <w:t>Change in Control.............</w:t>
      </w:r>
    </w:p>
    <w:p>
      <w:pPr>
        <w:spacing w:after="0" w:line="20" w:lineRule="exact"/>
        <w:rPr>
          <w:sz w:val="20"/>
          <w:szCs w:val="20"/>
          <w:color w:val="auto"/>
        </w:rPr>
      </w:pPr>
      <w:r>
        <w:rPr>
          <w:sz w:val="20"/>
          <w:szCs w:val="20"/>
          <w:color w:val="auto"/>
        </w:rPr>
        <w:br w:type="column"/>
      </w:r>
    </w:p>
    <w:p>
      <w:pPr>
        <w:ind w:right="2459"/>
        <w:spacing w:after="0" w:line="247" w:lineRule="auto"/>
        <w:rPr>
          <w:sz w:val="20"/>
          <w:szCs w:val="20"/>
          <w:color w:val="auto"/>
        </w:rPr>
      </w:pPr>
      <w:r>
        <w:rPr>
          <w:rFonts w:ascii="Courier New" w:cs="Courier New" w:eastAsia="Courier New" w:hAnsi="Courier New"/>
          <w:sz w:val="16"/>
          <w:szCs w:val="16"/>
          <w:color w:val="auto"/>
        </w:rPr>
        <w:t>If a change in control of CheckFree occurs, you may require us to purchase your notes at a price equal to the principal amount of the notes. We will also be required to pay accrued and unpaid interest.</w:t>
      </w:r>
    </w:p>
    <w:p>
      <w:pPr>
        <w:spacing w:after="0" w:line="200" w:lineRule="exact"/>
        <w:rPr>
          <w:sz w:val="20"/>
          <w:szCs w:val="20"/>
          <w:color w:val="auto"/>
        </w:rPr>
      </w:pPr>
    </w:p>
    <w:p>
      <w:pPr>
        <w:sectPr>
          <w:pgSz w:w="11900" w:h="16838" w:orient="portrait"/>
          <w:cols w:equalWidth="0" w:num="2">
            <w:col w:w="2900" w:space="200"/>
            <w:col w:w="7119"/>
          </w:cols>
          <w:pgMar w:left="240" w:top="303" w:right="1440" w:bottom="881" w:gutter="0" w:footer="0" w:header="0"/>
          <w:type w:val="continuous"/>
        </w:sectPr>
      </w:pP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Sinking Fund..................</w:t>
      </w:r>
    </w:p>
    <w:p>
      <w:pPr>
        <w:spacing w:after="0" w:line="20" w:lineRule="exact"/>
        <w:rPr>
          <w:sz w:val="20"/>
          <w:szCs w:val="20"/>
          <w:color w:val="auto"/>
        </w:rPr>
      </w:pPr>
      <w:r>
        <w:rPr>
          <w:sz w:val="20"/>
          <w:szCs w:val="20"/>
          <w:color w:val="auto"/>
        </w:rPr>
        <w:br w:type="column"/>
      </w:r>
    </w:p>
    <w:p>
      <w:pPr>
        <w:spacing w:after="0" w:line="15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 sinking fund is provided for the notes.</w:t>
      </w:r>
    </w:p>
    <w:p>
      <w:pPr>
        <w:spacing w:after="0" w:line="191" w:lineRule="exact"/>
        <w:rPr>
          <w:sz w:val="20"/>
          <w:szCs w:val="20"/>
          <w:color w:val="auto"/>
        </w:rPr>
      </w:pPr>
    </w:p>
    <w:p>
      <w:pPr>
        <w:sectPr>
          <w:pgSz w:w="11900" w:h="16838" w:orient="portrait"/>
          <w:cols w:equalWidth="0" w:num="2">
            <w:col w:w="2900" w:space="200"/>
            <w:col w:w="7119"/>
          </w:cols>
          <w:pgMar w:left="240" w:top="303" w:right="1440" w:bottom="881" w:gutter="0" w:footer="0" w:header="0"/>
          <w:type w:val="continuous"/>
        </w:sectPr>
      </w:pPr>
    </w:p>
    <w:p>
      <w:pPr>
        <w:spacing w:after="0"/>
        <w:rPr>
          <w:sz w:val="20"/>
          <w:szCs w:val="20"/>
          <w:color w:val="auto"/>
        </w:rPr>
      </w:pPr>
      <w:r>
        <w:rPr>
          <w:rFonts w:ascii="Courier New" w:cs="Courier New" w:eastAsia="Courier New" w:hAnsi="Courier New"/>
          <w:sz w:val="16"/>
          <w:szCs w:val="16"/>
          <w:color w:val="auto"/>
        </w:rPr>
        <w:t>Optional Redemption...........</w:t>
      </w:r>
    </w:p>
    <w:p>
      <w:pPr>
        <w:spacing w:after="0" w:line="20" w:lineRule="exact"/>
        <w:rPr>
          <w:sz w:val="20"/>
          <w:szCs w:val="20"/>
          <w:color w:val="auto"/>
        </w:rPr>
      </w:pPr>
      <w:r>
        <w:rPr>
          <w:sz w:val="20"/>
          <w:szCs w:val="20"/>
          <w:color w:val="auto"/>
        </w:rPr>
        <w:br w:type="column"/>
      </w:r>
    </w:p>
    <w:p>
      <w:pPr>
        <w:ind w:right="2459"/>
        <w:spacing w:after="0" w:line="247" w:lineRule="auto"/>
        <w:rPr>
          <w:sz w:val="20"/>
          <w:szCs w:val="20"/>
          <w:color w:val="auto"/>
        </w:rPr>
      </w:pPr>
      <w:r>
        <w:rPr>
          <w:rFonts w:ascii="Courier New" w:cs="Courier New" w:eastAsia="Courier New" w:hAnsi="Courier New"/>
          <w:sz w:val="16"/>
          <w:szCs w:val="16"/>
          <w:color w:val="auto"/>
        </w:rPr>
        <w:t>We may not redeem the notes prior to December 1, 2002. On and after such date, the notes are redeemable for cash at any time at our option, in whole or in part, at redemption prices set forth in the indenture, plus</w:t>
      </w:r>
    </w:p>
    <w:p>
      <w:pPr>
        <w:spacing w:after="0" w:line="185" w:lineRule="exact"/>
        <w:rPr>
          <w:sz w:val="20"/>
          <w:szCs w:val="20"/>
          <w:color w:val="auto"/>
        </w:rPr>
      </w:pPr>
    </w:p>
    <w:p>
      <w:pPr>
        <w:sectPr>
          <w:pgSz w:w="11900" w:h="16838" w:orient="portrait"/>
          <w:cols w:equalWidth="0" w:num="2">
            <w:col w:w="2900" w:space="200"/>
            <w:col w:w="7119"/>
          </w:cols>
          <w:pgMar w:left="240" w:top="303" w:right="1440" w:bottom="881" w:gutter="0" w:footer="0" w:header="0"/>
          <w:type w:val="continuous"/>
        </w:sectPr>
      </w:pPr>
    </w:p>
    <w:p>
      <w:pPr>
        <w:ind w:left="3780"/>
        <w:spacing w:after="0"/>
        <w:rPr>
          <w:sz w:val="20"/>
          <w:szCs w:val="20"/>
          <w:color w:val="auto"/>
        </w:rPr>
      </w:pPr>
      <w:r>
        <w:rPr>
          <w:rFonts w:ascii="Courier New" w:cs="Courier New" w:eastAsia="Courier New" w:hAnsi="Courier New"/>
          <w:sz w:val="16"/>
          <w:szCs w:val="16"/>
          <w:color w:val="auto"/>
        </w:rPr>
        <w:t>6</w:t>
      </w:r>
    </w:p>
    <w:p>
      <w:pPr>
        <w:sectPr>
          <w:pgSz w:w="11900" w:h="16838" w:orient="portrait"/>
          <w:cols w:equalWidth="0" w:num="1">
            <w:col w:w="10219"/>
          </w:cols>
          <w:pgMar w:left="240" w:top="303" w:right="1440" w:bottom="881" w:gutter="0" w:footer="0" w:header="0"/>
          <w:type w:val="continuous"/>
        </w:sectPr>
      </w:pPr>
    </w:p>
    <w:bookmarkStart w:id="7" w:name="page8"/>
    <w:bookmarkEnd w:id="7"/>
    <w:p>
      <w:pPr>
        <w:ind w:left="300"/>
        <w:spacing w:after="0"/>
        <w:rPr>
          <w:sz w:val="20"/>
          <w:szCs w:val="20"/>
          <w:color w:val="auto"/>
        </w:rPr>
      </w:pPr>
      <w:r>
        <w:rPr>
          <w:rFonts w:ascii="Courier New" w:cs="Courier New" w:eastAsia="Courier New" w:hAnsi="Courier New"/>
          <w:sz w:val="16"/>
          <w:szCs w:val="16"/>
          <w:color w:val="auto"/>
        </w:rPr>
        <w:t>7</w:t>
      </w:r>
    </w:p>
    <w:p>
      <w:pPr>
        <w:spacing w:after="0" w:line="191" w:lineRule="exact"/>
        <w:rPr>
          <w:sz w:val="20"/>
          <w:szCs w:val="20"/>
          <w:color w:val="auto"/>
        </w:rPr>
      </w:pPr>
    </w:p>
    <w:p>
      <w:pPr>
        <w:ind w:left="3100"/>
        <w:spacing w:after="0"/>
        <w:rPr>
          <w:sz w:val="20"/>
          <w:szCs w:val="20"/>
          <w:color w:val="auto"/>
        </w:rPr>
      </w:pPr>
      <w:r>
        <w:rPr>
          <w:rFonts w:ascii="Courier New" w:cs="Courier New" w:eastAsia="Courier New" w:hAnsi="Courier New"/>
          <w:sz w:val="16"/>
          <w:szCs w:val="16"/>
          <w:color w:val="auto"/>
        </w:rPr>
        <w:t>accrued and unpaid interest to the date of</w:t>
      </w:r>
    </w:p>
    <w:p>
      <w:pPr>
        <w:spacing w:after="0" w:line="5" w:lineRule="exact"/>
        <w:rPr>
          <w:sz w:val="20"/>
          <w:szCs w:val="20"/>
          <w:color w:val="auto"/>
        </w:rPr>
      </w:pPr>
    </w:p>
    <w:p>
      <w:pPr>
        <w:ind w:left="3100"/>
        <w:spacing w:after="0"/>
        <w:rPr>
          <w:sz w:val="20"/>
          <w:szCs w:val="20"/>
          <w:color w:val="auto"/>
        </w:rPr>
      </w:pPr>
      <w:r>
        <w:rPr>
          <w:rFonts w:ascii="Courier New" w:cs="Courier New" w:eastAsia="Courier New" w:hAnsi="Courier New"/>
          <w:sz w:val="16"/>
          <w:szCs w:val="16"/>
          <w:color w:val="auto"/>
        </w:rPr>
        <w:t>redemption. See "Description of</w:t>
      </w:r>
    </w:p>
    <w:p>
      <w:pPr>
        <w:spacing w:after="0" w:line="5" w:lineRule="exact"/>
        <w:rPr>
          <w:sz w:val="20"/>
          <w:szCs w:val="20"/>
          <w:color w:val="auto"/>
        </w:rPr>
      </w:pPr>
    </w:p>
    <w:p>
      <w:pPr>
        <w:ind w:left="3100"/>
        <w:spacing w:after="0"/>
        <w:rPr>
          <w:sz w:val="20"/>
          <w:szCs w:val="20"/>
          <w:color w:val="auto"/>
        </w:rPr>
      </w:pPr>
      <w:r>
        <w:rPr>
          <w:rFonts w:ascii="Courier New" w:cs="Courier New" w:eastAsia="Courier New" w:hAnsi="Courier New"/>
          <w:sz w:val="16"/>
          <w:szCs w:val="16"/>
          <w:color w:val="auto"/>
        </w:rPr>
        <w:t>Notes--Redemption of the Notes at Our Option."</w:t>
      </w:r>
    </w:p>
    <w:p>
      <w:pPr>
        <w:spacing w:after="0" w:line="191" w:lineRule="exact"/>
        <w:rPr>
          <w:sz w:val="20"/>
          <w:szCs w:val="20"/>
          <w:color w:val="auto"/>
        </w:rPr>
      </w:pPr>
    </w:p>
    <w:p>
      <w:pPr>
        <w:spacing w:after="0"/>
        <w:tabs>
          <w:tab w:leader="none" w:pos="3080" w:val="left"/>
        </w:tabs>
        <w:rPr>
          <w:sz w:val="20"/>
          <w:szCs w:val="20"/>
          <w:color w:val="auto"/>
        </w:rPr>
      </w:pPr>
      <w:r>
        <w:rPr>
          <w:rFonts w:ascii="Courier New" w:cs="Courier New" w:eastAsia="Courier New" w:hAnsi="Courier New"/>
          <w:sz w:val="16"/>
          <w:szCs w:val="16"/>
          <w:color w:val="auto"/>
        </w:rPr>
        <w:t>Use of Proceeds...............</w:t>
        <w:tab/>
        <w:t>We will not receive any of the proceeds from</w:t>
      </w:r>
    </w:p>
    <w:p>
      <w:pPr>
        <w:spacing w:after="0" w:line="5" w:lineRule="exact"/>
        <w:rPr>
          <w:sz w:val="20"/>
          <w:szCs w:val="20"/>
          <w:color w:val="auto"/>
        </w:rPr>
      </w:pPr>
    </w:p>
    <w:p>
      <w:pPr>
        <w:ind w:left="3100"/>
        <w:spacing w:after="0"/>
        <w:rPr>
          <w:sz w:val="20"/>
          <w:szCs w:val="20"/>
          <w:color w:val="auto"/>
        </w:rPr>
      </w:pPr>
      <w:r>
        <w:rPr>
          <w:rFonts w:ascii="Courier New" w:cs="Courier New" w:eastAsia="Courier New" w:hAnsi="Courier New"/>
          <w:sz w:val="16"/>
          <w:szCs w:val="16"/>
          <w:color w:val="auto"/>
        </w:rPr>
        <w:t>this offering. See "Use of Proceeds."</w:t>
      </w:r>
    </w:p>
    <w:p>
      <w:pPr>
        <w:spacing w:after="0" w:line="191" w:lineRule="exact"/>
        <w:rPr>
          <w:sz w:val="20"/>
          <w:szCs w:val="20"/>
          <w:color w:val="auto"/>
        </w:rPr>
      </w:pPr>
    </w:p>
    <w:p>
      <w:pPr>
        <w:spacing w:after="0"/>
        <w:tabs>
          <w:tab w:leader="none" w:pos="3080" w:val="left"/>
        </w:tabs>
        <w:rPr>
          <w:sz w:val="20"/>
          <w:szCs w:val="20"/>
          <w:color w:val="auto"/>
        </w:rPr>
      </w:pPr>
      <w:r>
        <w:rPr>
          <w:rFonts w:ascii="Courier New" w:cs="Courier New" w:eastAsia="Courier New" w:hAnsi="Courier New"/>
          <w:sz w:val="16"/>
          <w:szCs w:val="16"/>
          <w:color w:val="auto"/>
        </w:rPr>
        <w:t>DTC Eligibility...............</w:t>
        <w:tab/>
        <w:t>Except as described in this prospectus, the</w:t>
      </w:r>
    </w:p>
    <w:p>
      <w:pPr>
        <w:spacing w:after="0" w:line="5" w:lineRule="exact"/>
        <w:rPr>
          <w:sz w:val="20"/>
          <w:szCs w:val="20"/>
          <w:color w:val="auto"/>
        </w:rPr>
      </w:pPr>
    </w:p>
    <w:p>
      <w:pPr>
        <w:ind w:left="3100"/>
        <w:spacing w:after="0"/>
        <w:rPr>
          <w:sz w:val="20"/>
          <w:szCs w:val="20"/>
          <w:color w:val="auto"/>
        </w:rPr>
      </w:pPr>
      <w:r>
        <w:rPr>
          <w:rFonts w:ascii="Courier New" w:cs="Courier New" w:eastAsia="Courier New" w:hAnsi="Courier New"/>
          <w:sz w:val="16"/>
          <w:szCs w:val="16"/>
          <w:color w:val="auto"/>
        </w:rPr>
        <w:t>notes are issued in fully registered book-entry</w:t>
      </w:r>
    </w:p>
    <w:p>
      <w:pPr>
        <w:spacing w:after="0" w:line="5" w:lineRule="exact"/>
        <w:rPr>
          <w:sz w:val="20"/>
          <w:szCs w:val="20"/>
          <w:color w:val="auto"/>
        </w:rPr>
      </w:pPr>
    </w:p>
    <w:p>
      <w:pPr>
        <w:ind w:left="3100"/>
        <w:spacing w:after="0"/>
        <w:rPr>
          <w:sz w:val="20"/>
          <w:szCs w:val="20"/>
          <w:color w:val="auto"/>
        </w:rPr>
      </w:pPr>
      <w:r>
        <w:rPr>
          <w:rFonts w:ascii="Courier New" w:cs="Courier New" w:eastAsia="Courier New" w:hAnsi="Courier New"/>
          <w:sz w:val="16"/>
          <w:szCs w:val="16"/>
          <w:color w:val="auto"/>
        </w:rPr>
        <w:t>form and are represented by one or more</w:t>
      </w:r>
    </w:p>
    <w:p>
      <w:pPr>
        <w:spacing w:after="0" w:line="5" w:lineRule="exact"/>
        <w:rPr>
          <w:sz w:val="20"/>
          <w:szCs w:val="20"/>
          <w:color w:val="auto"/>
        </w:rPr>
      </w:pPr>
    </w:p>
    <w:p>
      <w:pPr>
        <w:ind w:left="3100"/>
        <w:spacing w:after="0"/>
        <w:rPr>
          <w:sz w:val="20"/>
          <w:szCs w:val="20"/>
          <w:color w:val="auto"/>
        </w:rPr>
      </w:pPr>
      <w:r>
        <w:rPr>
          <w:rFonts w:ascii="Courier New" w:cs="Courier New" w:eastAsia="Courier New" w:hAnsi="Courier New"/>
          <w:sz w:val="16"/>
          <w:szCs w:val="16"/>
          <w:color w:val="auto"/>
        </w:rPr>
        <w:t>permanent global notes without coupons deposited</w:t>
      </w:r>
    </w:p>
    <w:p>
      <w:pPr>
        <w:spacing w:after="0" w:line="5" w:lineRule="exact"/>
        <w:rPr>
          <w:sz w:val="20"/>
          <w:szCs w:val="20"/>
          <w:color w:val="auto"/>
        </w:rPr>
      </w:pPr>
    </w:p>
    <w:p>
      <w:pPr>
        <w:ind w:left="3100"/>
        <w:spacing w:after="0"/>
        <w:rPr>
          <w:sz w:val="20"/>
          <w:szCs w:val="20"/>
          <w:color w:val="auto"/>
        </w:rPr>
      </w:pPr>
      <w:r>
        <w:rPr>
          <w:rFonts w:ascii="Courier New" w:cs="Courier New" w:eastAsia="Courier New" w:hAnsi="Courier New"/>
          <w:sz w:val="16"/>
          <w:szCs w:val="16"/>
          <w:color w:val="auto"/>
        </w:rPr>
        <w:t>with a custodian for and registered in the name</w:t>
      </w:r>
    </w:p>
    <w:p>
      <w:pPr>
        <w:spacing w:after="0" w:line="5" w:lineRule="exact"/>
        <w:rPr>
          <w:sz w:val="20"/>
          <w:szCs w:val="20"/>
          <w:color w:val="auto"/>
        </w:rPr>
      </w:pPr>
    </w:p>
    <w:p>
      <w:pPr>
        <w:ind w:left="3100"/>
        <w:spacing w:after="0"/>
        <w:rPr>
          <w:sz w:val="20"/>
          <w:szCs w:val="20"/>
          <w:color w:val="auto"/>
        </w:rPr>
      </w:pPr>
      <w:r>
        <w:rPr>
          <w:rFonts w:ascii="Courier New" w:cs="Courier New" w:eastAsia="Courier New" w:hAnsi="Courier New"/>
          <w:sz w:val="16"/>
          <w:szCs w:val="16"/>
          <w:color w:val="auto"/>
        </w:rPr>
        <w:t>of a nominee of The Depository Trust Company</w:t>
      </w:r>
    </w:p>
    <w:p>
      <w:pPr>
        <w:spacing w:after="0" w:line="5" w:lineRule="exact"/>
        <w:rPr>
          <w:sz w:val="20"/>
          <w:szCs w:val="20"/>
          <w:color w:val="auto"/>
        </w:rPr>
      </w:pPr>
    </w:p>
    <w:p>
      <w:pPr>
        <w:ind w:left="3100"/>
        <w:spacing w:after="0"/>
        <w:rPr>
          <w:sz w:val="20"/>
          <w:szCs w:val="20"/>
          <w:color w:val="auto"/>
        </w:rPr>
      </w:pPr>
      <w:r>
        <w:rPr>
          <w:rFonts w:ascii="Courier New" w:cs="Courier New" w:eastAsia="Courier New" w:hAnsi="Courier New"/>
          <w:sz w:val="16"/>
          <w:szCs w:val="16"/>
          <w:color w:val="auto"/>
        </w:rPr>
        <w:t>("DTC") in New York, New York. Beneficial</w:t>
      </w:r>
    </w:p>
    <w:p>
      <w:pPr>
        <w:spacing w:after="0" w:line="5" w:lineRule="exact"/>
        <w:rPr>
          <w:sz w:val="20"/>
          <w:szCs w:val="20"/>
          <w:color w:val="auto"/>
        </w:rPr>
      </w:pPr>
    </w:p>
    <w:p>
      <w:pPr>
        <w:ind w:left="3100"/>
        <w:spacing w:after="0"/>
        <w:rPr>
          <w:sz w:val="20"/>
          <w:szCs w:val="20"/>
          <w:color w:val="auto"/>
        </w:rPr>
      </w:pPr>
      <w:r>
        <w:rPr>
          <w:rFonts w:ascii="Courier New" w:cs="Courier New" w:eastAsia="Courier New" w:hAnsi="Courier New"/>
          <w:sz w:val="16"/>
          <w:szCs w:val="16"/>
          <w:color w:val="auto"/>
        </w:rPr>
        <w:t>interests in any of the global notes are shown</w:t>
      </w:r>
    </w:p>
    <w:p>
      <w:pPr>
        <w:spacing w:after="0" w:line="5" w:lineRule="exact"/>
        <w:rPr>
          <w:sz w:val="20"/>
          <w:szCs w:val="20"/>
          <w:color w:val="auto"/>
        </w:rPr>
      </w:pPr>
    </w:p>
    <w:p>
      <w:pPr>
        <w:ind w:left="3100"/>
        <w:spacing w:after="0"/>
        <w:rPr>
          <w:sz w:val="20"/>
          <w:szCs w:val="20"/>
          <w:color w:val="auto"/>
        </w:rPr>
      </w:pPr>
      <w:r>
        <w:rPr>
          <w:rFonts w:ascii="Courier New" w:cs="Courier New" w:eastAsia="Courier New" w:hAnsi="Courier New"/>
          <w:sz w:val="16"/>
          <w:szCs w:val="16"/>
          <w:color w:val="auto"/>
        </w:rPr>
        <w:t>on, and transfers thereof will be effected only</w:t>
      </w:r>
    </w:p>
    <w:p>
      <w:pPr>
        <w:spacing w:after="0" w:line="5" w:lineRule="exact"/>
        <w:rPr>
          <w:sz w:val="20"/>
          <w:szCs w:val="20"/>
          <w:color w:val="auto"/>
        </w:rPr>
      </w:pPr>
    </w:p>
    <w:p>
      <w:pPr>
        <w:ind w:left="3100"/>
        <w:spacing w:after="0"/>
        <w:rPr>
          <w:sz w:val="20"/>
          <w:szCs w:val="20"/>
          <w:color w:val="auto"/>
        </w:rPr>
      </w:pPr>
      <w:r>
        <w:rPr>
          <w:rFonts w:ascii="Courier New" w:cs="Courier New" w:eastAsia="Courier New" w:hAnsi="Courier New"/>
          <w:sz w:val="16"/>
          <w:szCs w:val="16"/>
          <w:color w:val="auto"/>
        </w:rPr>
        <w:t>through, records maintained by DTC and its</w:t>
      </w:r>
    </w:p>
    <w:p>
      <w:pPr>
        <w:spacing w:after="0" w:line="5" w:lineRule="exact"/>
        <w:rPr>
          <w:sz w:val="20"/>
          <w:szCs w:val="20"/>
          <w:color w:val="auto"/>
        </w:rPr>
      </w:pPr>
    </w:p>
    <w:p>
      <w:pPr>
        <w:ind w:left="3100"/>
        <w:spacing w:after="0"/>
        <w:rPr>
          <w:sz w:val="20"/>
          <w:szCs w:val="20"/>
          <w:color w:val="auto"/>
        </w:rPr>
      </w:pPr>
      <w:r>
        <w:rPr>
          <w:rFonts w:ascii="Courier New" w:cs="Courier New" w:eastAsia="Courier New" w:hAnsi="Courier New"/>
          <w:sz w:val="16"/>
          <w:szCs w:val="16"/>
          <w:color w:val="auto"/>
        </w:rPr>
        <w:t>direct and indirect participants, and any such</w:t>
      </w:r>
    </w:p>
    <w:p>
      <w:pPr>
        <w:spacing w:after="0" w:line="5" w:lineRule="exact"/>
        <w:rPr>
          <w:sz w:val="20"/>
          <w:szCs w:val="20"/>
          <w:color w:val="auto"/>
        </w:rPr>
      </w:pPr>
    </w:p>
    <w:p>
      <w:pPr>
        <w:ind w:left="3100"/>
        <w:spacing w:after="0"/>
        <w:rPr>
          <w:sz w:val="20"/>
          <w:szCs w:val="20"/>
          <w:color w:val="auto"/>
        </w:rPr>
      </w:pPr>
      <w:r>
        <w:rPr>
          <w:rFonts w:ascii="Courier New" w:cs="Courier New" w:eastAsia="Courier New" w:hAnsi="Courier New"/>
          <w:sz w:val="16"/>
          <w:szCs w:val="16"/>
          <w:color w:val="auto"/>
        </w:rPr>
        <w:t>interest may not be exchanged for certificated</w:t>
      </w:r>
    </w:p>
    <w:p>
      <w:pPr>
        <w:spacing w:after="0" w:line="5" w:lineRule="exact"/>
        <w:rPr>
          <w:sz w:val="20"/>
          <w:szCs w:val="20"/>
          <w:color w:val="auto"/>
        </w:rPr>
      </w:pPr>
    </w:p>
    <w:p>
      <w:pPr>
        <w:ind w:left="3100"/>
        <w:spacing w:after="0"/>
        <w:rPr>
          <w:sz w:val="20"/>
          <w:szCs w:val="20"/>
          <w:color w:val="auto"/>
        </w:rPr>
      </w:pPr>
      <w:r>
        <w:rPr>
          <w:rFonts w:ascii="Courier New" w:cs="Courier New" w:eastAsia="Courier New" w:hAnsi="Courier New"/>
          <w:sz w:val="16"/>
          <w:szCs w:val="16"/>
          <w:color w:val="auto"/>
        </w:rPr>
        <w:t>notes, except in limited circumstances described</w:t>
      </w:r>
    </w:p>
    <w:p>
      <w:pPr>
        <w:spacing w:after="0" w:line="5" w:lineRule="exact"/>
        <w:rPr>
          <w:sz w:val="20"/>
          <w:szCs w:val="20"/>
          <w:color w:val="auto"/>
        </w:rPr>
      </w:pPr>
    </w:p>
    <w:p>
      <w:pPr>
        <w:ind w:left="3100"/>
        <w:spacing w:after="0"/>
        <w:rPr>
          <w:sz w:val="20"/>
          <w:szCs w:val="20"/>
          <w:color w:val="auto"/>
        </w:rPr>
      </w:pPr>
      <w:r>
        <w:rPr>
          <w:rFonts w:ascii="Courier New" w:cs="Courier New" w:eastAsia="Courier New" w:hAnsi="Courier New"/>
          <w:sz w:val="16"/>
          <w:szCs w:val="16"/>
          <w:color w:val="auto"/>
        </w:rPr>
        <w:t>in this prospectus. Settlement and all secondary</w:t>
      </w:r>
    </w:p>
    <w:p>
      <w:pPr>
        <w:spacing w:after="0" w:line="5" w:lineRule="exact"/>
        <w:rPr>
          <w:sz w:val="20"/>
          <w:szCs w:val="20"/>
          <w:color w:val="auto"/>
        </w:rPr>
      </w:pPr>
    </w:p>
    <w:p>
      <w:pPr>
        <w:ind w:left="3100"/>
        <w:spacing w:after="0"/>
        <w:rPr>
          <w:sz w:val="20"/>
          <w:szCs w:val="20"/>
          <w:color w:val="auto"/>
        </w:rPr>
      </w:pPr>
      <w:r>
        <w:rPr>
          <w:rFonts w:ascii="Courier New" w:cs="Courier New" w:eastAsia="Courier New" w:hAnsi="Courier New"/>
          <w:sz w:val="16"/>
          <w:szCs w:val="16"/>
          <w:color w:val="auto"/>
        </w:rPr>
        <w:t>market trading activity for the notes will be in</w:t>
      </w:r>
    </w:p>
    <w:p>
      <w:pPr>
        <w:spacing w:after="0" w:line="5" w:lineRule="exact"/>
        <w:rPr>
          <w:sz w:val="20"/>
          <w:szCs w:val="20"/>
          <w:color w:val="auto"/>
        </w:rPr>
      </w:pPr>
    </w:p>
    <w:p>
      <w:pPr>
        <w:ind w:left="3100"/>
        <w:spacing w:after="0"/>
        <w:rPr>
          <w:sz w:val="20"/>
          <w:szCs w:val="20"/>
          <w:color w:val="auto"/>
        </w:rPr>
      </w:pPr>
      <w:r>
        <w:rPr>
          <w:rFonts w:ascii="Courier New" w:cs="Courier New" w:eastAsia="Courier New" w:hAnsi="Courier New"/>
          <w:sz w:val="16"/>
          <w:szCs w:val="16"/>
          <w:color w:val="auto"/>
        </w:rPr>
        <w:t>same day funds. See "Description of Notes--Form,</w:t>
      </w:r>
    </w:p>
    <w:p>
      <w:pPr>
        <w:spacing w:after="0" w:line="5" w:lineRule="exact"/>
        <w:rPr>
          <w:sz w:val="20"/>
          <w:szCs w:val="20"/>
          <w:color w:val="auto"/>
        </w:rPr>
      </w:pPr>
    </w:p>
    <w:p>
      <w:pPr>
        <w:ind w:left="3100"/>
        <w:spacing w:after="0"/>
        <w:rPr>
          <w:sz w:val="20"/>
          <w:szCs w:val="20"/>
          <w:color w:val="auto"/>
        </w:rPr>
      </w:pPr>
      <w:r>
        <w:rPr>
          <w:rFonts w:ascii="Courier New" w:cs="Courier New" w:eastAsia="Courier New" w:hAnsi="Courier New"/>
          <w:sz w:val="16"/>
          <w:szCs w:val="16"/>
          <w:color w:val="auto"/>
        </w:rPr>
        <w:t>Denomination and Registration" and "--Book Entry</w:t>
      </w:r>
    </w:p>
    <w:p>
      <w:pPr>
        <w:spacing w:after="0" w:line="5" w:lineRule="exact"/>
        <w:rPr>
          <w:sz w:val="20"/>
          <w:szCs w:val="20"/>
          <w:color w:val="auto"/>
        </w:rPr>
      </w:pPr>
    </w:p>
    <w:p>
      <w:pPr>
        <w:ind w:left="3100"/>
        <w:spacing w:after="0"/>
        <w:rPr>
          <w:sz w:val="20"/>
          <w:szCs w:val="20"/>
          <w:color w:val="auto"/>
        </w:rPr>
      </w:pPr>
      <w:r>
        <w:rPr>
          <w:rFonts w:ascii="Courier New" w:cs="Courier New" w:eastAsia="Courier New" w:hAnsi="Courier New"/>
          <w:sz w:val="16"/>
          <w:szCs w:val="16"/>
          <w:color w:val="auto"/>
        </w:rPr>
        <w:t>System."</w:t>
      </w:r>
    </w:p>
    <w:p>
      <w:pPr>
        <w:spacing w:after="0" w:line="191" w:lineRule="exact"/>
        <w:rPr>
          <w:sz w:val="20"/>
          <w:szCs w:val="20"/>
          <w:color w:val="auto"/>
        </w:rPr>
      </w:pPr>
    </w:p>
    <w:p>
      <w:pPr>
        <w:spacing w:after="0"/>
        <w:tabs>
          <w:tab w:leader="none" w:pos="3080" w:val="left"/>
        </w:tabs>
        <w:rPr>
          <w:sz w:val="20"/>
          <w:szCs w:val="20"/>
          <w:color w:val="auto"/>
        </w:rPr>
      </w:pPr>
      <w:r>
        <w:rPr>
          <w:rFonts w:ascii="Courier New" w:cs="Courier New" w:eastAsia="Courier New" w:hAnsi="Courier New"/>
          <w:sz w:val="16"/>
          <w:szCs w:val="16"/>
          <w:color w:val="auto"/>
        </w:rPr>
        <w:t>Transfer Restrictions.........</w:t>
        <w:tab/>
        <w:t>The notes and our common stock issuable upon</w:t>
      </w:r>
    </w:p>
    <w:p>
      <w:pPr>
        <w:spacing w:after="0" w:line="5" w:lineRule="exact"/>
        <w:rPr>
          <w:sz w:val="20"/>
          <w:szCs w:val="20"/>
          <w:color w:val="auto"/>
        </w:rPr>
      </w:pPr>
    </w:p>
    <w:p>
      <w:pPr>
        <w:ind w:left="3100"/>
        <w:spacing w:after="0"/>
        <w:rPr>
          <w:sz w:val="20"/>
          <w:szCs w:val="20"/>
          <w:color w:val="auto"/>
        </w:rPr>
      </w:pPr>
      <w:r>
        <w:rPr>
          <w:rFonts w:ascii="Courier New" w:cs="Courier New" w:eastAsia="Courier New" w:hAnsi="Courier New"/>
          <w:sz w:val="16"/>
          <w:szCs w:val="16"/>
          <w:color w:val="auto"/>
        </w:rPr>
        <w:t>conversion may not be offered, sold, pledged or</w:t>
      </w:r>
    </w:p>
    <w:p>
      <w:pPr>
        <w:spacing w:after="0" w:line="5" w:lineRule="exact"/>
        <w:rPr>
          <w:sz w:val="20"/>
          <w:szCs w:val="20"/>
          <w:color w:val="auto"/>
        </w:rPr>
      </w:pPr>
    </w:p>
    <w:p>
      <w:pPr>
        <w:ind w:left="3100"/>
        <w:spacing w:after="0"/>
        <w:rPr>
          <w:sz w:val="20"/>
          <w:szCs w:val="20"/>
          <w:color w:val="auto"/>
        </w:rPr>
      </w:pPr>
      <w:r>
        <w:rPr>
          <w:rFonts w:ascii="Courier New" w:cs="Courier New" w:eastAsia="Courier New" w:hAnsi="Courier New"/>
          <w:sz w:val="16"/>
          <w:szCs w:val="16"/>
          <w:color w:val="auto"/>
        </w:rPr>
        <w:t>otherwise transferred except as described in</w:t>
      </w:r>
    </w:p>
    <w:p>
      <w:pPr>
        <w:spacing w:after="0" w:line="5" w:lineRule="exact"/>
        <w:rPr>
          <w:sz w:val="20"/>
          <w:szCs w:val="20"/>
          <w:color w:val="auto"/>
        </w:rPr>
      </w:pPr>
    </w:p>
    <w:p>
      <w:pPr>
        <w:ind w:left="3100"/>
        <w:spacing w:after="0"/>
        <w:rPr>
          <w:sz w:val="20"/>
          <w:szCs w:val="20"/>
          <w:color w:val="auto"/>
        </w:rPr>
      </w:pPr>
      <w:r>
        <w:rPr>
          <w:rFonts w:ascii="Courier New" w:cs="Courier New" w:eastAsia="Courier New" w:hAnsi="Courier New"/>
          <w:sz w:val="16"/>
          <w:szCs w:val="16"/>
          <w:color w:val="auto"/>
        </w:rPr>
        <w:t>this prospectus.</w:t>
      </w:r>
    </w:p>
    <w:p>
      <w:pPr>
        <w:spacing w:after="0" w:line="191" w:lineRule="exact"/>
        <w:rPr>
          <w:sz w:val="20"/>
          <w:szCs w:val="20"/>
          <w:color w:val="auto"/>
        </w:rPr>
      </w:pPr>
    </w:p>
    <w:p>
      <w:pPr>
        <w:spacing w:after="0"/>
        <w:tabs>
          <w:tab w:leader="none" w:pos="3080" w:val="left"/>
        </w:tabs>
        <w:rPr>
          <w:sz w:val="20"/>
          <w:szCs w:val="20"/>
          <w:color w:val="auto"/>
        </w:rPr>
      </w:pPr>
      <w:r>
        <w:rPr>
          <w:rFonts w:ascii="Courier New" w:cs="Courier New" w:eastAsia="Courier New" w:hAnsi="Courier New"/>
          <w:sz w:val="16"/>
          <w:szCs w:val="16"/>
          <w:color w:val="auto"/>
        </w:rPr>
        <w:t>Registration Rights...........</w:t>
        <w:tab/>
        <w:t>We have agreed:</w:t>
      </w:r>
    </w:p>
    <w:p>
      <w:pPr>
        <w:spacing w:after="0" w:line="191" w:lineRule="exact"/>
        <w:rPr>
          <w:sz w:val="20"/>
          <w:szCs w:val="20"/>
          <w:color w:val="auto"/>
        </w:rPr>
      </w:pPr>
    </w:p>
    <w:p>
      <w:pPr>
        <w:jc w:val="right"/>
        <w:ind w:right="2459"/>
        <w:spacing w:after="0"/>
        <w:rPr>
          <w:sz w:val="20"/>
          <w:szCs w:val="20"/>
          <w:color w:val="auto"/>
        </w:rPr>
      </w:pPr>
      <w:r>
        <w:rPr>
          <w:rFonts w:ascii="Courier New" w:cs="Courier New" w:eastAsia="Courier New" w:hAnsi="Courier New"/>
          <w:sz w:val="16"/>
          <w:szCs w:val="16"/>
          <w:color w:val="auto"/>
        </w:rPr>
        <w:t>- To file as soon as practicable, but in any</w:t>
      </w:r>
    </w:p>
    <w:p>
      <w:pPr>
        <w:spacing w:after="0" w:line="5"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event within 60 days of the date of</w:t>
      </w:r>
    </w:p>
    <w:p>
      <w:pPr>
        <w:spacing w:after="0" w:line="5"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issuance of the notes, a shelf</w:t>
      </w:r>
    </w:p>
    <w:p>
      <w:pPr>
        <w:spacing w:after="0" w:line="5"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registration statement under the</w:t>
      </w:r>
    </w:p>
    <w:p>
      <w:pPr>
        <w:spacing w:after="0" w:line="5" w:lineRule="exact"/>
        <w:rPr>
          <w:sz w:val="20"/>
          <w:szCs w:val="20"/>
          <w:color w:val="auto"/>
        </w:rPr>
      </w:pPr>
    </w:p>
    <w:p>
      <w:pPr>
        <w:jc w:val="right"/>
        <w:ind w:right="2459"/>
        <w:spacing w:after="0"/>
        <w:rPr>
          <w:sz w:val="20"/>
          <w:szCs w:val="20"/>
          <w:color w:val="auto"/>
        </w:rPr>
      </w:pPr>
      <w:r>
        <w:rPr>
          <w:rFonts w:ascii="Courier New" w:cs="Courier New" w:eastAsia="Courier New" w:hAnsi="Courier New"/>
          <w:sz w:val="16"/>
          <w:szCs w:val="16"/>
          <w:color w:val="auto"/>
        </w:rPr>
        <w:t>Securities Act of 1933 to cover resales of</w:t>
      </w:r>
    </w:p>
    <w:p>
      <w:pPr>
        <w:spacing w:after="0" w:line="5"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the notes and shares of our common stock</w:t>
      </w:r>
    </w:p>
    <w:p>
      <w:pPr>
        <w:spacing w:after="0" w:line="5"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issuable on conversion thereof;</w:t>
      </w:r>
    </w:p>
    <w:p>
      <w:pPr>
        <w:spacing w:after="0" w:line="191" w:lineRule="exact"/>
        <w:rPr>
          <w:sz w:val="20"/>
          <w:szCs w:val="20"/>
          <w:color w:val="auto"/>
        </w:rPr>
      </w:pPr>
    </w:p>
    <w:p>
      <w:pPr>
        <w:ind w:left="3480"/>
        <w:spacing w:after="0"/>
        <w:rPr>
          <w:sz w:val="20"/>
          <w:szCs w:val="20"/>
          <w:color w:val="auto"/>
        </w:rPr>
      </w:pPr>
      <w:r>
        <w:rPr>
          <w:rFonts w:ascii="Courier New" w:cs="Courier New" w:eastAsia="Courier New" w:hAnsi="Courier New"/>
          <w:sz w:val="16"/>
          <w:szCs w:val="16"/>
          <w:color w:val="auto"/>
        </w:rPr>
        <w:t>- To use our reasonable best efforts to</w:t>
      </w:r>
    </w:p>
    <w:p>
      <w:pPr>
        <w:spacing w:after="0" w:line="5"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cause the shelf registration statement to</w:t>
      </w:r>
    </w:p>
    <w:p>
      <w:pPr>
        <w:spacing w:after="0" w:line="5"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be declared effective by the Commission</w:t>
      </w:r>
    </w:p>
    <w:p>
      <w:pPr>
        <w:spacing w:after="0" w:line="5" w:lineRule="exact"/>
        <w:rPr>
          <w:sz w:val="20"/>
          <w:szCs w:val="20"/>
          <w:color w:val="auto"/>
        </w:rPr>
      </w:pPr>
    </w:p>
    <w:p>
      <w:pPr>
        <w:jc w:val="right"/>
        <w:ind w:right="2459"/>
        <w:spacing w:after="0"/>
        <w:rPr>
          <w:sz w:val="20"/>
          <w:szCs w:val="20"/>
          <w:color w:val="auto"/>
        </w:rPr>
      </w:pPr>
      <w:r>
        <w:rPr>
          <w:rFonts w:ascii="Courier New" w:cs="Courier New" w:eastAsia="Courier New" w:hAnsi="Courier New"/>
          <w:sz w:val="16"/>
          <w:szCs w:val="16"/>
          <w:color w:val="auto"/>
        </w:rPr>
        <w:t>within 120 days of the date of issuance of</w:t>
      </w:r>
    </w:p>
    <w:p>
      <w:pPr>
        <w:spacing w:after="0" w:line="5"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the notes; and</w:t>
      </w:r>
    </w:p>
    <w:p>
      <w:pPr>
        <w:spacing w:after="0" w:line="191" w:lineRule="exact"/>
        <w:rPr>
          <w:sz w:val="20"/>
          <w:szCs w:val="20"/>
          <w:color w:val="auto"/>
        </w:rPr>
      </w:pPr>
    </w:p>
    <w:p>
      <w:pPr>
        <w:ind w:left="3480"/>
        <w:spacing w:after="0"/>
        <w:rPr>
          <w:sz w:val="20"/>
          <w:szCs w:val="20"/>
          <w:color w:val="auto"/>
        </w:rPr>
      </w:pPr>
      <w:r>
        <w:rPr>
          <w:rFonts w:ascii="Courier New" w:cs="Courier New" w:eastAsia="Courier New" w:hAnsi="Courier New"/>
          <w:sz w:val="16"/>
          <w:szCs w:val="16"/>
          <w:color w:val="auto"/>
        </w:rPr>
        <w:t>- To use our best efforts to keep the shelf</w:t>
      </w:r>
    </w:p>
    <w:p>
      <w:pPr>
        <w:spacing w:after="0" w:line="5"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registration statement effective and</w:t>
      </w:r>
    </w:p>
    <w:p>
      <w:pPr>
        <w:spacing w:after="0" w:line="5"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usable until the notes, and the common</w:t>
      </w:r>
    </w:p>
    <w:p>
      <w:pPr>
        <w:spacing w:after="0" w:line="5"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stock issuable upon conversion of the</w:t>
      </w:r>
    </w:p>
    <w:p>
      <w:pPr>
        <w:spacing w:after="0" w:line="5"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notes,</w:t>
      </w:r>
    </w:p>
    <w:p>
      <w:pPr>
        <w:spacing w:after="0" w:line="191" w:lineRule="exact"/>
        <w:rPr>
          <w:sz w:val="20"/>
          <w:szCs w:val="20"/>
          <w:color w:val="auto"/>
        </w:rPr>
      </w:pPr>
    </w:p>
    <w:p>
      <w:pPr>
        <w:jc w:val="right"/>
        <w:ind w:right="2459"/>
        <w:spacing w:after="0"/>
        <w:rPr>
          <w:sz w:val="20"/>
          <w:szCs w:val="20"/>
          <w:color w:val="auto"/>
        </w:rPr>
      </w:pPr>
      <w:r>
        <w:rPr>
          <w:rFonts w:ascii="Courier New" w:cs="Courier New" w:eastAsia="Courier New" w:hAnsi="Courier New"/>
          <w:sz w:val="16"/>
          <w:szCs w:val="16"/>
          <w:color w:val="auto"/>
        </w:rPr>
        <w:t>(1) have been registered and sold pursuant</w:t>
      </w:r>
    </w:p>
    <w:p>
      <w:pPr>
        <w:spacing w:after="0" w:line="5" w:lineRule="exact"/>
        <w:rPr>
          <w:sz w:val="20"/>
          <w:szCs w:val="20"/>
          <w:color w:val="auto"/>
        </w:rPr>
      </w:pPr>
    </w:p>
    <w:p>
      <w:pPr>
        <w:ind w:left="4060"/>
        <w:spacing w:after="0"/>
        <w:tabs>
          <w:tab w:leader="none" w:pos="5400" w:val="left"/>
        </w:tabs>
        <w:rPr>
          <w:sz w:val="20"/>
          <w:szCs w:val="20"/>
          <w:color w:val="auto"/>
        </w:rPr>
      </w:pPr>
      <w:r>
        <w:rPr>
          <w:rFonts w:ascii="Courier New" w:cs="Courier New" w:eastAsia="Courier New" w:hAnsi="Courier New"/>
          <w:sz w:val="16"/>
          <w:szCs w:val="16"/>
          <w:color w:val="auto"/>
        </w:rPr>
        <w:t>to the shelf</w:t>
        <w:tab/>
        <w:t>registration,</w:t>
      </w:r>
    </w:p>
    <w:p>
      <w:pPr>
        <w:spacing w:after="0" w:line="5"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(2) have been distributed to the public</w:t>
      </w:r>
    </w:p>
    <w:p>
      <w:pPr>
        <w:spacing w:after="0" w:line="5" w:lineRule="exact"/>
        <w:rPr>
          <w:sz w:val="20"/>
          <w:szCs w:val="20"/>
          <w:color w:val="auto"/>
        </w:rPr>
      </w:pPr>
    </w:p>
    <w:p>
      <w:pPr>
        <w:ind w:left="4060"/>
        <w:spacing w:after="0"/>
        <w:rPr>
          <w:sz w:val="20"/>
          <w:szCs w:val="20"/>
          <w:color w:val="auto"/>
        </w:rPr>
      </w:pPr>
      <w:r>
        <w:rPr>
          <w:rFonts w:ascii="Courier New" w:cs="Courier New" w:eastAsia="Courier New" w:hAnsi="Courier New"/>
          <w:sz w:val="16"/>
          <w:szCs w:val="16"/>
          <w:color w:val="auto"/>
        </w:rPr>
        <w:t>pursuant to Rule 144 under the</w:t>
      </w:r>
    </w:p>
    <w:p>
      <w:pPr>
        <w:spacing w:after="0" w:line="5" w:lineRule="exact"/>
        <w:rPr>
          <w:sz w:val="20"/>
          <w:szCs w:val="20"/>
          <w:color w:val="auto"/>
        </w:rPr>
      </w:pPr>
    </w:p>
    <w:p>
      <w:pPr>
        <w:ind w:left="4060"/>
        <w:spacing w:after="0"/>
        <w:rPr>
          <w:sz w:val="20"/>
          <w:szCs w:val="20"/>
          <w:color w:val="auto"/>
        </w:rPr>
      </w:pPr>
      <w:r>
        <w:rPr>
          <w:rFonts w:ascii="Courier New" w:cs="Courier New" w:eastAsia="Courier New" w:hAnsi="Courier New"/>
          <w:sz w:val="16"/>
          <w:szCs w:val="16"/>
          <w:color w:val="auto"/>
        </w:rPr>
        <w:t>Securities Act of 1933 or</w:t>
      </w:r>
    </w:p>
    <w:p>
      <w:pPr>
        <w:spacing w:after="0" w:line="5"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(3) are saleable pursuant to Rule 144(k)</w:t>
      </w:r>
    </w:p>
    <w:p>
      <w:pPr>
        <w:spacing w:after="0" w:line="5" w:lineRule="exact"/>
        <w:rPr>
          <w:sz w:val="20"/>
          <w:szCs w:val="20"/>
          <w:color w:val="auto"/>
        </w:rPr>
      </w:pPr>
    </w:p>
    <w:p>
      <w:pPr>
        <w:ind w:left="4060"/>
        <w:spacing w:after="0"/>
        <w:rPr>
          <w:sz w:val="20"/>
          <w:szCs w:val="20"/>
          <w:color w:val="auto"/>
        </w:rPr>
      </w:pPr>
      <w:r>
        <w:rPr>
          <w:rFonts w:ascii="Courier New" w:cs="Courier New" w:eastAsia="Courier New" w:hAnsi="Courier New"/>
          <w:sz w:val="16"/>
          <w:szCs w:val="16"/>
          <w:color w:val="auto"/>
        </w:rPr>
        <w:t>under the Securities Act of 1933 or</w:t>
      </w:r>
    </w:p>
    <w:p>
      <w:pPr>
        <w:spacing w:after="0" w:line="5" w:lineRule="exact"/>
        <w:rPr>
          <w:sz w:val="20"/>
          <w:szCs w:val="20"/>
          <w:color w:val="auto"/>
        </w:rPr>
      </w:pPr>
    </w:p>
    <w:p>
      <w:pPr>
        <w:ind w:left="4060"/>
        <w:spacing w:after="0"/>
        <w:rPr>
          <w:sz w:val="20"/>
          <w:szCs w:val="20"/>
          <w:color w:val="auto"/>
        </w:rPr>
      </w:pPr>
      <w:r>
        <w:rPr>
          <w:rFonts w:ascii="Courier New" w:cs="Courier New" w:eastAsia="Courier New" w:hAnsi="Courier New"/>
          <w:sz w:val="16"/>
          <w:szCs w:val="16"/>
          <w:color w:val="auto"/>
        </w:rPr>
        <w:t>successor provisions.</w:t>
      </w:r>
    </w:p>
    <w:p>
      <w:pPr>
        <w:spacing w:after="0" w:line="191" w:lineRule="exact"/>
        <w:rPr>
          <w:sz w:val="20"/>
          <w:szCs w:val="20"/>
          <w:color w:val="auto"/>
        </w:rPr>
      </w:pPr>
    </w:p>
    <w:p>
      <w:pPr>
        <w:ind w:left="3100"/>
        <w:spacing w:after="0"/>
        <w:rPr>
          <w:sz w:val="20"/>
          <w:szCs w:val="20"/>
          <w:color w:val="auto"/>
        </w:rPr>
      </w:pPr>
      <w:r>
        <w:rPr>
          <w:rFonts w:ascii="Courier New" w:cs="Courier New" w:eastAsia="Courier New" w:hAnsi="Courier New"/>
          <w:sz w:val="16"/>
          <w:szCs w:val="16"/>
          <w:color w:val="auto"/>
        </w:rPr>
        <w:t>We are subject to the payment of additional</w:t>
      </w:r>
    </w:p>
    <w:p>
      <w:pPr>
        <w:spacing w:after="0" w:line="5" w:lineRule="exact"/>
        <w:rPr>
          <w:sz w:val="20"/>
          <w:szCs w:val="20"/>
          <w:color w:val="auto"/>
        </w:rPr>
      </w:pPr>
    </w:p>
    <w:p>
      <w:pPr>
        <w:ind w:left="3100"/>
        <w:spacing w:after="0"/>
        <w:rPr>
          <w:sz w:val="20"/>
          <w:szCs w:val="20"/>
          <w:color w:val="auto"/>
        </w:rPr>
      </w:pPr>
      <w:r>
        <w:rPr>
          <w:rFonts w:ascii="Courier New" w:cs="Courier New" w:eastAsia="Courier New" w:hAnsi="Courier New"/>
          <w:sz w:val="16"/>
          <w:szCs w:val="16"/>
          <w:color w:val="auto"/>
        </w:rPr>
        <w:t>interest if we are not in compliance with these</w:t>
      </w:r>
    </w:p>
    <w:p>
      <w:pPr>
        <w:spacing w:after="0" w:line="5" w:lineRule="exact"/>
        <w:rPr>
          <w:sz w:val="20"/>
          <w:szCs w:val="20"/>
          <w:color w:val="auto"/>
        </w:rPr>
      </w:pPr>
    </w:p>
    <w:p>
      <w:pPr>
        <w:ind w:left="3100"/>
        <w:spacing w:after="0"/>
        <w:rPr>
          <w:sz w:val="20"/>
          <w:szCs w:val="20"/>
          <w:color w:val="auto"/>
        </w:rPr>
      </w:pPr>
      <w:r>
        <w:rPr>
          <w:rFonts w:ascii="Courier New" w:cs="Courier New" w:eastAsia="Courier New" w:hAnsi="Courier New"/>
          <w:sz w:val="16"/>
          <w:szCs w:val="16"/>
          <w:color w:val="auto"/>
        </w:rPr>
        <w:t>requirements. See "Description of</w:t>
      </w:r>
    </w:p>
    <w:p>
      <w:pPr>
        <w:spacing w:after="0" w:line="5" w:lineRule="exact"/>
        <w:rPr>
          <w:sz w:val="20"/>
          <w:szCs w:val="20"/>
          <w:color w:val="auto"/>
        </w:rPr>
      </w:pPr>
    </w:p>
    <w:p>
      <w:pPr>
        <w:ind w:left="3100"/>
        <w:spacing w:after="0"/>
        <w:rPr>
          <w:sz w:val="20"/>
          <w:szCs w:val="20"/>
          <w:color w:val="auto"/>
        </w:rPr>
      </w:pPr>
      <w:r>
        <w:rPr>
          <w:rFonts w:ascii="Courier New" w:cs="Courier New" w:eastAsia="Courier New" w:hAnsi="Courier New"/>
          <w:sz w:val="16"/>
          <w:szCs w:val="16"/>
          <w:color w:val="auto"/>
        </w:rPr>
        <w:t>Notes--Registration Rights."</w:t>
      </w:r>
    </w:p>
    <w:p>
      <w:pPr>
        <w:spacing w:after="0" w:line="191" w:lineRule="exact"/>
        <w:rPr>
          <w:sz w:val="20"/>
          <w:szCs w:val="20"/>
          <w:color w:val="auto"/>
        </w:rPr>
      </w:pPr>
    </w:p>
    <w:p>
      <w:pPr>
        <w:spacing w:after="0"/>
        <w:tabs>
          <w:tab w:leader="none" w:pos="3080" w:val="left"/>
        </w:tabs>
        <w:rPr>
          <w:sz w:val="20"/>
          <w:szCs w:val="20"/>
          <w:color w:val="auto"/>
        </w:rPr>
      </w:pPr>
      <w:r>
        <w:rPr>
          <w:rFonts w:ascii="Courier New" w:cs="Courier New" w:eastAsia="Courier New" w:hAnsi="Courier New"/>
          <w:sz w:val="16"/>
          <w:szCs w:val="16"/>
          <w:color w:val="auto"/>
        </w:rPr>
        <w:t>Trading.......................</w:t>
        <w:tab/>
        <w:t>We can provide no assurance as to the liquidity</w:t>
      </w:r>
    </w:p>
    <w:p>
      <w:pPr>
        <w:spacing w:after="0" w:line="5" w:lineRule="exact"/>
        <w:rPr>
          <w:sz w:val="20"/>
          <w:szCs w:val="20"/>
          <w:color w:val="auto"/>
        </w:rPr>
      </w:pPr>
    </w:p>
    <w:p>
      <w:pPr>
        <w:ind w:left="3100"/>
        <w:spacing w:after="0"/>
        <w:rPr>
          <w:sz w:val="20"/>
          <w:szCs w:val="20"/>
          <w:color w:val="auto"/>
        </w:rPr>
      </w:pPr>
      <w:r>
        <w:rPr>
          <w:rFonts w:ascii="Courier New" w:cs="Courier New" w:eastAsia="Courier New" w:hAnsi="Courier New"/>
          <w:sz w:val="16"/>
          <w:szCs w:val="16"/>
          <w:color w:val="auto"/>
        </w:rPr>
        <w:t>of the trading market for the notes. The notes</w:t>
      </w:r>
    </w:p>
    <w:p>
      <w:pPr>
        <w:spacing w:after="0" w:line="5" w:lineRule="exact"/>
        <w:rPr>
          <w:sz w:val="20"/>
          <w:szCs w:val="20"/>
          <w:color w:val="auto"/>
        </w:rPr>
      </w:pPr>
    </w:p>
    <w:p>
      <w:pPr>
        <w:ind w:left="3100"/>
        <w:spacing w:after="0"/>
        <w:rPr>
          <w:sz w:val="20"/>
          <w:szCs w:val="20"/>
          <w:color w:val="auto"/>
        </w:rPr>
      </w:pPr>
      <w:r>
        <w:rPr>
          <w:rFonts w:ascii="Courier New" w:cs="Courier New" w:eastAsia="Courier New" w:hAnsi="Courier New"/>
          <w:sz w:val="16"/>
          <w:szCs w:val="16"/>
          <w:color w:val="auto"/>
        </w:rPr>
        <w:t>are currently traded on The Portal(TM) Market.</w:t>
      </w:r>
    </w:p>
    <w:p>
      <w:pPr>
        <w:spacing w:after="0" w:line="5" w:lineRule="exact"/>
        <w:rPr>
          <w:sz w:val="20"/>
          <w:szCs w:val="20"/>
          <w:color w:val="auto"/>
        </w:rPr>
      </w:pPr>
    </w:p>
    <w:p>
      <w:pPr>
        <w:ind w:left="3100"/>
        <w:spacing w:after="0"/>
        <w:rPr>
          <w:sz w:val="20"/>
          <w:szCs w:val="20"/>
          <w:color w:val="auto"/>
        </w:rPr>
      </w:pPr>
      <w:r>
        <w:rPr>
          <w:rFonts w:ascii="Courier New" w:cs="Courier New" w:eastAsia="Courier New" w:hAnsi="Courier New"/>
          <w:sz w:val="16"/>
          <w:szCs w:val="16"/>
          <w:color w:val="auto"/>
        </w:rPr>
        <w:t>Our common stock is listed on the Nasdaq</w:t>
      </w:r>
    </w:p>
    <w:p>
      <w:pPr>
        <w:spacing w:after="0" w:line="5" w:lineRule="exact"/>
        <w:rPr>
          <w:sz w:val="20"/>
          <w:szCs w:val="20"/>
          <w:color w:val="auto"/>
        </w:rPr>
      </w:pPr>
    </w:p>
    <w:p>
      <w:pPr>
        <w:ind w:left="3100"/>
        <w:spacing w:after="0"/>
        <w:rPr>
          <w:sz w:val="20"/>
          <w:szCs w:val="20"/>
          <w:color w:val="auto"/>
        </w:rPr>
      </w:pPr>
      <w:r>
        <w:rPr>
          <w:rFonts w:ascii="Courier New" w:cs="Courier New" w:eastAsia="Courier New" w:hAnsi="Courier New"/>
          <w:sz w:val="16"/>
          <w:szCs w:val="16"/>
          <w:color w:val="auto"/>
        </w:rPr>
        <w:t>National Market under the symbol "CKFR."</w:t>
      </w:r>
    </w:p>
    <w:p>
      <w:pPr>
        <w:sectPr>
          <w:pgSz w:w="11900" w:h="16838" w:orient="portrait"/>
          <w:cols w:equalWidth="0" w:num="1">
            <w:col w:w="10219"/>
          </w:cols>
          <w:pgMar w:left="240" w:top="303" w:right="1440" w:bottom="1440" w:gutter="0" w:footer="0" w:header="0"/>
        </w:sectPr>
      </w:pPr>
    </w:p>
    <w:p>
      <w:pPr>
        <w:spacing w:after="0" w:line="378"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7</w:t>
      </w:r>
    </w:p>
    <w:p>
      <w:pPr>
        <w:sectPr>
          <w:pgSz w:w="11900" w:h="16838" w:orient="portrait"/>
          <w:cols w:equalWidth="0" w:num="1">
            <w:col w:w="10219"/>
          </w:cols>
          <w:pgMar w:left="240" w:top="303" w:right="1440" w:bottom="1440" w:gutter="0" w:footer="0" w:header="0"/>
          <w:type w:val="continuous"/>
        </w:sectPr>
      </w:pPr>
    </w:p>
    <w:bookmarkStart w:id="8" w:name="page9"/>
    <w:bookmarkEnd w:id="8"/>
    <w:p>
      <w:pPr>
        <w:spacing w:after="0" w:line="59" w:lineRule="exact"/>
        <w:rPr>
          <w:sz w:val="20"/>
          <w:szCs w:val="20"/>
          <w:color w:val="auto"/>
        </w:rPr>
      </w:pPr>
    </w:p>
    <w:p>
      <w:pPr>
        <w:ind w:left="300"/>
        <w:spacing w:after="0"/>
        <w:rPr>
          <w:sz w:val="20"/>
          <w:szCs w:val="20"/>
          <w:color w:val="auto"/>
        </w:rPr>
      </w:pPr>
      <w:r>
        <w:rPr>
          <w:rFonts w:ascii="Courier New" w:cs="Courier New" w:eastAsia="Courier New" w:hAnsi="Courier New"/>
          <w:sz w:val="16"/>
          <w:szCs w:val="16"/>
          <w:color w:val="auto"/>
        </w:rPr>
        <w:t>8</w:t>
      </w:r>
    </w:p>
    <w:p>
      <w:pPr>
        <w:spacing w:after="0" w:line="5" w:lineRule="exact"/>
        <w:rPr>
          <w:sz w:val="20"/>
          <w:szCs w:val="20"/>
          <w:color w:val="auto"/>
        </w:rPr>
      </w:pPr>
    </w:p>
    <w:p>
      <w:pPr>
        <w:ind w:left="3300"/>
        <w:spacing w:after="0"/>
        <w:rPr>
          <w:sz w:val="20"/>
          <w:szCs w:val="20"/>
          <w:color w:val="auto"/>
        </w:rPr>
      </w:pPr>
      <w:r>
        <w:rPr>
          <w:rFonts w:ascii="Courier New" w:cs="Courier New" w:eastAsia="Courier New" w:hAnsi="Courier New"/>
          <w:sz w:val="16"/>
          <w:szCs w:val="16"/>
          <w:color w:val="auto"/>
        </w:rPr>
        <w:t>RISK FACTORS</w:t>
      </w:r>
    </w:p>
    <w:p>
      <w:pPr>
        <w:spacing w:after="0" w:line="191" w:lineRule="exact"/>
        <w:rPr>
          <w:sz w:val="20"/>
          <w:szCs w:val="20"/>
          <w:color w:val="auto"/>
        </w:rPr>
      </w:pPr>
    </w:p>
    <w:p>
      <w:pPr>
        <w:ind w:right="2659" w:firstLine="872"/>
        <w:spacing w:after="0" w:line="247" w:lineRule="auto"/>
        <w:rPr>
          <w:sz w:val="20"/>
          <w:szCs w:val="20"/>
          <w:color w:val="auto"/>
        </w:rPr>
      </w:pPr>
      <w:r>
        <w:rPr>
          <w:rFonts w:ascii="Courier New" w:cs="Courier New" w:eastAsia="Courier New" w:hAnsi="Courier New"/>
          <w:sz w:val="16"/>
          <w:szCs w:val="16"/>
          <w:color w:val="auto"/>
        </w:rPr>
        <w:t>An investment in the notes or the shares of our common stock issuable upon conversion of the notes offered by this prospectus involves a high degree of risk. You should carefully consider the following factors as well as the other information contained and incorporated by reference in this prospectus before deciding to invest in the notes. You should also consider these risk factors when you read forward-looking statements elsewhere in this prospectus.</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RISKS RELATED TO THE NOTES</w:t>
      </w:r>
    </w:p>
    <w:p>
      <w:pPr>
        <w:spacing w:after="0" w:line="191" w:lineRule="exact"/>
        <w:rPr>
          <w:sz w:val="20"/>
          <w:szCs w:val="20"/>
          <w:color w:val="auto"/>
        </w:rPr>
      </w:pPr>
    </w:p>
    <w:p>
      <w:pPr>
        <w:ind w:right="3039"/>
        <w:spacing w:after="0" w:line="247" w:lineRule="auto"/>
        <w:rPr>
          <w:sz w:val="20"/>
          <w:szCs w:val="20"/>
          <w:color w:val="auto"/>
        </w:rPr>
      </w:pPr>
      <w:r>
        <w:rPr>
          <w:rFonts w:ascii="Courier New" w:cs="Courier New" w:eastAsia="Courier New" w:hAnsi="Courier New"/>
          <w:sz w:val="16"/>
          <w:szCs w:val="16"/>
          <w:color w:val="auto"/>
        </w:rPr>
        <w:t>YOUR RIGHT TO RECEIVE PAYMENTS ON THE NOTES IS SUBORDINATED TO ALL OF OUR EXISTING AND FUTURE SENIOR INDEBTEDNESS AND THE EXISTING AND FUTURE SENIOR INDEBTEDNESS OF OUR SUBSIDIARIES.</w:t>
      </w:r>
    </w:p>
    <w:p>
      <w:pPr>
        <w:spacing w:after="0" w:line="186" w:lineRule="exact"/>
        <w:rPr>
          <w:sz w:val="20"/>
          <w:szCs w:val="20"/>
          <w:color w:val="auto"/>
        </w:rPr>
      </w:pPr>
    </w:p>
    <w:p>
      <w:pPr>
        <w:ind w:left="880"/>
        <w:spacing w:after="0"/>
        <w:rPr>
          <w:sz w:val="20"/>
          <w:szCs w:val="20"/>
          <w:color w:val="auto"/>
        </w:rPr>
      </w:pPr>
      <w:r>
        <w:rPr>
          <w:rFonts w:ascii="Courier New" w:cs="Courier New" w:eastAsia="Courier New" w:hAnsi="Courier New"/>
          <w:sz w:val="16"/>
          <w:szCs w:val="16"/>
          <w:color w:val="auto"/>
        </w:rPr>
        <w:t>The notes and the subsidiary guarantee are unsecured obligations and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are subordinated in right of payment, as provided in the indenture, to the prior</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payment in full in cash, or other payment satisfactory to holders of senior</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indebtedness, of all our existing and future senior indebtedness and that of our</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subsidiaries. Senior indebtedness includes, among other things, all indebtedness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for money borrowed and indebtedness evidenced by securities, debentures, bonds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or similar instruments, other than indebtedness that is expressly junior in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right of payment to the notes and the subsidiary guarantee or ranks pari passu</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in right of payment to the notes and the subsidiary guarantee. At December 31,</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1999, we had no senior indebtedness, and our subsidiaries had approximately</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$10.5 million of senior indebtedness. The terms of the notes and the subsidiary</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guarantee do not limit the amount of additional indebtedness, including senior</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indebtedness, which we and our subsidiaries can create, incur, assume or</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guarantee. Upon any distribution of our assets or the assets of our subsidiaries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pursuant to any insolvency, bankruptcy, dissolution, winding up, liquidation or</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reorganization, the payment on the notes and the subsidiary guarantee will be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subordinated to the extent provided in the indenture to the prior payment in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full of all our senior indebtedness and that of our subsidiaries, and there may</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not be sufficient assets remaining to pay the amounts due on any or all the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notes and the subsidiary guarantee then outstanding. In addition, we may not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repurchase any notes in certain circumstances involving a change in control if</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at such time the subordination provision of the indenture would prohibit us from</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making payment in respect of the notes. The failure to repurchase the notes when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required would result in an event of default under the indenture and may</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constitute a default under the terms of our senior indebtedness and that of our</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subsidiaries.</w:t>
      </w:r>
    </w:p>
    <w:p>
      <w:pPr>
        <w:spacing w:after="0" w:line="191" w:lineRule="exact"/>
        <w:rPr>
          <w:sz w:val="20"/>
          <w:szCs w:val="20"/>
          <w:color w:val="auto"/>
        </w:rPr>
      </w:pPr>
    </w:p>
    <w:p>
      <w:pPr>
        <w:ind w:right="2859"/>
        <w:spacing w:after="0" w:line="248" w:lineRule="auto"/>
        <w:rPr>
          <w:sz w:val="20"/>
          <w:szCs w:val="20"/>
          <w:color w:val="auto"/>
        </w:rPr>
      </w:pPr>
      <w:r>
        <w:rPr>
          <w:rFonts w:ascii="Courier New" w:cs="Courier New" w:eastAsia="Courier New" w:hAnsi="Courier New"/>
          <w:sz w:val="16"/>
          <w:szCs w:val="16"/>
          <w:color w:val="auto"/>
        </w:rPr>
        <w:t>WE ARE A HOLDING COMPANY AND RELY ON DIVIDENDS FROM OUR SUBSIDIARIES TO MAKE INTEREST AND PRINCIPAL PAYMENTS.</w:t>
      </w:r>
    </w:p>
    <w:p>
      <w:pPr>
        <w:spacing w:after="0" w:line="184" w:lineRule="exact"/>
        <w:rPr>
          <w:sz w:val="20"/>
          <w:szCs w:val="20"/>
          <w:color w:val="auto"/>
        </w:rPr>
      </w:pPr>
    </w:p>
    <w:p>
      <w:pPr>
        <w:ind w:right="2659" w:firstLine="872"/>
        <w:spacing w:after="0" w:line="247" w:lineRule="auto"/>
        <w:rPr>
          <w:sz w:val="20"/>
          <w:szCs w:val="20"/>
          <w:color w:val="auto"/>
        </w:rPr>
      </w:pPr>
      <w:r>
        <w:rPr>
          <w:rFonts w:ascii="Courier New" w:cs="Courier New" w:eastAsia="Courier New" w:hAnsi="Courier New"/>
          <w:sz w:val="16"/>
          <w:szCs w:val="16"/>
          <w:color w:val="auto"/>
        </w:rPr>
        <w:t>We are a holding company that derives all of our operating income, if any, from our subsidiaries. We rely on dividends and other payments from our subsidiaries or must raise funds in public or private equity or debt offerings or sales of assets to generate the funds necessary to meet our obligations, including the payment of principal and interest on the notes. There can be no assurance that we would be able to obtain such funds on acceptable terms or at all.</w:t>
      </w:r>
    </w:p>
    <w:p>
      <w:pPr>
        <w:spacing w:after="0" w:line="185" w:lineRule="exact"/>
        <w:rPr>
          <w:sz w:val="20"/>
          <w:szCs w:val="20"/>
          <w:color w:val="auto"/>
        </w:rPr>
      </w:pPr>
    </w:p>
    <w:p>
      <w:pPr>
        <w:ind w:right="2459"/>
        <w:spacing w:after="0" w:line="247" w:lineRule="auto"/>
        <w:rPr>
          <w:sz w:val="20"/>
          <w:szCs w:val="20"/>
          <w:color w:val="auto"/>
        </w:rPr>
      </w:pPr>
      <w:r>
        <w:rPr>
          <w:rFonts w:ascii="Courier New" w:cs="Courier New" w:eastAsia="Courier New" w:hAnsi="Courier New"/>
          <w:sz w:val="16"/>
          <w:szCs w:val="16"/>
          <w:color w:val="auto"/>
        </w:rPr>
        <w:t>THE TERMS OF OUR AND OUR SUBSIDIARIES' SENIOR INDEBTEDNESS COULD RESTRICT OUR FLEXIBILITY AND LIMIT OUR ABILITY TO SATISFY OUR OBLIGATIONS UNDER THE NOTES AND OUR SUBSIDIARY GUARANTEE.</w:t>
      </w:r>
    </w:p>
    <w:p>
      <w:pPr>
        <w:spacing w:after="0" w:line="186" w:lineRule="exact"/>
        <w:rPr>
          <w:sz w:val="20"/>
          <w:szCs w:val="20"/>
          <w:color w:val="auto"/>
        </w:rPr>
      </w:pPr>
    </w:p>
    <w:p>
      <w:pPr>
        <w:ind w:right="2459" w:firstLine="872"/>
        <w:spacing w:after="0" w:line="246" w:lineRule="auto"/>
        <w:rPr>
          <w:sz w:val="20"/>
          <w:szCs w:val="20"/>
          <w:color w:val="auto"/>
        </w:rPr>
      </w:pPr>
      <w:r>
        <w:rPr>
          <w:rFonts w:ascii="Courier New" w:cs="Courier New" w:eastAsia="Courier New" w:hAnsi="Courier New"/>
          <w:sz w:val="16"/>
          <w:szCs w:val="16"/>
          <w:color w:val="auto"/>
        </w:rPr>
        <w:t>We and our subsidiaries are subject to operational and financial covenants and other restrictions contained in the bank loan documents evidencing the senior indebtedness. These covenants could limit our operational flexibility and restrict our ability to borrow additional funds, if necessary, to finance our operations and to make principal and interest payments on the notes. Additionally, our failure to comply with these operational and financial covenants could result in an event of default under the terms of the senior indebtedness which, if not cured or waived, could result in a substantial amount of the senior indebtedness becoming due and payable. The effect of these covenants, or our failure to comply with them, could have a material adverse effect on our business, financial condition and results of operations.</w:t>
      </w:r>
    </w:p>
    <w:p>
      <w:pPr>
        <w:spacing w:after="0" w:line="193" w:lineRule="exact"/>
        <w:rPr>
          <w:sz w:val="20"/>
          <w:szCs w:val="20"/>
          <w:color w:val="auto"/>
        </w:rPr>
      </w:pPr>
    </w:p>
    <w:p>
      <w:pPr>
        <w:ind w:right="3039"/>
        <w:spacing w:after="0" w:line="248" w:lineRule="auto"/>
        <w:rPr>
          <w:sz w:val="20"/>
          <w:szCs w:val="20"/>
          <w:color w:val="auto"/>
        </w:rPr>
      </w:pPr>
      <w:r>
        <w:rPr>
          <w:rFonts w:ascii="Courier New" w:cs="Courier New" w:eastAsia="Courier New" w:hAnsi="Courier New"/>
          <w:sz w:val="16"/>
          <w:szCs w:val="16"/>
          <w:color w:val="auto"/>
        </w:rPr>
        <w:t>THE SUBSIDIARY GUARANTEE MAY BE UNENFORCEABLE DUE TO FRAUDULENT CONVEYANCE STATUTES.</w:t>
      </w:r>
    </w:p>
    <w:p>
      <w:pPr>
        <w:spacing w:after="0" w:line="184" w:lineRule="exact"/>
        <w:rPr>
          <w:sz w:val="20"/>
          <w:szCs w:val="20"/>
          <w:color w:val="auto"/>
        </w:rPr>
      </w:pPr>
    </w:p>
    <w:p>
      <w:pPr>
        <w:ind w:right="2459" w:firstLine="872"/>
        <w:spacing w:after="0" w:line="247" w:lineRule="auto"/>
        <w:rPr>
          <w:sz w:val="20"/>
          <w:szCs w:val="20"/>
          <w:color w:val="auto"/>
        </w:rPr>
      </w:pPr>
      <w:r>
        <w:rPr>
          <w:rFonts w:ascii="Courier New" w:cs="Courier New" w:eastAsia="Courier New" w:hAnsi="Courier New"/>
          <w:sz w:val="16"/>
          <w:szCs w:val="16"/>
          <w:color w:val="auto"/>
        </w:rPr>
        <w:t>Although laws differ among various jurisdictions, a court could, under fraudulent conveyance laws, further subordinate or avoid the subsidiary guarantee if it found that the subsidiary guarantee was incurred with actual intent to hinder, delay or defraud creditors or the subsidiary guarantor did not receive fair consideration or reasonably equivalent value for the subsidiary guarantee and that the subsidiary guarantor was any of the following:</w:t>
      </w:r>
    </w:p>
    <w:p>
      <w:pPr>
        <w:spacing w:after="0" w:line="185" w:lineRule="exact"/>
        <w:rPr>
          <w:sz w:val="20"/>
          <w:szCs w:val="20"/>
          <w:color w:val="auto"/>
        </w:rPr>
      </w:pPr>
    </w:p>
    <w:p>
      <w:pPr>
        <w:ind w:left="1060" w:right="3239" w:hanging="189"/>
        <w:spacing w:after="0" w:line="248" w:lineRule="auto"/>
        <w:tabs>
          <w:tab w:leader="none" w:pos="1060"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insolvent or was rendered insolvent because of the subsidiary guarantee;</w:t>
      </w:r>
    </w:p>
    <w:p>
      <w:pPr>
        <w:spacing w:after="0" w:line="184" w:lineRule="exact"/>
        <w:rPr>
          <w:rFonts w:ascii="Courier New" w:cs="Courier New" w:eastAsia="Courier New" w:hAnsi="Courier New"/>
          <w:sz w:val="16"/>
          <w:szCs w:val="16"/>
          <w:color w:val="auto"/>
        </w:rPr>
      </w:pPr>
    </w:p>
    <w:p>
      <w:pPr>
        <w:ind w:left="1060" w:right="2659" w:hanging="189"/>
        <w:spacing w:after="0" w:line="248" w:lineRule="auto"/>
        <w:tabs>
          <w:tab w:leader="none" w:pos="1060"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engaged in a business or transaction for which its remaining assets constituted unreasonably small capital; or</w:t>
      </w:r>
    </w:p>
    <w:p>
      <w:pPr>
        <w:spacing w:after="0" w:line="184" w:lineRule="exact"/>
        <w:rPr>
          <w:rFonts w:ascii="Courier New" w:cs="Courier New" w:eastAsia="Courier New" w:hAnsi="Courier New"/>
          <w:sz w:val="16"/>
          <w:szCs w:val="16"/>
          <w:color w:val="auto"/>
        </w:rPr>
      </w:pPr>
    </w:p>
    <w:p>
      <w:pPr>
        <w:ind w:left="1060" w:hanging="189"/>
        <w:spacing w:after="0"/>
        <w:tabs>
          <w:tab w:leader="none" w:pos="1060"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intended to incur, or believed that it would incur, debts beyond its</w:t>
      </w:r>
    </w:p>
    <w:p>
      <w:pPr>
        <w:sectPr>
          <w:pgSz w:w="11900" w:h="16897" w:orient="portrait"/>
          <w:cols w:equalWidth="0" w:num="1">
            <w:col w:w="10219"/>
          </w:cols>
          <w:pgMar w:left="240" w:top="303" w:right="1440" w:bottom="0" w:gutter="0" w:footer="0" w:header="0"/>
        </w:sectPr>
      </w:pPr>
    </w:p>
    <w:bookmarkStart w:id="9" w:name="page10"/>
    <w:bookmarkEnd w:id="9"/>
    <w:p>
      <w:pPr>
        <w:ind w:left="1060"/>
        <w:spacing w:after="0"/>
        <w:rPr>
          <w:sz w:val="20"/>
          <w:szCs w:val="20"/>
          <w:color w:val="auto"/>
        </w:rPr>
      </w:pPr>
      <w:r>
        <w:rPr>
          <w:rFonts w:ascii="Courier New" w:cs="Courier New" w:eastAsia="Courier New" w:hAnsi="Courier New"/>
          <w:sz w:val="16"/>
          <w:szCs w:val="16"/>
          <w:color w:val="auto"/>
        </w:rPr>
        <w:t>ability to pay at maturity.</w:t>
      </w:r>
    </w:p>
    <w:p>
      <w:pPr>
        <w:spacing w:after="0" w:line="191" w:lineRule="exact"/>
        <w:rPr>
          <w:sz w:val="20"/>
          <w:szCs w:val="20"/>
          <w:color w:val="auto"/>
        </w:rPr>
      </w:pPr>
    </w:p>
    <w:p>
      <w:pPr>
        <w:ind w:right="2559" w:firstLine="872"/>
        <w:spacing w:after="0" w:line="247" w:lineRule="auto"/>
        <w:rPr>
          <w:sz w:val="20"/>
          <w:szCs w:val="20"/>
          <w:color w:val="auto"/>
        </w:rPr>
      </w:pPr>
      <w:r>
        <w:rPr>
          <w:rFonts w:ascii="Courier New" w:cs="Courier New" w:eastAsia="Courier New" w:hAnsi="Courier New"/>
          <w:sz w:val="16"/>
          <w:szCs w:val="16"/>
          <w:color w:val="auto"/>
        </w:rPr>
        <w:t>If a court voided a subsidiary guarantee by one or more of our subsidiaries as the result of a fraudulent conveyance, or held it unenforceable for any other reason, holders of the notes would cease to have a claim against the subsidiary based on the subsidiary guarantee and would be solely creditors of CheckFree Holdings Corporation.</w:t>
      </w:r>
    </w:p>
    <w:p>
      <w:pPr>
        <w:spacing w:after="0" w:line="185" w:lineRule="exact"/>
        <w:rPr>
          <w:sz w:val="20"/>
          <w:szCs w:val="20"/>
          <w:color w:val="auto"/>
        </w:rPr>
      </w:pPr>
    </w:p>
    <w:p>
      <w:pPr>
        <w:ind w:right="2659"/>
        <w:spacing w:after="0" w:line="248" w:lineRule="auto"/>
        <w:rPr>
          <w:sz w:val="20"/>
          <w:szCs w:val="20"/>
          <w:color w:val="auto"/>
        </w:rPr>
      </w:pPr>
      <w:r>
        <w:rPr>
          <w:rFonts w:ascii="Courier New" w:cs="Courier New" w:eastAsia="Courier New" w:hAnsi="Courier New"/>
          <w:sz w:val="16"/>
          <w:szCs w:val="16"/>
          <w:color w:val="auto"/>
        </w:rPr>
        <w:t>WE MAY NOT HAVE THE ABILITY TO RAISE THE FUNDS NECESSARY TO FINANCE THE CHANGE IN CONTROL OFFER REQUIRED BY OUR INDENTURE.</w:t>
      </w:r>
    </w:p>
    <w:p>
      <w:pPr>
        <w:spacing w:after="0" w:line="184" w:lineRule="exact"/>
        <w:rPr>
          <w:sz w:val="20"/>
          <w:szCs w:val="20"/>
          <w:color w:val="auto"/>
        </w:rPr>
      </w:pPr>
    </w:p>
    <w:p>
      <w:pPr>
        <w:ind w:right="2559" w:firstLine="872"/>
        <w:spacing w:after="0" w:line="246" w:lineRule="auto"/>
        <w:rPr>
          <w:sz w:val="20"/>
          <w:szCs w:val="20"/>
          <w:color w:val="auto"/>
        </w:rPr>
      </w:pPr>
      <w:r>
        <w:rPr>
          <w:rFonts w:ascii="Courier New" w:cs="Courier New" w:eastAsia="Courier New" w:hAnsi="Courier New"/>
          <w:sz w:val="16"/>
          <w:szCs w:val="16"/>
          <w:color w:val="auto"/>
        </w:rPr>
        <w:t>Upon the occurrence of certain specific kinds of change in control events specified in the indenture, we may be required to repurchase all outstanding notes. It is possible, however, that we will not have sufficient funds at the time of a change in control to make the required repurchase of the notes or that restrictions in our existing or future senior indebtedness will not allow such repurchases. Also, we or our subsidiaries may be required to prepay certain senior indebtedness or obligations having financial covenant provisions in favor of the holders thereof. In addition, certain important corporate events, such as leveraged recapitalizations that would increase the level of our indebtedness, may not constitute a change in control under the indenture.</w:t>
      </w:r>
    </w:p>
    <w:p>
      <w:pPr>
        <w:spacing w:after="0" w:line="193" w:lineRule="exact"/>
        <w:rPr>
          <w:sz w:val="20"/>
          <w:szCs w:val="20"/>
          <w:color w:val="auto"/>
        </w:rPr>
      </w:pPr>
    </w:p>
    <w:p>
      <w:pPr>
        <w:ind w:right="2459" w:firstLine="872"/>
        <w:spacing w:after="0" w:line="247" w:lineRule="auto"/>
        <w:rPr>
          <w:sz w:val="20"/>
          <w:szCs w:val="20"/>
          <w:color w:val="auto"/>
        </w:rPr>
      </w:pPr>
      <w:r>
        <w:rPr>
          <w:rFonts w:ascii="Courier New" w:cs="Courier New" w:eastAsia="Courier New" w:hAnsi="Courier New"/>
          <w:sz w:val="16"/>
          <w:szCs w:val="16"/>
          <w:color w:val="auto"/>
        </w:rPr>
        <w:t>The exercise by the holders of the notes of their right to require us to repurchase the notes could cause a default under other senior indebtedness which we may enter into in the future, even if the change in control itself does not, due to the financial effect on us of such repurchase.</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THERE MAY NOT BE A TRADING MARKET FOR THE NOTES.</w:t>
      </w:r>
    </w:p>
    <w:p>
      <w:pPr>
        <w:spacing w:after="0" w:line="191" w:lineRule="exact"/>
        <w:rPr>
          <w:sz w:val="20"/>
          <w:szCs w:val="20"/>
          <w:color w:val="auto"/>
        </w:rPr>
      </w:pPr>
    </w:p>
    <w:p>
      <w:pPr>
        <w:ind w:right="2459" w:firstLine="872"/>
        <w:spacing w:after="0" w:line="247" w:lineRule="auto"/>
        <w:rPr>
          <w:sz w:val="20"/>
          <w:szCs w:val="20"/>
          <w:color w:val="auto"/>
        </w:rPr>
      </w:pPr>
      <w:r>
        <w:rPr>
          <w:rFonts w:ascii="Courier New" w:cs="Courier New" w:eastAsia="Courier New" w:hAnsi="Courier New"/>
          <w:sz w:val="16"/>
          <w:szCs w:val="16"/>
          <w:color w:val="auto"/>
        </w:rPr>
        <w:t>Although the notes are currently traded in The Portal(TM) Market, there is no assurance that such trading will continue. Accordingly, you may not be able to sell your notes or sell them at an acceptable price. Further, the notes could trade at prices higher or lower than the initial offering price depending on many factors, including:</w:t>
      </w:r>
    </w:p>
    <w:p>
      <w:pPr>
        <w:spacing w:after="0" w:line="185" w:lineRule="exact"/>
        <w:rPr>
          <w:sz w:val="20"/>
          <w:szCs w:val="20"/>
          <w:color w:val="auto"/>
        </w:rPr>
      </w:pPr>
    </w:p>
    <w:p>
      <w:pPr>
        <w:ind w:left="1060" w:hanging="189"/>
        <w:spacing w:after="0"/>
        <w:tabs>
          <w:tab w:leader="none" w:pos="1060"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prevailing interest rates;</w:t>
      </w:r>
    </w:p>
    <w:p>
      <w:pPr>
        <w:spacing w:after="0" w:line="191" w:lineRule="exact"/>
        <w:rPr>
          <w:rFonts w:ascii="Courier New" w:cs="Courier New" w:eastAsia="Courier New" w:hAnsi="Courier New"/>
          <w:sz w:val="16"/>
          <w:szCs w:val="16"/>
          <w:color w:val="auto"/>
        </w:rPr>
      </w:pPr>
    </w:p>
    <w:p>
      <w:pPr>
        <w:ind w:left="1060" w:hanging="189"/>
        <w:spacing w:after="0"/>
        <w:tabs>
          <w:tab w:leader="none" w:pos="1060"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market price for our common stock;</w:t>
      </w:r>
    </w:p>
    <w:p>
      <w:pPr>
        <w:spacing w:after="0" w:line="191" w:lineRule="exact"/>
        <w:rPr>
          <w:rFonts w:ascii="Courier New" w:cs="Courier New" w:eastAsia="Courier New" w:hAnsi="Courier New"/>
          <w:sz w:val="16"/>
          <w:szCs w:val="16"/>
          <w:color w:val="auto"/>
        </w:rPr>
      </w:pPr>
    </w:p>
    <w:p>
      <w:pPr>
        <w:ind w:left="1060" w:hanging="189"/>
        <w:spacing w:after="0"/>
        <w:tabs>
          <w:tab w:leader="none" w:pos="1060"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our operating results; and</w:t>
      </w:r>
    </w:p>
    <w:p>
      <w:pPr>
        <w:spacing w:after="0" w:line="191" w:lineRule="exact"/>
        <w:rPr>
          <w:rFonts w:ascii="Courier New" w:cs="Courier New" w:eastAsia="Courier New" w:hAnsi="Courier New"/>
          <w:sz w:val="16"/>
          <w:szCs w:val="16"/>
          <w:color w:val="auto"/>
        </w:rPr>
      </w:pPr>
    </w:p>
    <w:p>
      <w:pPr>
        <w:ind w:left="1060" w:right="3239" w:hanging="189"/>
        <w:spacing w:after="0" w:line="248" w:lineRule="auto"/>
        <w:tabs>
          <w:tab w:leader="none" w:pos="1060"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market for similar securities or the securities market in general.</w:t>
      </w:r>
    </w:p>
    <w:p>
      <w:pPr>
        <w:spacing w:after="0" w:line="371"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8</w:t>
      </w:r>
    </w:p>
    <w:p>
      <w:pPr>
        <w:sectPr>
          <w:pgSz w:w="11900" w:h="16838" w:orient="portrait"/>
          <w:cols w:equalWidth="0" w:num="1">
            <w:col w:w="10219"/>
          </w:cols>
          <w:pgMar w:left="240" w:top="142" w:right="1440" w:bottom="1440" w:gutter="0" w:footer="0" w:header="0"/>
        </w:sectPr>
      </w:pPr>
    </w:p>
    <w:bookmarkStart w:id="10" w:name="page11"/>
    <w:bookmarkEnd w:id="10"/>
    <w:p>
      <w:pPr>
        <w:spacing w:after="0" w:line="57" w:lineRule="exact"/>
        <w:rPr>
          <w:sz w:val="20"/>
          <w:szCs w:val="20"/>
          <w:color w:val="auto"/>
        </w:rPr>
      </w:pPr>
    </w:p>
    <w:p>
      <w:pPr>
        <w:ind w:left="300"/>
        <w:spacing w:after="0"/>
        <w:rPr>
          <w:sz w:val="20"/>
          <w:szCs w:val="20"/>
          <w:color w:val="auto"/>
        </w:rPr>
      </w:pPr>
      <w:r>
        <w:rPr>
          <w:rFonts w:ascii="Courier New" w:cs="Courier New" w:eastAsia="Courier New" w:hAnsi="Courier New"/>
          <w:sz w:val="16"/>
          <w:szCs w:val="16"/>
          <w:color w:val="auto"/>
        </w:rPr>
        <w:t>9</w:t>
      </w:r>
    </w:p>
    <w:p>
      <w:pPr>
        <w:spacing w:after="0" w:line="19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RISKS RELATED TO CHECKFREE</w:t>
      </w:r>
    </w:p>
    <w:p>
      <w:pPr>
        <w:spacing w:after="0" w:line="191" w:lineRule="exact"/>
        <w:rPr>
          <w:sz w:val="20"/>
          <w:szCs w:val="20"/>
          <w:color w:val="auto"/>
        </w:rPr>
      </w:pPr>
    </w:p>
    <w:p>
      <w:pPr>
        <w:ind w:right="2459"/>
        <w:spacing w:after="0" w:line="248" w:lineRule="auto"/>
        <w:rPr>
          <w:sz w:val="20"/>
          <w:szCs w:val="20"/>
          <w:color w:val="auto"/>
        </w:rPr>
      </w:pPr>
      <w:r>
        <w:rPr>
          <w:rFonts w:ascii="Courier New" w:cs="Courier New" w:eastAsia="Courier New" w:hAnsi="Courier New"/>
          <w:sz w:val="16"/>
          <w:szCs w:val="16"/>
          <w:color w:val="auto"/>
        </w:rPr>
        <w:t>THE MARKET FOR OUR ELECTRONIC COMMERCE SERVICES IS EVOLVING AND MAY NOT CONTINUE TO DEVELOP OR GROW RAPIDLY ENOUGH FOR US TO BECOME CONSISTENTLY PROFITABLE.</w:t>
      </w:r>
    </w:p>
    <w:p>
      <w:pPr>
        <w:spacing w:after="0" w:line="184" w:lineRule="exact"/>
        <w:rPr>
          <w:sz w:val="20"/>
          <w:szCs w:val="20"/>
          <w:color w:val="auto"/>
        </w:rPr>
      </w:pPr>
    </w:p>
    <w:p>
      <w:pPr>
        <w:ind w:right="2559" w:firstLine="872"/>
        <w:spacing w:after="0" w:line="246" w:lineRule="auto"/>
        <w:rPr>
          <w:sz w:val="20"/>
          <w:szCs w:val="20"/>
          <w:color w:val="auto"/>
        </w:rPr>
      </w:pPr>
      <w:r>
        <w:rPr>
          <w:rFonts w:ascii="Courier New" w:cs="Courier New" w:eastAsia="Courier New" w:hAnsi="Courier New"/>
          <w:sz w:val="16"/>
          <w:szCs w:val="16"/>
          <w:color w:val="auto"/>
        </w:rPr>
        <w:t>If the number of electronic commerce transactions does not continue to grow or if consumers or businesses do not continue to adopt our services, it could have a material adverse effect on our business, financial condition and results of operations. The electronic commerce market is still evolving and currently growing at a rapid rate. We believe future growth in the electronic commerce market will be driven by the cost, ease-of-use and quality of products and services offered to consumers and businesses. In order to consistently increase and maintain our profitability, consumers and businesses must continue to adopt our services.</w:t>
      </w:r>
    </w:p>
    <w:p>
      <w:pPr>
        <w:spacing w:after="0" w:line="191" w:lineRule="exact"/>
        <w:rPr>
          <w:sz w:val="20"/>
          <w:szCs w:val="20"/>
          <w:color w:val="auto"/>
        </w:rPr>
      </w:pPr>
    </w:p>
    <w:p>
      <w:pPr>
        <w:ind w:left="880"/>
        <w:spacing w:after="0"/>
        <w:rPr>
          <w:sz w:val="20"/>
          <w:szCs w:val="20"/>
          <w:color w:val="auto"/>
        </w:rPr>
      </w:pPr>
      <w:r>
        <w:rPr>
          <w:rFonts w:ascii="Courier New" w:cs="Courier New" w:eastAsia="Courier New" w:hAnsi="Courier New"/>
          <w:sz w:val="16"/>
          <w:szCs w:val="16"/>
          <w:color w:val="auto"/>
        </w:rPr>
        <w:t>Additionally, we have not consistently operated profitably to date. We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incurred:</w:t>
      </w:r>
    </w:p>
    <w:p>
      <w:pPr>
        <w:spacing w:after="0" w:line="191" w:lineRule="exact"/>
        <w:rPr>
          <w:sz w:val="20"/>
          <w:szCs w:val="20"/>
          <w:color w:val="auto"/>
        </w:rPr>
      </w:pPr>
    </w:p>
    <w:p>
      <w:pPr>
        <w:ind w:left="1060" w:right="2459" w:hanging="189"/>
        <w:spacing w:after="0" w:line="248" w:lineRule="auto"/>
        <w:tabs>
          <w:tab w:leader="none" w:pos="1060"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loss from operations of $7.2 million and a net loss of $3.7 million in the fiscal year ended June 30, 1998;</w:t>
      </w:r>
    </w:p>
    <w:p>
      <w:pPr>
        <w:spacing w:after="0" w:line="184" w:lineRule="exact"/>
        <w:rPr>
          <w:rFonts w:ascii="Courier New" w:cs="Courier New" w:eastAsia="Courier New" w:hAnsi="Courier New"/>
          <w:sz w:val="16"/>
          <w:szCs w:val="16"/>
          <w:color w:val="auto"/>
        </w:rPr>
      </w:pPr>
    </w:p>
    <w:p>
      <w:pPr>
        <w:ind w:left="1060" w:right="3139" w:hanging="189"/>
        <w:spacing w:after="0" w:line="248" w:lineRule="auto"/>
        <w:tabs>
          <w:tab w:leader="none" w:pos="1060"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loss from operations of $3.7 million and net income of $10.5 million for the fiscal year ended June 30, 1999; and</w:t>
      </w:r>
    </w:p>
    <w:p>
      <w:pPr>
        <w:spacing w:after="0" w:line="184" w:lineRule="exact"/>
        <w:rPr>
          <w:rFonts w:ascii="Courier New" w:cs="Courier New" w:eastAsia="Courier New" w:hAnsi="Courier New"/>
          <w:sz w:val="16"/>
          <w:szCs w:val="16"/>
          <w:color w:val="auto"/>
        </w:rPr>
      </w:pPr>
    </w:p>
    <w:p>
      <w:pPr>
        <w:ind w:left="1060" w:right="3139" w:hanging="189"/>
        <w:spacing w:after="0" w:line="248" w:lineRule="auto"/>
        <w:tabs>
          <w:tab w:leader="none" w:pos="1060"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loss from operations of $12.6 million and a net loss of $7.9 million for the six months ended December 31, 1999.</w:t>
      </w:r>
    </w:p>
    <w:p>
      <w:pPr>
        <w:spacing w:after="0" w:line="184" w:lineRule="exact"/>
        <w:rPr>
          <w:sz w:val="20"/>
          <w:szCs w:val="20"/>
          <w:color w:val="auto"/>
        </w:rPr>
      </w:pPr>
    </w:p>
    <w:p>
      <w:pPr>
        <w:ind w:right="2459"/>
        <w:spacing w:after="0" w:line="247" w:lineRule="auto"/>
        <w:rPr>
          <w:sz w:val="20"/>
          <w:szCs w:val="20"/>
          <w:color w:val="auto"/>
        </w:rPr>
      </w:pPr>
      <w:r>
        <w:rPr>
          <w:rFonts w:ascii="Courier New" w:cs="Courier New" w:eastAsia="Courier New" w:hAnsi="Courier New"/>
          <w:sz w:val="16"/>
          <w:szCs w:val="16"/>
          <w:color w:val="auto"/>
        </w:rPr>
        <w:t>In addition, we recently announced the acquisitions of BlueGill Technologies, Inc. and the TransPoint entities, owned by Microsoft Corporation, First Data Corporation and Citibank, N.A. BlueGill has incurred significant losses to date, including a net loss of $7.1 million for the fiscal year ended December 31, 1999. The TransPoint business also has incurred significant losses to date, including a net loss of $16.0 during the six month period ended December 31, 1999 and $42.7 during the fiscal year ended June 30, 1999.</w:t>
      </w:r>
    </w:p>
    <w:p>
      <w:pPr>
        <w:spacing w:after="0" w:line="185" w:lineRule="exact"/>
        <w:rPr>
          <w:sz w:val="20"/>
          <w:szCs w:val="20"/>
          <w:color w:val="auto"/>
        </w:rPr>
      </w:pPr>
    </w:p>
    <w:p>
      <w:pPr>
        <w:ind w:right="2559" w:firstLine="872"/>
        <w:spacing w:after="0" w:line="246" w:lineRule="auto"/>
        <w:rPr>
          <w:sz w:val="20"/>
          <w:szCs w:val="20"/>
          <w:color w:val="auto"/>
        </w:rPr>
      </w:pPr>
      <w:r>
        <w:rPr>
          <w:rFonts w:ascii="Courier New" w:cs="Courier New" w:eastAsia="Courier New" w:hAnsi="Courier New"/>
          <w:sz w:val="16"/>
          <w:szCs w:val="16"/>
          <w:color w:val="auto"/>
        </w:rPr>
        <w:t>We anticipate having a net loss from operations in fiscal 2000 and may experience net losses and may not be able to sustain or increase our profitability in the future. We intend to continue to make significant investments of several million dollars in our research and development, sales and marketing and customer care operations. If the investment of our capital is not successful to grow our business, it will have a material adverse effect on our business and financial condition, as well as negatively impact your investment in our business and limit our ability to pay dividends in the future to our stockholders.</w:t>
      </w:r>
    </w:p>
    <w:p>
      <w:pPr>
        <w:spacing w:after="0" w:line="191" w:lineRule="exact"/>
        <w:rPr>
          <w:sz w:val="20"/>
          <w:szCs w:val="20"/>
          <w:color w:val="auto"/>
        </w:rPr>
      </w:pPr>
    </w:p>
    <w:p>
      <w:pPr>
        <w:ind w:right="2859"/>
        <w:spacing w:after="0" w:line="248" w:lineRule="auto"/>
        <w:rPr>
          <w:sz w:val="20"/>
          <w:szCs w:val="20"/>
          <w:color w:val="auto"/>
        </w:rPr>
      </w:pPr>
      <w:r>
        <w:rPr>
          <w:rFonts w:ascii="Courier New" w:cs="Courier New" w:eastAsia="Courier New" w:hAnsi="Courier New"/>
          <w:sz w:val="16"/>
          <w:szCs w:val="16"/>
          <w:color w:val="auto"/>
        </w:rPr>
        <w:t>OUR FUTURE PROFITABILITY DEPENDS ON OUR ABILITY TO IMPLEMENT OUR STRATEGY SUCCESSFULLY TO INCREASE ADOPTION OF ELECTRONIC BILLING AND PAYMENT METHODS.</w:t>
      </w:r>
    </w:p>
    <w:p>
      <w:pPr>
        <w:spacing w:after="0" w:line="184" w:lineRule="exact"/>
        <w:rPr>
          <w:sz w:val="20"/>
          <w:szCs w:val="20"/>
          <w:color w:val="auto"/>
        </w:rPr>
      </w:pPr>
    </w:p>
    <w:p>
      <w:pPr>
        <w:ind w:right="2659" w:firstLine="872"/>
        <w:spacing w:after="0" w:line="247" w:lineRule="auto"/>
        <w:rPr>
          <w:sz w:val="20"/>
          <w:szCs w:val="20"/>
          <w:color w:val="auto"/>
        </w:rPr>
      </w:pPr>
      <w:r>
        <w:rPr>
          <w:rFonts w:ascii="Courier New" w:cs="Courier New" w:eastAsia="Courier New" w:hAnsi="Courier New"/>
          <w:sz w:val="16"/>
          <w:szCs w:val="16"/>
          <w:color w:val="auto"/>
        </w:rPr>
        <w:t>Our future profitability will depend, in part, on our ability to implement our strategy successfully to increase adoption of electronic billing and payment methods. Our strategy includes investment of time and money in programs designed to:</w:t>
      </w:r>
    </w:p>
    <w:p>
      <w:pPr>
        <w:spacing w:after="0" w:line="186" w:lineRule="exact"/>
        <w:rPr>
          <w:sz w:val="20"/>
          <w:szCs w:val="20"/>
          <w:color w:val="auto"/>
        </w:rPr>
      </w:pPr>
    </w:p>
    <w:p>
      <w:pPr>
        <w:ind w:left="1060" w:hanging="189"/>
        <w:spacing w:after="0"/>
        <w:tabs>
          <w:tab w:leader="none" w:pos="1060"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drive consumer awareness of electronic billing and payment;</w:t>
      </w:r>
    </w:p>
    <w:p>
      <w:pPr>
        <w:spacing w:after="0" w:line="191" w:lineRule="exact"/>
        <w:rPr>
          <w:rFonts w:ascii="Courier New" w:cs="Courier New" w:eastAsia="Courier New" w:hAnsi="Courier New"/>
          <w:sz w:val="16"/>
          <w:szCs w:val="16"/>
          <w:color w:val="auto"/>
        </w:rPr>
      </w:pPr>
    </w:p>
    <w:p>
      <w:pPr>
        <w:ind w:left="1060" w:right="2459" w:hanging="189"/>
        <w:spacing w:after="0" w:line="248" w:lineRule="auto"/>
        <w:tabs>
          <w:tab w:leader="none" w:pos="1060"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encourage consumers to sign up for and use our electronic billing and payment services offered by our distribution partners;</w:t>
      </w:r>
    </w:p>
    <w:p>
      <w:pPr>
        <w:spacing w:after="0" w:line="184" w:lineRule="exact"/>
        <w:rPr>
          <w:rFonts w:ascii="Courier New" w:cs="Courier New" w:eastAsia="Courier New" w:hAnsi="Courier New"/>
          <w:sz w:val="16"/>
          <w:szCs w:val="16"/>
          <w:color w:val="auto"/>
        </w:rPr>
      </w:pPr>
    </w:p>
    <w:p>
      <w:pPr>
        <w:ind w:left="1060" w:right="3639" w:hanging="189"/>
        <w:spacing w:after="0" w:line="248" w:lineRule="auto"/>
        <w:tabs>
          <w:tab w:leader="none" w:pos="1060"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build our infrastructure to handle seamless processing of transactions;</w:t>
      </w:r>
    </w:p>
    <w:p>
      <w:pPr>
        <w:spacing w:after="0" w:line="184" w:lineRule="exact"/>
        <w:rPr>
          <w:rFonts w:ascii="Courier New" w:cs="Courier New" w:eastAsia="Courier New" w:hAnsi="Courier New"/>
          <w:sz w:val="16"/>
          <w:szCs w:val="16"/>
          <w:color w:val="auto"/>
        </w:rPr>
      </w:pPr>
    </w:p>
    <w:p>
      <w:pPr>
        <w:ind w:left="1060" w:hanging="189"/>
        <w:spacing w:after="0"/>
        <w:tabs>
          <w:tab w:leader="none" w:pos="1060"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continue to develop state of the art, easy-to-use technology; and</w:t>
      </w:r>
    </w:p>
    <w:p>
      <w:pPr>
        <w:spacing w:after="0" w:line="191" w:lineRule="exact"/>
        <w:rPr>
          <w:rFonts w:ascii="Courier New" w:cs="Courier New" w:eastAsia="Courier New" w:hAnsi="Courier New"/>
          <w:sz w:val="16"/>
          <w:szCs w:val="16"/>
          <w:color w:val="auto"/>
        </w:rPr>
      </w:pPr>
    </w:p>
    <w:p>
      <w:pPr>
        <w:ind w:left="1060" w:right="2859" w:hanging="189"/>
        <w:spacing w:after="0" w:line="248" w:lineRule="auto"/>
        <w:tabs>
          <w:tab w:leader="none" w:pos="1060"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increase the number of billers whose bills we can present and pay electronically.</w:t>
      </w:r>
    </w:p>
    <w:p>
      <w:pPr>
        <w:spacing w:after="0" w:line="184" w:lineRule="exact"/>
        <w:rPr>
          <w:sz w:val="20"/>
          <w:szCs w:val="20"/>
          <w:color w:val="auto"/>
        </w:rPr>
      </w:pPr>
    </w:p>
    <w:p>
      <w:pPr>
        <w:ind w:right="2559" w:firstLine="872"/>
        <w:spacing w:after="0" w:line="247" w:lineRule="auto"/>
        <w:rPr>
          <w:sz w:val="20"/>
          <w:szCs w:val="20"/>
          <w:color w:val="auto"/>
        </w:rPr>
      </w:pPr>
      <w:r>
        <w:rPr>
          <w:rFonts w:ascii="Courier New" w:cs="Courier New" w:eastAsia="Courier New" w:hAnsi="Courier New"/>
          <w:sz w:val="16"/>
          <w:szCs w:val="16"/>
          <w:color w:val="auto"/>
        </w:rPr>
        <w:t>Our investment in these programs will have a negative impact on our short-term profitability. Additionally, our failure to implement these programs successfully or to increase substantially adoption of electronic commerce billing and payment methods by consumers who pay for the services could have a material adverse effect on our business, financial condition and results of operations.</w:t>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COMPETITIVE PRESSURES WE FACE MAY HAVE A MATERIAL ADVERSE EFFECT ON US.</w:t>
      </w:r>
    </w:p>
    <w:p>
      <w:pPr>
        <w:spacing w:after="0" w:line="191" w:lineRule="exact"/>
        <w:rPr>
          <w:sz w:val="20"/>
          <w:szCs w:val="20"/>
          <w:color w:val="auto"/>
        </w:rPr>
      </w:pPr>
    </w:p>
    <w:p>
      <w:pPr>
        <w:ind w:right="2459" w:firstLine="872"/>
        <w:spacing w:after="0" w:line="246" w:lineRule="auto"/>
        <w:rPr>
          <w:sz w:val="20"/>
          <w:szCs w:val="20"/>
          <w:color w:val="auto"/>
        </w:rPr>
      </w:pPr>
      <w:r>
        <w:rPr>
          <w:rFonts w:ascii="Courier New" w:cs="Courier New" w:eastAsia="Courier New" w:hAnsi="Courier New"/>
          <w:sz w:val="16"/>
          <w:szCs w:val="16"/>
          <w:color w:val="auto"/>
        </w:rPr>
        <w:t>Electronic commerce is new and evolving rapidly, resulting in a dynamic competitive environment. We face significant competition in our each of our business units, Electronic Commerce, Investment Services and Software. Increased competition or other competitive pressures may result in price reductions, reduced margins or loss of market share, any of which could have a material adverse effect on our business, financial condition and results of operations. Further, we expect competition to persist, increase and intensify in the future. First, we need to switch billers and consumers from paper bills sent by mail and paid by check to electronic bill presentment and payment. Second, a number of financial institutions have developed, and others in the future may develop, in-house home banking services similar to ours. For example, in June 1999,</w:t>
      </w:r>
    </w:p>
    <w:p>
      <w:pPr>
        <w:sectPr>
          <w:pgSz w:w="11900" w:h="16896" w:orient="portrait"/>
          <w:cols w:equalWidth="0" w:num="1">
            <w:col w:w="10219"/>
          </w:cols>
          <w:pgMar w:left="240" w:top="303" w:right="1440" w:bottom="0" w:gutter="0" w:footer="0" w:header="0"/>
        </w:sectPr>
      </w:pPr>
    </w:p>
    <w:bookmarkStart w:id="11" w:name="page12"/>
    <w:bookmarkEnd w:id="11"/>
    <w:p>
      <w:pPr>
        <w:ind w:right="2459"/>
        <w:spacing w:after="0" w:line="246" w:lineRule="auto"/>
        <w:rPr>
          <w:sz w:val="20"/>
          <w:szCs w:val="20"/>
          <w:color w:val="auto"/>
        </w:rPr>
      </w:pPr>
      <w:r>
        <w:rPr>
          <w:rFonts w:ascii="Courier New" w:cs="Courier New" w:eastAsia="Courier New" w:hAnsi="Courier New"/>
          <w:sz w:val="16"/>
          <w:szCs w:val="16"/>
          <w:color w:val="auto"/>
        </w:rPr>
        <w:t>Chase Manhattan Corporation, First Union Corporation and Wells Fargo &amp; Co. announced the formation of a new venture called Spectrum that will allow individuals and businesses to receive and pay bills electronically. To the best of our knowledge, Spectrum has done limited electronic presentment of bills, and developing a "pay anyone" capability. In addition, recently MasterCard International announced that it would begin offering online bill presentment to enable people to receive and pay bills over the Internet by September 2000. We also face increased competition from billers directly presenting bills to their customers electronically and from new competitors offering billing and payment services utilizing scan and pay technology. These "scan and pay" companies offer a service whereby a consumer's bill is received by the company, scanned to create an electronic image of the bill, and electronically delivered to the consumer who can elect to pay that bill either by writing a paper check or through an electronic transfer of funds. We cannot assure you that we will be able to compete effectively against financial institutions, Spectrum, billers directly delivering bills to their customers, MasterCard, scan and pay companies or other current and future electronic commerce competitors.</w:t>
      </w:r>
    </w:p>
    <w:p>
      <w:pPr>
        <w:spacing w:after="0" w:line="382"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9</w:t>
      </w:r>
    </w:p>
    <w:p>
      <w:pPr>
        <w:sectPr>
          <w:pgSz w:w="11900" w:h="16838" w:orient="portrait"/>
          <w:cols w:equalWidth="0" w:num="1">
            <w:col w:w="10219"/>
          </w:cols>
          <w:pgMar w:left="240" w:top="142" w:right="1440" w:bottom="1440" w:gutter="0" w:footer="0" w:header="0"/>
        </w:sectPr>
      </w:pPr>
    </w:p>
    <w:bookmarkStart w:id="12" w:name="page13"/>
    <w:bookmarkEnd w:id="12"/>
    <w:p>
      <w:pPr>
        <w:ind w:left="300"/>
        <w:spacing w:after="0"/>
        <w:rPr>
          <w:sz w:val="20"/>
          <w:szCs w:val="20"/>
          <w:color w:val="auto"/>
        </w:rPr>
      </w:pPr>
      <w:r>
        <w:rPr>
          <w:rFonts w:ascii="Courier New" w:cs="Courier New" w:eastAsia="Courier New" w:hAnsi="Courier New"/>
          <w:sz w:val="16"/>
          <w:szCs w:val="16"/>
          <w:color w:val="auto"/>
        </w:rPr>
        <w:t>10</w:t>
      </w:r>
    </w:p>
    <w:p>
      <w:pPr>
        <w:spacing w:after="0" w:line="191" w:lineRule="exact"/>
        <w:rPr>
          <w:sz w:val="20"/>
          <w:szCs w:val="20"/>
          <w:color w:val="auto"/>
        </w:rPr>
      </w:pPr>
    </w:p>
    <w:p>
      <w:pPr>
        <w:ind w:right="2559" w:firstLine="872"/>
        <w:spacing w:after="0" w:line="246" w:lineRule="auto"/>
        <w:rPr>
          <w:sz w:val="20"/>
          <w:szCs w:val="20"/>
          <w:color w:val="auto"/>
        </w:rPr>
      </w:pPr>
      <w:r>
        <w:rPr>
          <w:rFonts w:ascii="Courier New" w:cs="Courier New" w:eastAsia="Courier New" w:hAnsi="Courier New"/>
          <w:sz w:val="16"/>
          <w:szCs w:val="16"/>
          <w:color w:val="auto"/>
        </w:rPr>
        <w:t>In addition, we cannot assure you that we will be able to compete effectively against current and future competitors in the investment services and software products markets. The markets for our investment services and software products are also highly competitive. In investment services, our competition comes primarily from providers of portfolio accounting software. In software, our competition comes from several different market segments, including large diversified computer software and service companies and independent suppliers of software products. Because there are relatively low barriers to entry, we expect competition in the software market to increase significantly in the future.</w:t>
      </w:r>
    </w:p>
    <w:p>
      <w:pPr>
        <w:spacing w:after="0" w:line="192" w:lineRule="exact"/>
        <w:rPr>
          <w:sz w:val="20"/>
          <w:szCs w:val="20"/>
          <w:color w:val="auto"/>
        </w:rPr>
      </w:pPr>
    </w:p>
    <w:p>
      <w:pPr>
        <w:ind w:right="2459" w:firstLine="872"/>
        <w:spacing w:after="0" w:line="246" w:lineRule="auto"/>
        <w:rPr>
          <w:sz w:val="20"/>
          <w:szCs w:val="20"/>
          <w:color w:val="auto"/>
        </w:rPr>
      </w:pPr>
      <w:r>
        <w:rPr>
          <w:rFonts w:ascii="Courier New" w:cs="Courier New" w:eastAsia="Courier New" w:hAnsi="Courier New"/>
          <w:sz w:val="16"/>
          <w:szCs w:val="16"/>
          <w:color w:val="auto"/>
        </w:rPr>
        <w:t>Across all of our market segments, many of our current and potential competitors have longer operating histories, significantly greater financial, technical, marketing, customer service and other resources, greater name recognition and a larger installed base of customers than we do. As a result, these competitors may be able to respond to new or emerging technologies and changes in customer requirements faster and more effectively than we can, or to devote greater resources to the development, promotion and sale of products than we can. If these competitors were to acquire a significant market share, it could have a material adverse effect on our business, financial condition and results of operations.</w:t>
      </w:r>
    </w:p>
    <w:p>
      <w:pPr>
        <w:spacing w:after="0" w:line="192" w:lineRule="exact"/>
        <w:rPr>
          <w:sz w:val="20"/>
          <w:szCs w:val="20"/>
          <w:color w:val="auto"/>
        </w:rPr>
      </w:pPr>
    </w:p>
    <w:p>
      <w:pPr>
        <w:ind w:right="2459"/>
        <w:spacing w:after="0" w:line="248" w:lineRule="auto"/>
        <w:rPr>
          <w:sz w:val="20"/>
          <w:szCs w:val="20"/>
          <w:color w:val="auto"/>
        </w:rPr>
      </w:pPr>
      <w:r>
        <w:rPr>
          <w:rFonts w:ascii="Courier New" w:cs="Courier New" w:eastAsia="Courier New" w:hAnsi="Courier New"/>
          <w:sz w:val="16"/>
          <w:szCs w:val="16"/>
          <w:color w:val="auto"/>
        </w:rPr>
        <w:t>SECURITY AND PRIVACY BREACHES IN OUR ELECTRONIC TRANSACTIONS MAY DAMAGE CUSTOMER RELATIONS AND INHIBIT OUR GROWTH.</w:t>
      </w:r>
    </w:p>
    <w:p>
      <w:pPr>
        <w:spacing w:after="0" w:line="184" w:lineRule="exact"/>
        <w:rPr>
          <w:sz w:val="20"/>
          <w:szCs w:val="20"/>
          <w:color w:val="auto"/>
        </w:rPr>
      </w:pPr>
    </w:p>
    <w:p>
      <w:pPr>
        <w:ind w:right="2459" w:firstLine="872"/>
        <w:spacing w:after="0" w:line="246" w:lineRule="auto"/>
        <w:rPr>
          <w:sz w:val="20"/>
          <w:szCs w:val="20"/>
          <w:color w:val="auto"/>
        </w:rPr>
      </w:pPr>
      <w:r>
        <w:rPr>
          <w:rFonts w:ascii="Courier New" w:cs="Courier New" w:eastAsia="Courier New" w:hAnsi="Courier New"/>
          <w:sz w:val="16"/>
          <w:szCs w:val="16"/>
          <w:color w:val="auto"/>
        </w:rPr>
        <w:t>Any failures in our security and privacy measures could have a material adverse effect on our business, financial condition and results of operations. We electronically transfer large sums of money and personal information about consumers utilizing our products and services. If we are unable to protect, or consumers perceive that we are unable to protect, the security and privacy of our electronic transactions, our growth and the growth of the electronic commerce market in general could be materially adversely affected. A security or privacy breach may:</w:t>
      </w:r>
    </w:p>
    <w:p>
      <w:pPr>
        <w:spacing w:after="0" w:line="191" w:lineRule="exact"/>
        <w:rPr>
          <w:sz w:val="20"/>
          <w:szCs w:val="20"/>
          <w:color w:val="auto"/>
        </w:rPr>
      </w:pPr>
    </w:p>
    <w:p>
      <w:pPr>
        <w:ind w:left="1060" w:hanging="189"/>
        <w:spacing w:after="0"/>
        <w:tabs>
          <w:tab w:leader="none" w:pos="1060"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cause our customers to lose confidence in our services;</w:t>
      </w:r>
    </w:p>
    <w:p>
      <w:pPr>
        <w:spacing w:after="0" w:line="191" w:lineRule="exact"/>
        <w:rPr>
          <w:rFonts w:ascii="Courier New" w:cs="Courier New" w:eastAsia="Courier New" w:hAnsi="Courier New"/>
          <w:sz w:val="16"/>
          <w:szCs w:val="16"/>
          <w:color w:val="auto"/>
        </w:rPr>
      </w:pPr>
    </w:p>
    <w:p>
      <w:pPr>
        <w:ind w:left="1060" w:hanging="189"/>
        <w:spacing w:after="0"/>
        <w:tabs>
          <w:tab w:leader="none" w:pos="1060"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deter consumers from using our services;</w:t>
      </w:r>
    </w:p>
    <w:p>
      <w:pPr>
        <w:spacing w:after="0" w:line="191" w:lineRule="exact"/>
        <w:rPr>
          <w:rFonts w:ascii="Courier New" w:cs="Courier New" w:eastAsia="Courier New" w:hAnsi="Courier New"/>
          <w:sz w:val="16"/>
          <w:szCs w:val="16"/>
          <w:color w:val="auto"/>
        </w:rPr>
      </w:pPr>
    </w:p>
    <w:p>
      <w:pPr>
        <w:ind w:left="1060" w:hanging="189"/>
        <w:spacing w:after="0"/>
        <w:tabs>
          <w:tab w:leader="none" w:pos="1060"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harm our reputation;</w:t>
      </w:r>
    </w:p>
    <w:p>
      <w:pPr>
        <w:spacing w:after="0" w:line="191" w:lineRule="exact"/>
        <w:rPr>
          <w:rFonts w:ascii="Courier New" w:cs="Courier New" w:eastAsia="Courier New" w:hAnsi="Courier New"/>
          <w:sz w:val="16"/>
          <w:szCs w:val="16"/>
          <w:color w:val="auto"/>
        </w:rPr>
      </w:pPr>
    </w:p>
    <w:p>
      <w:pPr>
        <w:ind w:left="1060" w:hanging="189"/>
        <w:spacing w:after="0"/>
        <w:tabs>
          <w:tab w:leader="none" w:pos="1060"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expose us to liability;</w:t>
      </w:r>
    </w:p>
    <w:p>
      <w:pPr>
        <w:spacing w:after="0" w:line="191" w:lineRule="exact"/>
        <w:rPr>
          <w:rFonts w:ascii="Courier New" w:cs="Courier New" w:eastAsia="Courier New" w:hAnsi="Courier New"/>
          <w:sz w:val="16"/>
          <w:szCs w:val="16"/>
          <w:color w:val="auto"/>
        </w:rPr>
      </w:pPr>
    </w:p>
    <w:p>
      <w:pPr>
        <w:ind w:left="1060" w:hanging="189"/>
        <w:spacing w:after="0"/>
        <w:tabs>
          <w:tab w:leader="none" w:pos="1060"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increase our expenses from potential remediation costs; and</w:t>
      </w:r>
    </w:p>
    <w:p>
      <w:pPr>
        <w:spacing w:after="0" w:line="191" w:lineRule="exact"/>
        <w:rPr>
          <w:rFonts w:ascii="Courier New" w:cs="Courier New" w:eastAsia="Courier New" w:hAnsi="Courier New"/>
          <w:sz w:val="16"/>
          <w:szCs w:val="16"/>
          <w:color w:val="auto"/>
        </w:rPr>
      </w:pPr>
    </w:p>
    <w:p>
      <w:pPr>
        <w:ind w:left="1060" w:hanging="189"/>
        <w:spacing w:after="0"/>
        <w:tabs>
          <w:tab w:leader="none" w:pos="1060"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decrease market acceptance of electronic commerce transactions.</w:t>
      </w:r>
    </w:p>
    <w:p>
      <w:pPr>
        <w:spacing w:after="0" w:line="191" w:lineRule="exact"/>
        <w:rPr>
          <w:sz w:val="20"/>
          <w:szCs w:val="20"/>
          <w:color w:val="auto"/>
        </w:rPr>
      </w:pPr>
    </w:p>
    <w:p>
      <w:pPr>
        <w:ind w:right="2759" w:firstLine="872"/>
        <w:spacing w:after="0" w:line="247" w:lineRule="auto"/>
        <w:rPr>
          <w:sz w:val="20"/>
          <w:szCs w:val="20"/>
          <w:color w:val="auto"/>
        </w:rPr>
      </w:pPr>
      <w:r>
        <w:rPr>
          <w:rFonts w:ascii="Courier New" w:cs="Courier New" w:eastAsia="Courier New" w:hAnsi="Courier New"/>
          <w:sz w:val="16"/>
          <w:szCs w:val="16"/>
          <w:color w:val="auto"/>
        </w:rPr>
        <w:t>While we believe that we utilize proven applications designed for premium data security and integrity to process electronic transactions, there can be no assurance that our use of these applications will be sufficient to address changing market conditions or the security and privacy concerns of existing and potential subscribers.</w:t>
      </w:r>
    </w:p>
    <w:p>
      <w:pPr>
        <w:spacing w:after="0" w:line="185" w:lineRule="exact"/>
        <w:rPr>
          <w:sz w:val="20"/>
          <w:szCs w:val="20"/>
          <w:color w:val="auto"/>
        </w:rPr>
      </w:pPr>
    </w:p>
    <w:p>
      <w:pPr>
        <w:ind w:right="2659"/>
        <w:spacing w:after="0" w:line="248" w:lineRule="auto"/>
        <w:rPr>
          <w:sz w:val="20"/>
          <w:szCs w:val="20"/>
          <w:color w:val="auto"/>
        </w:rPr>
      </w:pPr>
      <w:r>
        <w:rPr>
          <w:rFonts w:ascii="Courier New" w:cs="Courier New" w:eastAsia="Courier New" w:hAnsi="Courier New"/>
          <w:sz w:val="16"/>
          <w:szCs w:val="16"/>
          <w:color w:val="auto"/>
        </w:rPr>
        <w:t>WE RELY ON THIRD PARTIES TO DISTRIBUTE OUR ELECTRONIC COMMERCE SERVICES, WHICH MAY NOT RESULT IN WIDESPREAD ADOPTION.</w:t>
      </w:r>
    </w:p>
    <w:p>
      <w:pPr>
        <w:spacing w:after="0" w:line="184" w:lineRule="exact"/>
        <w:rPr>
          <w:sz w:val="20"/>
          <w:szCs w:val="20"/>
          <w:color w:val="auto"/>
        </w:rPr>
      </w:pPr>
    </w:p>
    <w:p>
      <w:pPr>
        <w:ind w:right="2459" w:firstLine="872"/>
        <w:spacing w:after="0" w:line="246" w:lineRule="auto"/>
        <w:rPr>
          <w:sz w:val="20"/>
          <w:szCs w:val="20"/>
          <w:color w:val="auto"/>
        </w:rPr>
      </w:pPr>
      <w:r>
        <w:rPr>
          <w:rFonts w:ascii="Courier New" w:cs="Courier New" w:eastAsia="Courier New" w:hAnsi="Courier New"/>
          <w:sz w:val="16"/>
          <w:szCs w:val="16"/>
          <w:color w:val="auto"/>
        </w:rPr>
        <w:t>We rely on our contracts with financial institutions, businesses, billers, Internet portals and other third parties like Intuit Inc. to provide branding for our electronic commerce services and to market our services to their customers. None of these third parties accounted for more than 10% of our total revenue for the year ended June 30, 1999 or for the six months ended December 31, 1999. These contracts are an important source of the growth in demand for our electronic commerce services. If any of these third parties abandon, curtail or insufficiently increase its marketing efforts, it could have a material adverse effect on our business, financial condition and results of operations.</w:t>
      </w:r>
    </w:p>
    <w:p>
      <w:pPr>
        <w:spacing w:after="0" w:line="192" w:lineRule="exact"/>
        <w:rPr>
          <w:sz w:val="20"/>
          <w:szCs w:val="20"/>
          <w:color w:val="auto"/>
        </w:rPr>
      </w:pPr>
    </w:p>
    <w:p>
      <w:pPr>
        <w:ind w:right="2659"/>
        <w:spacing w:after="0" w:line="248" w:lineRule="auto"/>
        <w:rPr>
          <w:sz w:val="20"/>
          <w:szCs w:val="20"/>
          <w:color w:val="auto"/>
        </w:rPr>
      </w:pPr>
      <w:r>
        <w:rPr>
          <w:rFonts w:ascii="Courier New" w:cs="Courier New" w:eastAsia="Courier New" w:hAnsi="Courier New"/>
          <w:sz w:val="16"/>
          <w:szCs w:val="16"/>
          <w:color w:val="auto"/>
        </w:rPr>
        <w:t>CONSOLIDATION IN THE BANKING INDUSTRY MAY ADVERSELY AFFECT OUR ABILITY TO SELL OUR ELECTRONIC COMMERCE SERVICES, INVESTMENT SERVICES AND SOFTWARE.</w:t>
      </w:r>
    </w:p>
    <w:p>
      <w:pPr>
        <w:spacing w:after="0" w:line="184" w:lineRule="exact"/>
        <w:rPr>
          <w:sz w:val="20"/>
          <w:szCs w:val="20"/>
          <w:color w:val="auto"/>
        </w:rPr>
      </w:pPr>
    </w:p>
    <w:p>
      <w:pPr>
        <w:ind w:right="2959" w:firstLine="872"/>
        <w:spacing w:after="0" w:line="247" w:lineRule="auto"/>
        <w:rPr>
          <w:sz w:val="20"/>
          <w:szCs w:val="20"/>
          <w:color w:val="auto"/>
        </w:rPr>
      </w:pPr>
      <w:r>
        <w:rPr>
          <w:rFonts w:ascii="Courier New" w:cs="Courier New" w:eastAsia="Courier New" w:hAnsi="Courier New"/>
          <w:sz w:val="16"/>
          <w:szCs w:val="16"/>
          <w:color w:val="auto"/>
        </w:rPr>
        <w:t>Mergers, acquisitions and personnel changes at key financial institutions have the potential adversely to affect our business, financial condition and results of operations. Currently, the banking industry is undergoing large-scale consolidation, causing the number of financial institutions to decline. This consolidation could cause us to lose:</w:t>
      </w:r>
    </w:p>
    <w:p>
      <w:pPr>
        <w:spacing w:after="0" w:line="185" w:lineRule="exact"/>
        <w:rPr>
          <w:sz w:val="20"/>
          <w:szCs w:val="20"/>
          <w:color w:val="auto"/>
        </w:rPr>
      </w:pPr>
    </w:p>
    <w:p>
      <w:pPr>
        <w:ind w:left="1060" w:hanging="189"/>
        <w:spacing w:after="0"/>
        <w:tabs>
          <w:tab w:leader="none" w:pos="1060"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current and potential customers;</w:t>
      </w:r>
    </w:p>
    <w:p>
      <w:pPr>
        <w:spacing w:after="0" w:line="191" w:lineRule="exact"/>
        <w:rPr>
          <w:rFonts w:ascii="Courier New" w:cs="Courier New" w:eastAsia="Courier New" w:hAnsi="Courier New"/>
          <w:sz w:val="16"/>
          <w:szCs w:val="16"/>
          <w:color w:val="auto"/>
        </w:rPr>
      </w:pPr>
    </w:p>
    <w:p>
      <w:pPr>
        <w:ind w:left="1060" w:right="2559" w:hanging="189"/>
        <w:spacing w:after="0" w:line="247" w:lineRule="auto"/>
        <w:tabs>
          <w:tab w:leader="none" w:pos="1060"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business opportunities, if combined financial institutions were to determine that it is more efficient to develop in-house home banking services similar to ours or offer our competitors' products or services; and</w:t>
      </w:r>
    </w:p>
    <w:p>
      <w:pPr>
        <w:spacing w:after="0" w:line="185" w:lineRule="exact"/>
        <w:rPr>
          <w:rFonts w:ascii="Courier New" w:cs="Courier New" w:eastAsia="Courier New" w:hAnsi="Courier New"/>
          <w:sz w:val="16"/>
          <w:szCs w:val="16"/>
          <w:color w:val="auto"/>
        </w:rPr>
      </w:pPr>
    </w:p>
    <w:p>
      <w:pPr>
        <w:ind w:left="1060" w:right="2559" w:hanging="189"/>
        <w:spacing w:after="0" w:line="247" w:lineRule="auto"/>
        <w:tabs>
          <w:tab w:leader="none" w:pos="1060"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revenue, if combined financial institutions were able to negotiate a greater volume discount for, or to discontinue the use of, our products and services.</w:t>
      </w:r>
    </w:p>
    <w:p>
      <w:pPr>
        <w:sectPr>
          <w:pgSz w:w="11900" w:h="16838" w:orient="portrait"/>
          <w:cols w:equalWidth="0" w:num="1">
            <w:col w:w="10219"/>
          </w:cols>
          <w:pgMar w:left="240" w:top="303" w:right="1440" w:bottom="0" w:gutter="0" w:footer="0" w:header="0"/>
        </w:sectPr>
      </w:pPr>
    </w:p>
    <w:bookmarkStart w:id="13" w:name="page14"/>
    <w:bookmarkEnd w:id="13"/>
    <w:p>
      <w:pPr>
        <w:ind w:left="2580"/>
        <w:spacing w:after="0"/>
        <w:rPr>
          <w:sz w:val="20"/>
          <w:szCs w:val="20"/>
          <w:color w:val="auto"/>
        </w:rPr>
      </w:pPr>
      <w:r>
        <w:rPr>
          <w:rFonts w:ascii="Courier New" w:cs="Courier New" w:eastAsia="Courier New" w:hAnsi="Courier New"/>
          <w:sz w:val="16"/>
          <w:szCs w:val="16"/>
          <w:color w:val="auto"/>
        </w:rPr>
        <w:t>10</w:t>
      </w:r>
    </w:p>
    <w:p>
      <w:pPr>
        <w:sectPr>
          <w:pgSz w:w="11900" w:h="16838" w:orient="portrait"/>
          <w:cols w:equalWidth="0" w:num="1">
            <w:col w:w="9019"/>
          </w:cols>
          <w:pgMar w:left="1440" w:top="328" w:right="1440" w:bottom="1440" w:gutter="0" w:footer="0" w:header="0"/>
        </w:sectPr>
      </w:pPr>
    </w:p>
    <w:bookmarkStart w:id="14" w:name="page15"/>
    <w:bookmarkEnd w:id="14"/>
    <w:p>
      <w:pPr>
        <w:ind w:left="300"/>
        <w:spacing w:after="0"/>
        <w:rPr>
          <w:sz w:val="20"/>
          <w:szCs w:val="20"/>
          <w:color w:val="auto"/>
        </w:rPr>
      </w:pPr>
      <w:r>
        <w:rPr>
          <w:rFonts w:ascii="Courier New" w:cs="Courier New" w:eastAsia="Courier New" w:hAnsi="Courier New"/>
          <w:sz w:val="16"/>
          <w:szCs w:val="16"/>
          <w:color w:val="auto"/>
        </w:rPr>
        <w:t>11</w:t>
      </w:r>
    </w:p>
    <w:p>
      <w:pPr>
        <w:spacing w:after="0" w:line="191" w:lineRule="exact"/>
        <w:rPr>
          <w:sz w:val="20"/>
          <w:szCs w:val="20"/>
          <w:color w:val="auto"/>
        </w:rPr>
      </w:pPr>
    </w:p>
    <w:p>
      <w:pPr>
        <w:ind w:right="2759"/>
        <w:spacing w:after="0" w:line="248" w:lineRule="auto"/>
        <w:rPr>
          <w:sz w:val="20"/>
          <w:szCs w:val="20"/>
          <w:color w:val="auto"/>
        </w:rPr>
      </w:pPr>
      <w:r>
        <w:rPr>
          <w:rFonts w:ascii="Courier New" w:cs="Courier New" w:eastAsia="Courier New" w:hAnsi="Courier New"/>
          <w:sz w:val="16"/>
          <w:szCs w:val="16"/>
          <w:color w:val="auto"/>
        </w:rPr>
        <w:t>WE ARE DEPENDENT UPON A SMALL NUMBER OF FINANCIAL INSTITUTION CUSTOMERS FOR A SIGNIFICANT PERCENTAGE OF OUR SUBSCRIBERS.</w:t>
      </w:r>
    </w:p>
    <w:p>
      <w:pPr>
        <w:spacing w:after="0" w:line="184" w:lineRule="exact"/>
        <w:rPr>
          <w:sz w:val="20"/>
          <w:szCs w:val="20"/>
          <w:color w:val="auto"/>
        </w:rPr>
      </w:pPr>
    </w:p>
    <w:p>
      <w:pPr>
        <w:ind w:right="2459" w:firstLine="872"/>
        <w:spacing w:after="0" w:line="246" w:lineRule="auto"/>
        <w:rPr>
          <w:sz w:val="20"/>
          <w:szCs w:val="20"/>
          <w:color w:val="auto"/>
        </w:rPr>
      </w:pPr>
      <w:r>
        <w:rPr>
          <w:rFonts w:ascii="Courier New" w:cs="Courier New" w:eastAsia="Courier New" w:hAnsi="Courier New"/>
          <w:sz w:val="16"/>
          <w:szCs w:val="16"/>
          <w:color w:val="auto"/>
        </w:rPr>
        <w:t>We rely on our contracts with three key financial institutions for a substantial portion of our subscriber base and the volume of electronic transactions that we process. As of December 31, 1999, these three financial institutions accounted for approximately 1.4 million subscribers, or approximately 47% of our total subscriber base. No single customer, however, accounts for more than 10% of our revenues. The loss of the contract with any of these key financial institutions or a significant decline in the number of transactions processed through them could have a material adverse effect on our business, financial condition and results of operations.</w:t>
      </w:r>
    </w:p>
    <w:p>
      <w:pPr>
        <w:spacing w:after="0" w:line="191" w:lineRule="exact"/>
        <w:rPr>
          <w:sz w:val="20"/>
          <w:szCs w:val="20"/>
          <w:color w:val="auto"/>
        </w:rPr>
      </w:pPr>
    </w:p>
    <w:p>
      <w:pPr>
        <w:ind w:right="3439"/>
        <w:spacing w:after="0" w:line="248" w:lineRule="auto"/>
        <w:rPr>
          <w:sz w:val="20"/>
          <w:szCs w:val="20"/>
          <w:color w:val="auto"/>
        </w:rPr>
      </w:pPr>
      <w:r>
        <w:rPr>
          <w:rFonts w:ascii="Courier New" w:cs="Courier New" w:eastAsia="Courier New" w:hAnsi="Courier New"/>
          <w:sz w:val="16"/>
          <w:szCs w:val="16"/>
          <w:color w:val="auto"/>
        </w:rPr>
        <w:t>IF WE DO NOT SUCCESSFULLY RENEW OR RENEGOTIATE OUR AGREEMENTS WITH OUR CUSTOMERS, OUR BUSINESS MAY SUFFER.</w:t>
      </w:r>
    </w:p>
    <w:p>
      <w:pPr>
        <w:spacing w:after="0" w:line="184" w:lineRule="exact"/>
        <w:rPr>
          <w:sz w:val="20"/>
          <w:szCs w:val="20"/>
          <w:color w:val="auto"/>
        </w:rPr>
      </w:pPr>
    </w:p>
    <w:p>
      <w:pPr>
        <w:ind w:right="2459" w:firstLine="872"/>
        <w:spacing w:after="0" w:line="247" w:lineRule="auto"/>
        <w:rPr>
          <w:sz w:val="20"/>
          <w:szCs w:val="20"/>
          <w:color w:val="auto"/>
        </w:rPr>
      </w:pPr>
      <w:r>
        <w:rPr>
          <w:rFonts w:ascii="Courier New" w:cs="Courier New" w:eastAsia="Courier New" w:hAnsi="Courier New"/>
          <w:sz w:val="16"/>
          <w:szCs w:val="16"/>
          <w:color w:val="auto"/>
        </w:rPr>
        <w:t>Our agreements for electronic commerce services with financial institutions generally provide for terms of three to five years. These agreements are renegotiated from time to time when financial institutions migrate from our PC-based platform to our web-based platform. If we are not able to renew or renegotiate these agreements on favorable terms, it could have a material adverse effect on our business, financial condition and results of operations.</w:t>
      </w:r>
    </w:p>
    <w:p>
      <w:pPr>
        <w:spacing w:after="0" w:line="185" w:lineRule="exact"/>
        <w:rPr>
          <w:sz w:val="20"/>
          <w:szCs w:val="20"/>
          <w:color w:val="auto"/>
        </w:rPr>
      </w:pPr>
    </w:p>
    <w:p>
      <w:pPr>
        <w:ind w:right="2759" w:firstLine="872"/>
        <w:spacing w:after="0" w:line="247" w:lineRule="auto"/>
        <w:rPr>
          <w:sz w:val="20"/>
          <w:szCs w:val="20"/>
          <w:color w:val="auto"/>
        </w:rPr>
      </w:pPr>
      <w:r>
        <w:rPr>
          <w:rFonts w:ascii="Courier New" w:cs="Courier New" w:eastAsia="Courier New" w:hAnsi="Courier New"/>
          <w:sz w:val="16"/>
          <w:szCs w:val="16"/>
          <w:color w:val="auto"/>
        </w:rPr>
        <w:t>The profitability of our Software business depends, to a substantial degree, upon our software customers electing to periodically renew their maintenance agreements. If a substantial number of our software customers declined to renew these agreements, our revenues and profits in this business segment would be materially adversely affected.</w:t>
      </w:r>
    </w:p>
    <w:p>
      <w:pPr>
        <w:spacing w:after="0" w:line="185" w:lineRule="exact"/>
        <w:rPr>
          <w:sz w:val="20"/>
          <w:szCs w:val="20"/>
          <w:color w:val="auto"/>
        </w:rPr>
      </w:pPr>
    </w:p>
    <w:p>
      <w:pPr>
        <w:ind w:right="3639"/>
        <w:spacing w:after="0" w:line="248" w:lineRule="auto"/>
        <w:rPr>
          <w:sz w:val="20"/>
          <w:szCs w:val="20"/>
          <w:color w:val="auto"/>
        </w:rPr>
      </w:pPr>
      <w:r>
        <w:rPr>
          <w:rFonts w:ascii="Courier New" w:cs="Courier New" w:eastAsia="Courier New" w:hAnsi="Courier New"/>
          <w:sz w:val="16"/>
          <w:szCs w:val="16"/>
          <w:color w:val="auto"/>
        </w:rPr>
        <w:t>OUR FUTURE PROFITABILITY DEPENDS ON AN INCREASE IN THE PROPORTION OF TRANSACTIONS WE PROCESS ELECTRONICALLY.</w:t>
      </w:r>
    </w:p>
    <w:p>
      <w:pPr>
        <w:spacing w:after="0" w:line="184" w:lineRule="exact"/>
        <w:rPr>
          <w:sz w:val="20"/>
          <w:szCs w:val="20"/>
          <w:color w:val="auto"/>
        </w:rPr>
      </w:pPr>
    </w:p>
    <w:p>
      <w:pPr>
        <w:ind w:right="2459" w:firstLine="872"/>
        <w:spacing w:after="0" w:line="246" w:lineRule="auto"/>
        <w:rPr>
          <w:sz w:val="20"/>
          <w:szCs w:val="20"/>
          <w:color w:val="auto"/>
        </w:rPr>
      </w:pPr>
      <w:r>
        <w:rPr>
          <w:rFonts w:ascii="Courier New" w:cs="Courier New" w:eastAsia="Courier New" w:hAnsi="Courier New"/>
          <w:sz w:val="16"/>
          <w:szCs w:val="16"/>
          <w:color w:val="auto"/>
        </w:rPr>
        <w:t>If we are unable to increase the percentage of transactions that we process electronically, our margins could decrease, which could have a material adverse effect on our business, financial condition and results of operations. We processed electronically 45% of our transactions for the year ended June 30, 1999 and 52% of the transactions for the six months ended December 31, 1999. Our future profitability will depend, in part, on our ability to increase the percentage of transactions we process electronically. Compared with conventional paper-based transactions, electronic transactions:</w:t>
      </w:r>
    </w:p>
    <w:p>
      <w:pPr>
        <w:spacing w:after="0" w:line="191" w:lineRule="exact"/>
        <w:rPr>
          <w:sz w:val="20"/>
          <w:szCs w:val="20"/>
          <w:color w:val="auto"/>
        </w:rPr>
      </w:pPr>
    </w:p>
    <w:p>
      <w:pPr>
        <w:ind w:left="1060" w:hanging="189"/>
        <w:spacing w:after="0"/>
        <w:tabs>
          <w:tab w:leader="none" w:pos="1060" w:val="left"/>
        </w:tabs>
        <w:numPr>
          <w:ilvl w:val="0"/>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cost much less to complete;</w:t>
      </w:r>
    </w:p>
    <w:p>
      <w:pPr>
        <w:spacing w:after="0" w:line="191" w:lineRule="exact"/>
        <w:rPr>
          <w:rFonts w:ascii="Courier New" w:cs="Courier New" w:eastAsia="Courier New" w:hAnsi="Courier New"/>
          <w:sz w:val="16"/>
          <w:szCs w:val="16"/>
          <w:color w:val="auto"/>
        </w:rPr>
      </w:pPr>
    </w:p>
    <w:p>
      <w:pPr>
        <w:ind w:left="1060" w:hanging="189"/>
        <w:spacing w:after="0"/>
        <w:tabs>
          <w:tab w:leader="none" w:pos="1060" w:val="left"/>
        </w:tabs>
        <w:numPr>
          <w:ilvl w:val="0"/>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give rise to far fewer errors, which are costly to resolve; and</w:t>
      </w:r>
    </w:p>
    <w:p>
      <w:pPr>
        <w:spacing w:after="0" w:line="191" w:lineRule="exact"/>
        <w:rPr>
          <w:rFonts w:ascii="Courier New" w:cs="Courier New" w:eastAsia="Courier New" w:hAnsi="Courier New"/>
          <w:sz w:val="16"/>
          <w:szCs w:val="16"/>
          <w:color w:val="auto"/>
        </w:rPr>
      </w:pPr>
    </w:p>
    <w:p>
      <w:pPr>
        <w:ind w:left="1060" w:right="2659" w:hanging="189"/>
        <w:spacing w:after="0" w:line="248" w:lineRule="auto"/>
        <w:tabs>
          <w:tab w:leader="none" w:pos="1060" w:val="left"/>
        </w:tabs>
        <w:numPr>
          <w:ilvl w:val="0"/>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generate far fewer subscriber inquiries and, therefore, consume far fewer customer care resources.</w:t>
      </w:r>
    </w:p>
    <w:p>
      <w:pPr>
        <w:spacing w:after="0" w:line="18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THE TRANSACTIONS WE PROCESS EXPOSE US TO CREDIT RISKS.</w:t>
      </w:r>
    </w:p>
    <w:p>
      <w:pPr>
        <w:spacing w:after="0" w:line="191" w:lineRule="exact"/>
        <w:rPr>
          <w:sz w:val="20"/>
          <w:szCs w:val="20"/>
          <w:color w:val="auto"/>
        </w:rPr>
      </w:pPr>
    </w:p>
    <w:p>
      <w:pPr>
        <w:ind w:right="2859" w:firstLine="872"/>
        <w:spacing w:after="0" w:line="247" w:lineRule="auto"/>
        <w:rPr>
          <w:sz w:val="20"/>
          <w:szCs w:val="20"/>
          <w:color w:val="auto"/>
        </w:rPr>
      </w:pPr>
      <w:r>
        <w:rPr>
          <w:rFonts w:ascii="Courier New" w:cs="Courier New" w:eastAsia="Courier New" w:hAnsi="Courier New"/>
          <w:sz w:val="16"/>
          <w:szCs w:val="16"/>
          <w:color w:val="auto"/>
        </w:rPr>
        <w:t>Any losses resulting from returned transactions, merchant fraud or erroneous transmissions could result in liability to financial institutions, merchants or subscribers, which could have a material adverse effect on our business, financial condition and results of operations. The electronic and conventional paper-based transactions we process expose us to credit risks. These include risks arising from returned transactions caused by:</w:t>
      </w:r>
    </w:p>
    <w:p>
      <w:pPr>
        <w:spacing w:after="0" w:line="185" w:lineRule="exact"/>
        <w:rPr>
          <w:sz w:val="20"/>
          <w:szCs w:val="20"/>
          <w:color w:val="auto"/>
        </w:rPr>
      </w:pPr>
    </w:p>
    <w:tbl>
      <w:tblPr>
        <w:tblLayout w:type="fixed"/>
        <w:tblInd w:w="880" w:type="dxa"/>
        <w:tblCellMar>
          <w:top w:w="0" w:type="dxa"/>
          <w:left w:w="0" w:type="dxa"/>
          <w:bottom w:w="0" w:type="dxa"/>
          <w:right w:w="0" w:type="dxa"/>
        </w:tblCellMar>
      </w:tblPr>
      <w:tr>
        <w:trPr>
          <w:trHeight w:val="183"/>
        </w:trPr>
        <w:tc>
          <w:tcPr>
            <w:tcW w:w="1400" w:type="dxa"/>
            <w:vAlign w:val="bottom"/>
          </w:tcPr>
          <w:p>
            <w:pPr>
              <w:spacing w:after="0"/>
              <w:rPr>
                <w:sz w:val="20"/>
                <w:szCs w:val="20"/>
                <w:color w:val="auto"/>
              </w:rPr>
            </w:pPr>
            <w:r>
              <w:rPr>
                <w:rFonts w:ascii="Courier New" w:cs="Courier New" w:eastAsia="Courier New" w:hAnsi="Courier New"/>
                <w:sz w:val="16"/>
                <w:szCs w:val="16"/>
                <w:color w:val="auto"/>
              </w:rPr>
              <w:t>- insufficient</w:t>
            </w:r>
          </w:p>
        </w:tc>
        <w:tc>
          <w:tcPr>
            <w:tcW w:w="1120" w:type="dxa"/>
            <w:vAlign w:val="bottom"/>
          </w:tcPr>
          <w:p>
            <w:pPr>
              <w:ind w:left="40"/>
              <w:spacing w:after="0"/>
              <w:rPr>
                <w:sz w:val="20"/>
                <w:szCs w:val="20"/>
                <w:color w:val="auto"/>
              </w:rPr>
            </w:pPr>
            <w:r>
              <w:rPr>
                <w:rFonts w:ascii="Courier New" w:cs="Courier New" w:eastAsia="Courier New" w:hAnsi="Courier New"/>
                <w:sz w:val="16"/>
                <w:szCs w:val="16"/>
                <w:color w:val="auto"/>
              </w:rPr>
              <w:t>funds;</w:t>
            </w:r>
          </w:p>
        </w:tc>
        <w:tc>
          <w:tcPr>
            <w:tcW w:w="2520" w:type="dxa"/>
            <w:vAlign w:val="bottom"/>
          </w:tcPr>
          <w:p>
            <w:pPr>
              <w:ind w:left="380"/>
              <w:spacing w:after="0"/>
              <w:rPr>
                <w:sz w:val="20"/>
                <w:szCs w:val="20"/>
                <w:color w:val="auto"/>
              </w:rPr>
            </w:pPr>
            <w:r>
              <w:rPr>
                <w:rFonts w:ascii="Courier New" w:cs="Courier New" w:eastAsia="Courier New" w:hAnsi="Courier New"/>
                <w:sz w:val="16"/>
                <w:szCs w:val="16"/>
                <w:color w:val="auto"/>
              </w:rPr>
              <w:t>- closed accounts;</w:t>
            </w:r>
          </w:p>
        </w:tc>
      </w:tr>
      <w:tr>
        <w:trPr>
          <w:trHeight w:val="373"/>
        </w:trPr>
        <w:tc>
          <w:tcPr>
            <w:tcW w:w="1400" w:type="dxa"/>
            <w:vAlign w:val="bottom"/>
          </w:tcPr>
          <w:p>
            <w:pPr>
              <w:spacing w:after="0"/>
              <w:rPr>
                <w:sz w:val="20"/>
                <w:szCs w:val="20"/>
                <w:color w:val="auto"/>
              </w:rPr>
            </w:pPr>
            <w:r>
              <w:rPr>
                <w:rFonts w:ascii="Courier New" w:cs="Courier New" w:eastAsia="Courier New" w:hAnsi="Courier New"/>
                <w:sz w:val="16"/>
                <w:szCs w:val="16"/>
                <w:color w:val="auto"/>
              </w:rPr>
              <w:t>- unauthorized</w:t>
            </w:r>
          </w:p>
        </w:tc>
        <w:tc>
          <w:tcPr>
            <w:tcW w:w="1120" w:type="dxa"/>
            <w:vAlign w:val="bottom"/>
          </w:tcPr>
          <w:p>
            <w:pPr>
              <w:ind w:left="40"/>
              <w:spacing w:after="0"/>
              <w:rPr>
                <w:sz w:val="20"/>
                <w:szCs w:val="20"/>
                <w:color w:val="auto"/>
              </w:rPr>
            </w:pPr>
            <w:r>
              <w:rPr>
                <w:rFonts w:ascii="Courier New" w:cs="Courier New" w:eastAsia="Courier New" w:hAnsi="Courier New"/>
                <w:sz w:val="16"/>
                <w:szCs w:val="16"/>
                <w:color w:val="auto"/>
              </w:rPr>
              <w:t>use;</w:t>
            </w:r>
          </w:p>
        </w:tc>
        <w:tc>
          <w:tcPr>
            <w:tcW w:w="2520" w:type="dxa"/>
            <w:vAlign w:val="bottom"/>
          </w:tcPr>
          <w:p>
            <w:pPr>
              <w:ind w:left="380"/>
              <w:spacing w:after="0"/>
              <w:rPr>
                <w:sz w:val="20"/>
                <w:szCs w:val="20"/>
                <w:color w:val="auto"/>
              </w:rPr>
            </w:pPr>
            <w:r>
              <w:rPr>
                <w:rFonts w:ascii="Courier New" w:cs="Courier New" w:eastAsia="Courier New" w:hAnsi="Courier New"/>
                <w:sz w:val="16"/>
                <w:szCs w:val="16"/>
                <w:color w:val="auto"/>
              </w:rPr>
              <w:t>- theft;</w:t>
            </w:r>
          </w:p>
        </w:tc>
      </w:tr>
      <w:tr>
        <w:trPr>
          <w:trHeight w:val="373"/>
        </w:trPr>
        <w:tc>
          <w:tcPr>
            <w:tcW w:w="1400" w:type="dxa"/>
            <w:vAlign w:val="bottom"/>
          </w:tcPr>
          <w:p>
            <w:pPr>
              <w:spacing w:after="0"/>
              <w:rPr>
                <w:sz w:val="20"/>
                <w:szCs w:val="20"/>
                <w:color w:val="auto"/>
              </w:rPr>
            </w:pPr>
            <w:r>
              <w:rPr>
                <w:rFonts w:ascii="Courier New" w:cs="Courier New" w:eastAsia="Courier New" w:hAnsi="Courier New"/>
                <w:sz w:val="16"/>
                <w:szCs w:val="16"/>
                <w:color w:val="auto"/>
              </w:rPr>
              <w:t>- stop payment</w:t>
            </w:r>
          </w:p>
        </w:tc>
        <w:tc>
          <w:tcPr>
            <w:tcW w:w="1120" w:type="dxa"/>
            <w:vAlign w:val="bottom"/>
          </w:tcPr>
          <w:p>
            <w:pPr>
              <w:ind w:left="40"/>
              <w:spacing w:after="0"/>
              <w:rPr>
                <w:sz w:val="20"/>
                <w:szCs w:val="20"/>
                <w:color w:val="auto"/>
              </w:rPr>
            </w:pPr>
            <w:r>
              <w:rPr>
                <w:rFonts w:ascii="Courier New" w:cs="Courier New" w:eastAsia="Courier New" w:hAnsi="Courier New"/>
                <w:sz w:val="16"/>
                <w:szCs w:val="16"/>
                <w:color w:val="auto"/>
              </w:rPr>
              <w:t>orders;</w:t>
            </w:r>
          </w:p>
        </w:tc>
        <w:tc>
          <w:tcPr>
            <w:tcW w:w="2520" w:type="dxa"/>
            <w:vAlign w:val="bottom"/>
          </w:tcPr>
          <w:p>
            <w:pPr>
              <w:ind w:left="380"/>
              <w:spacing w:after="0"/>
              <w:rPr>
                <w:sz w:val="20"/>
                <w:szCs w:val="20"/>
                <w:color w:val="auto"/>
              </w:rPr>
            </w:pPr>
            <w:r>
              <w:rPr>
                <w:rFonts w:ascii="Courier New" w:cs="Courier New" w:eastAsia="Courier New" w:hAnsi="Courier New"/>
                <w:sz w:val="16"/>
                <w:szCs w:val="16"/>
                <w:color w:val="auto"/>
              </w:rPr>
              <w:t>- frozen accounts; and</w:t>
            </w:r>
          </w:p>
        </w:tc>
      </w:tr>
      <w:tr>
        <w:trPr>
          <w:trHeight w:val="373"/>
        </w:trPr>
        <w:tc>
          <w:tcPr>
            <w:tcW w:w="2520" w:type="dxa"/>
            <w:vAlign w:val="bottom"/>
            <w:gridSpan w:val="2"/>
          </w:tcPr>
          <w:p>
            <w:pPr>
              <w:spacing w:after="0"/>
              <w:rPr>
                <w:sz w:val="20"/>
                <w:szCs w:val="20"/>
                <w:color w:val="auto"/>
              </w:rPr>
            </w:pPr>
            <w:r>
              <w:rPr>
                <w:rFonts w:ascii="Courier New" w:cs="Courier New" w:eastAsia="Courier New" w:hAnsi="Courier New"/>
                <w:sz w:val="16"/>
                <w:szCs w:val="16"/>
                <w:color w:val="auto"/>
              </w:rPr>
              <w:t>- payment disputes;</w:t>
            </w:r>
          </w:p>
        </w:tc>
        <w:tc>
          <w:tcPr>
            <w:tcW w:w="2520" w:type="dxa"/>
            <w:vAlign w:val="bottom"/>
          </w:tcPr>
          <w:p>
            <w:pPr>
              <w:ind w:left="380"/>
              <w:spacing w:after="0"/>
              <w:rPr>
                <w:sz w:val="20"/>
                <w:szCs w:val="20"/>
                <w:color w:val="auto"/>
              </w:rPr>
            </w:pPr>
            <w:r>
              <w:rPr>
                <w:rFonts w:ascii="Courier New" w:cs="Courier New" w:eastAsia="Courier New" w:hAnsi="Courier New"/>
                <w:sz w:val="16"/>
                <w:szCs w:val="16"/>
                <w:color w:val="auto"/>
              </w:rPr>
              <w:t>- fraud</w:t>
            </w:r>
          </w:p>
        </w:tc>
      </w:tr>
    </w:tbl>
    <w:p>
      <w:pPr>
        <w:spacing w:after="0" w:line="190" w:lineRule="exact"/>
        <w:rPr>
          <w:sz w:val="20"/>
          <w:szCs w:val="20"/>
          <w:color w:val="auto"/>
        </w:rPr>
      </w:pPr>
    </w:p>
    <w:p>
      <w:pPr>
        <w:ind w:right="2759" w:firstLine="872"/>
        <w:spacing w:after="0" w:line="248" w:lineRule="auto"/>
        <w:rPr>
          <w:sz w:val="20"/>
          <w:szCs w:val="20"/>
          <w:color w:val="auto"/>
        </w:rPr>
      </w:pPr>
      <w:r>
        <w:rPr>
          <w:rFonts w:ascii="Courier New" w:cs="Courier New" w:eastAsia="Courier New" w:hAnsi="Courier New"/>
          <w:sz w:val="16"/>
          <w:szCs w:val="16"/>
          <w:color w:val="auto"/>
        </w:rPr>
        <w:t>We are also exposed to credit risk from merchant fraud and erroneous transmissions.</w:t>
      </w:r>
    </w:p>
    <w:p>
      <w:pPr>
        <w:spacing w:after="0" w:line="184" w:lineRule="exact"/>
        <w:rPr>
          <w:sz w:val="20"/>
          <w:szCs w:val="20"/>
          <w:color w:val="auto"/>
        </w:rPr>
      </w:pPr>
    </w:p>
    <w:p>
      <w:pPr>
        <w:ind w:right="2559"/>
        <w:spacing w:after="0" w:line="248" w:lineRule="auto"/>
        <w:rPr>
          <w:sz w:val="20"/>
          <w:szCs w:val="20"/>
          <w:color w:val="auto"/>
        </w:rPr>
      </w:pPr>
      <w:r>
        <w:rPr>
          <w:rFonts w:ascii="Courier New" w:cs="Courier New" w:eastAsia="Courier New" w:hAnsi="Courier New"/>
          <w:sz w:val="16"/>
          <w:szCs w:val="16"/>
          <w:color w:val="auto"/>
        </w:rPr>
        <w:t>WE MAY EXPERIENCE BREAKDOWNS IN OUR PAYMENT PROCESSING SYSTEM THAT COULD DAMAGE CUSTOMER RELATIONS AND EXPOSE US TO LIABILITY.</w:t>
      </w:r>
    </w:p>
    <w:p>
      <w:pPr>
        <w:spacing w:after="0" w:line="184" w:lineRule="exact"/>
        <w:rPr>
          <w:sz w:val="20"/>
          <w:szCs w:val="20"/>
          <w:color w:val="auto"/>
        </w:rPr>
      </w:pPr>
    </w:p>
    <w:p>
      <w:pPr>
        <w:ind w:right="2759" w:firstLine="872"/>
        <w:spacing w:after="0" w:line="247" w:lineRule="auto"/>
        <w:rPr>
          <w:sz w:val="20"/>
          <w:szCs w:val="20"/>
          <w:color w:val="auto"/>
        </w:rPr>
      </w:pPr>
      <w:r>
        <w:rPr>
          <w:rFonts w:ascii="Courier New" w:cs="Courier New" w:eastAsia="Courier New" w:hAnsi="Courier New"/>
          <w:sz w:val="16"/>
          <w:szCs w:val="16"/>
          <w:color w:val="auto"/>
        </w:rPr>
        <w:t>A system outage or data loss could have a material adverse effect on our business, financial condition and results of operations. To successfully operate our business, we must be able to protect our payment processing and other</w:t>
      </w:r>
    </w:p>
    <w:p>
      <w:pPr>
        <w:sectPr>
          <w:pgSz w:w="11900" w:h="16838" w:orient="portrait"/>
          <w:cols w:equalWidth="0" w:num="1">
            <w:col w:w="10219"/>
          </w:cols>
          <w:pgMar w:left="240" w:top="303" w:right="1440" w:bottom="881" w:gutter="0" w:footer="0" w:header="0"/>
        </w:sectPr>
      </w:pPr>
    </w:p>
    <w:p>
      <w:pPr>
        <w:spacing w:after="0" w:line="372"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11</w:t>
      </w:r>
    </w:p>
    <w:p>
      <w:pPr>
        <w:sectPr>
          <w:pgSz w:w="11900" w:h="16838" w:orient="portrait"/>
          <w:cols w:equalWidth="0" w:num="1">
            <w:col w:w="10219"/>
          </w:cols>
          <w:pgMar w:left="240" w:top="303" w:right="1440" w:bottom="881" w:gutter="0" w:footer="0" w:header="0"/>
          <w:type w:val="continuous"/>
        </w:sectPr>
      </w:pPr>
    </w:p>
    <w:bookmarkStart w:id="15" w:name="page16"/>
    <w:bookmarkEnd w:id="15"/>
    <w:p>
      <w:pPr>
        <w:ind w:left="300"/>
        <w:spacing w:after="0"/>
        <w:rPr>
          <w:sz w:val="20"/>
          <w:szCs w:val="20"/>
          <w:color w:val="auto"/>
        </w:rPr>
      </w:pPr>
      <w:r>
        <w:rPr>
          <w:rFonts w:ascii="Courier New" w:cs="Courier New" w:eastAsia="Courier New" w:hAnsi="Courier New"/>
          <w:sz w:val="16"/>
          <w:szCs w:val="16"/>
          <w:color w:val="auto"/>
        </w:rPr>
        <w:t>12</w:t>
      </w:r>
    </w:p>
    <w:p>
      <w:pPr>
        <w:spacing w:after="0" w:line="191" w:lineRule="exact"/>
        <w:rPr>
          <w:sz w:val="20"/>
          <w:szCs w:val="20"/>
          <w:color w:val="auto"/>
        </w:rPr>
      </w:pPr>
    </w:p>
    <w:p>
      <w:pPr>
        <w:ind w:right="2659"/>
        <w:spacing w:after="0" w:line="247" w:lineRule="auto"/>
        <w:rPr>
          <w:sz w:val="20"/>
          <w:szCs w:val="20"/>
          <w:color w:val="auto"/>
        </w:rPr>
      </w:pPr>
      <w:r>
        <w:rPr>
          <w:rFonts w:ascii="Courier New" w:cs="Courier New" w:eastAsia="Courier New" w:hAnsi="Courier New"/>
          <w:sz w:val="16"/>
          <w:szCs w:val="16"/>
          <w:color w:val="auto"/>
        </w:rPr>
        <w:t>systems from interruption by events that are beyond our control. For example, our system may be subject to disruption of service interruptions caused by hostile third parties similar to those experienced by many companies operating Internet websites during February 2000 or other instances of deliberate system sabotage. Other events that could cause system interruptions include</w:t>
      </w:r>
    </w:p>
    <w:p>
      <w:pPr>
        <w:spacing w:after="0" w:line="185" w:lineRule="exact"/>
        <w:rPr>
          <w:sz w:val="20"/>
          <w:szCs w:val="20"/>
          <w:color w:val="auto"/>
        </w:rPr>
      </w:pPr>
    </w:p>
    <w:p>
      <w:pPr>
        <w:ind w:left="880"/>
        <w:spacing w:after="0"/>
        <w:tabs>
          <w:tab w:leader="none" w:pos="3760" w:val="left"/>
        </w:tabs>
        <w:rPr>
          <w:sz w:val="20"/>
          <w:szCs w:val="20"/>
          <w:color w:val="auto"/>
        </w:rPr>
      </w:pPr>
      <w:r>
        <w:rPr>
          <w:rFonts w:ascii="Courier New" w:cs="Courier New" w:eastAsia="Courier New" w:hAnsi="Courier New"/>
          <w:sz w:val="16"/>
          <w:szCs w:val="16"/>
          <w:color w:val="auto"/>
        </w:rPr>
        <w:t>- fire;</w:t>
      </w:r>
      <w:r>
        <w:rPr>
          <w:sz w:val="20"/>
          <w:szCs w:val="20"/>
          <w:color w:val="auto"/>
        </w:rPr>
        <w:tab/>
      </w:r>
      <w:r>
        <w:rPr>
          <w:rFonts w:ascii="Courier New" w:cs="Courier New" w:eastAsia="Courier New" w:hAnsi="Courier New"/>
          <w:sz w:val="16"/>
          <w:szCs w:val="16"/>
          <w:color w:val="auto"/>
        </w:rPr>
        <w:t>- telecommunications failure;</w:t>
      </w:r>
    </w:p>
    <w:p>
      <w:pPr>
        <w:spacing w:after="0" w:line="191" w:lineRule="exact"/>
        <w:rPr>
          <w:sz w:val="20"/>
          <w:szCs w:val="20"/>
          <w:color w:val="auto"/>
        </w:rPr>
      </w:pPr>
    </w:p>
    <w:p>
      <w:pPr>
        <w:ind w:left="880"/>
        <w:spacing w:after="0"/>
        <w:tabs>
          <w:tab w:leader="none" w:pos="3760" w:val="left"/>
        </w:tabs>
        <w:rPr>
          <w:sz w:val="20"/>
          <w:szCs w:val="20"/>
          <w:color w:val="auto"/>
        </w:rPr>
      </w:pPr>
      <w:r>
        <w:rPr>
          <w:rFonts w:ascii="Courier New" w:cs="Courier New" w:eastAsia="Courier New" w:hAnsi="Courier New"/>
          <w:sz w:val="16"/>
          <w:szCs w:val="16"/>
          <w:color w:val="auto"/>
        </w:rPr>
        <w:t>- natural disaster;</w:t>
      </w:r>
      <w:r>
        <w:rPr>
          <w:sz w:val="20"/>
          <w:szCs w:val="20"/>
          <w:color w:val="auto"/>
        </w:rPr>
        <w:tab/>
      </w:r>
      <w:r>
        <w:rPr>
          <w:rFonts w:ascii="Courier New" w:cs="Courier New" w:eastAsia="Courier New" w:hAnsi="Courier New"/>
          <w:sz w:val="16"/>
          <w:szCs w:val="16"/>
          <w:color w:val="auto"/>
        </w:rPr>
        <w:t>- unauthorized entry; and</w:t>
      </w:r>
    </w:p>
    <w:p>
      <w:pPr>
        <w:spacing w:after="0" w:line="191" w:lineRule="exact"/>
        <w:rPr>
          <w:sz w:val="20"/>
          <w:szCs w:val="20"/>
          <w:color w:val="auto"/>
        </w:rPr>
      </w:pPr>
    </w:p>
    <w:p>
      <w:pPr>
        <w:ind w:left="880"/>
        <w:spacing w:after="0"/>
        <w:tabs>
          <w:tab w:leader="none" w:pos="3760" w:val="left"/>
        </w:tabs>
        <w:rPr>
          <w:sz w:val="20"/>
          <w:szCs w:val="20"/>
          <w:color w:val="auto"/>
        </w:rPr>
      </w:pPr>
      <w:r>
        <w:rPr>
          <w:rFonts w:ascii="Courier New" w:cs="Courier New" w:eastAsia="Courier New" w:hAnsi="Courier New"/>
          <w:sz w:val="16"/>
          <w:szCs w:val="16"/>
          <w:color w:val="auto"/>
        </w:rPr>
        <w:t>- power loss;</w:t>
      </w:r>
      <w:r>
        <w:rPr>
          <w:sz w:val="20"/>
          <w:szCs w:val="20"/>
          <w:color w:val="auto"/>
        </w:rPr>
        <w:tab/>
      </w:r>
      <w:r>
        <w:rPr>
          <w:rFonts w:ascii="Courier New" w:cs="Courier New" w:eastAsia="Courier New" w:hAnsi="Courier New"/>
          <w:sz w:val="16"/>
          <w:szCs w:val="16"/>
          <w:color w:val="auto"/>
        </w:rPr>
        <w:t>- computer viruses</w:t>
      </w:r>
    </w:p>
    <w:p>
      <w:pPr>
        <w:spacing w:after="0" w:line="191" w:lineRule="exact"/>
        <w:rPr>
          <w:sz w:val="20"/>
          <w:szCs w:val="20"/>
          <w:color w:val="auto"/>
        </w:rPr>
      </w:pPr>
    </w:p>
    <w:p>
      <w:pPr>
        <w:ind w:right="2459" w:firstLine="872"/>
        <w:spacing w:after="0" w:line="247" w:lineRule="auto"/>
        <w:rPr>
          <w:sz w:val="20"/>
          <w:szCs w:val="20"/>
          <w:color w:val="auto"/>
        </w:rPr>
      </w:pPr>
      <w:r>
        <w:rPr>
          <w:rFonts w:ascii="Courier New" w:cs="Courier New" w:eastAsia="Courier New" w:hAnsi="Courier New"/>
          <w:sz w:val="16"/>
          <w:szCs w:val="16"/>
          <w:color w:val="auto"/>
        </w:rPr>
        <w:t>For the fiscal year ended June 30, 1999, we incurred a charge of $2.7 million due to problems accessing and using our system. Without the charge, our loss from operations in our electronic commerce segment would have been $2.8 million compared to the actual $5.5 million we lost. These problems stemmed from system errors we experienced in April 1999 due to system degradation issues in connection with the migration of subscribers to our Genesis platform.</w:t>
      </w:r>
    </w:p>
    <w:p>
      <w:pPr>
        <w:spacing w:after="0" w:line="185" w:lineRule="exact"/>
        <w:rPr>
          <w:sz w:val="20"/>
          <w:szCs w:val="20"/>
          <w:color w:val="auto"/>
        </w:rPr>
      </w:pPr>
    </w:p>
    <w:p>
      <w:pPr>
        <w:ind w:right="2459" w:firstLine="872"/>
        <w:spacing w:after="0" w:line="246" w:lineRule="auto"/>
        <w:rPr>
          <w:sz w:val="20"/>
          <w:szCs w:val="20"/>
          <w:color w:val="auto"/>
        </w:rPr>
      </w:pPr>
      <w:r>
        <w:rPr>
          <w:rFonts w:ascii="Courier New" w:cs="Courier New" w:eastAsia="Courier New" w:hAnsi="Courier New"/>
          <w:sz w:val="16"/>
          <w:szCs w:val="16"/>
          <w:color w:val="auto"/>
        </w:rPr>
        <w:t>Although we completed the initial migration of some of our subscribers from our pre-existing data processing platforms to a new system that we call the Genesis platform, we will continue to migrate subscribers from non-Genesis platforms to the Genesis platform at the request of our other customers. Our main processing facility is located in Norcross, Georgia, and we have other processing facilities located in Ohio, Illinois and Texas. During the transition from the pre-existing platforms to the Genesis platform, we may be exposed to loss of data or unavailability of systems due to inadequate back-ups, reduced or eliminated redundancy, or both. Although we regularly back-up our data logs hourly and our overall system daily, as well as take other measures to protect against data loss and system failures, there is still some risk that we may lose critical data or experience system failures. As a precautionary measure, we have entered into disaster recovery agreements for the processing systems at all our sites, and we conduct business resumption tests on a scheduled basis. Our property and business interruption insurance may not be adequate to compensate us for all losses or failures that may occur.</w:t>
      </w:r>
    </w:p>
    <w:p>
      <w:pPr>
        <w:spacing w:after="0" w:line="195" w:lineRule="exact"/>
        <w:rPr>
          <w:sz w:val="20"/>
          <w:szCs w:val="20"/>
          <w:color w:val="auto"/>
        </w:rPr>
      </w:pPr>
    </w:p>
    <w:p>
      <w:pPr>
        <w:ind w:right="2559"/>
        <w:spacing w:after="0" w:line="248" w:lineRule="auto"/>
        <w:rPr>
          <w:sz w:val="20"/>
          <w:szCs w:val="20"/>
          <w:color w:val="auto"/>
        </w:rPr>
      </w:pPr>
      <w:r>
        <w:rPr>
          <w:rFonts w:ascii="Courier New" w:cs="Courier New" w:eastAsia="Courier New" w:hAnsi="Courier New"/>
          <w:sz w:val="16"/>
          <w:szCs w:val="16"/>
          <w:color w:val="auto"/>
        </w:rPr>
        <w:t>WE MAY EXPERIENCE SOFTWARE DEFECTS AND DEVELOPMENT DELAYS, DAMAGING CUSTOMER RELATIONS, DECREASING OUR POTENTIAL PROFITABILITY AND EXPOSING US TO LIABILITY.</w:t>
      </w:r>
    </w:p>
    <w:p>
      <w:pPr>
        <w:spacing w:after="0" w:line="184" w:lineRule="exact"/>
        <w:rPr>
          <w:sz w:val="20"/>
          <w:szCs w:val="20"/>
          <w:color w:val="auto"/>
        </w:rPr>
      </w:pPr>
    </w:p>
    <w:p>
      <w:pPr>
        <w:ind w:right="2459" w:firstLine="872"/>
        <w:spacing w:after="0" w:line="247" w:lineRule="auto"/>
        <w:rPr>
          <w:sz w:val="20"/>
          <w:szCs w:val="20"/>
          <w:color w:val="auto"/>
        </w:rPr>
      </w:pPr>
      <w:r>
        <w:rPr>
          <w:rFonts w:ascii="Courier New" w:cs="Courier New" w:eastAsia="Courier New" w:hAnsi="Courier New"/>
          <w:sz w:val="16"/>
          <w:szCs w:val="16"/>
          <w:color w:val="auto"/>
        </w:rPr>
        <w:t>Our electronic commerce services and our software products are based on sophisticated software and computing systems which often encounter development delays, and the underlying software may contain undetected errors or defects. Defects in our software products and errors or delays in our processing of electronic transactions could result in:</w:t>
      </w:r>
    </w:p>
    <w:p>
      <w:pPr>
        <w:spacing w:after="0" w:line="185" w:lineRule="exact"/>
        <w:rPr>
          <w:sz w:val="20"/>
          <w:szCs w:val="20"/>
          <w:color w:val="auto"/>
        </w:rPr>
      </w:pPr>
    </w:p>
    <w:p>
      <w:pPr>
        <w:ind w:left="1060" w:hanging="189"/>
        <w:spacing w:after="0"/>
        <w:tabs>
          <w:tab w:leader="none" w:pos="1060" w:val="left"/>
        </w:tabs>
        <w:numPr>
          <w:ilvl w:val="0"/>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additional development costs;</w:t>
      </w:r>
    </w:p>
    <w:p>
      <w:pPr>
        <w:spacing w:after="0" w:line="191" w:lineRule="exact"/>
        <w:rPr>
          <w:rFonts w:ascii="Courier New" w:cs="Courier New" w:eastAsia="Courier New" w:hAnsi="Courier New"/>
          <w:sz w:val="16"/>
          <w:szCs w:val="16"/>
          <w:color w:val="auto"/>
        </w:rPr>
      </w:pPr>
    </w:p>
    <w:p>
      <w:pPr>
        <w:ind w:left="1060" w:right="2459" w:hanging="189"/>
        <w:spacing w:after="0" w:line="248" w:lineRule="auto"/>
        <w:tabs>
          <w:tab w:leader="none" w:pos="1060" w:val="left"/>
        </w:tabs>
        <w:numPr>
          <w:ilvl w:val="0"/>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diversion of technical and other resources from our other development efforts;</w:t>
      </w:r>
    </w:p>
    <w:p>
      <w:pPr>
        <w:spacing w:after="0" w:line="184" w:lineRule="exact"/>
        <w:rPr>
          <w:rFonts w:ascii="Courier New" w:cs="Courier New" w:eastAsia="Courier New" w:hAnsi="Courier New"/>
          <w:sz w:val="16"/>
          <w:szCs w:val="16"/>
          <w:color w:val="auto"/>
        </w:rPr>
      </w:pPr>
    </w:p>
    <w:p>
      <w:pPr>
        <w:ind w:left="1060" w:hanging="189"/>
        <w:spacing w:after="0"/>
        <w:tabs>
          <w:tab w:leader="none" w:pos="1060" w:val="left"/>
        </w:tabs>
        <w:numPr>
          <w:ilvl w:val="0"/>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loss of credibility with current or potential customers;</w:t>
      </w:r>
    </w:p>
    <w:p>
      <w:pPr>
        <w:spacing w:after="0" w:line="191" w:lineRule="exact"/>
        <w:rPr>
          <w:rFonts w:ascii="Courier New" w:cs="Courier New" w:eastAsia="Courier New" w:hAnsi="Courier New"/>
          <w:sz w:val="16"/>
          <w:szCs w:val="16"/>
          <w:color w:val="auto"/>
        </w:rPr>
      </w:pPr>
    </w:p>
    <w:p>
      <w:pPr>
        <w:ind w:left="1060" w:hanging="189"/>
        <w:spacing w:after="0"/>
        <w:tabs>
          <w:tab w:leader="none" w:pos="1060" w:val="left"/>
        </w:tabs>
        <w:numPr>
          <w:ilvl w:val="0"/>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harm to our reputation; or</w:t>
      </w:r>
    </w:p>
    <w:p>
      <w:pPr>
        <w:spacing w:after="0" w:line="191" w:lineRule="exact"/>
        <w:rPr>
          <w:rFonts w:ascii="Courier New" w:cs="Courier New" w:eastAsia="Courier New" w:hAnsi="Courier New"/>
          <w:sz w:val="16"/>
          <w:szCs w:val="16"/>
          <w:color w:val="auto"/>
        </w:rPr>
      </w:pPr>
    </w:p>
    <w:p>
      <w:pPr>
        <w:ind w:left="1060" w:hanging="189"/>
        <w:spacing w:after="0"/>
        <w:tabs>
          <w:tab w:leader="none" w:pos="1060" w:val="left"/>
        </w:tabs>
        <w:numPr>
          <w:ilvl w:val="0"/>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exposure to liability claims.</w:t>
      </w:r>
    </w:p>
    <w:p>
      <w:pPr>
        <w:spacing w:after="0" w:line="191" w:lineRule="exact"/>
        <w:rPr>
          <w:sz w:val="20"/>
          <w:szCs w:val="20"/>
          <w:color w:val="auto"/>
        </w:rPr>
      </w:pPr>
    </w:p>
    <w:p>
      <w:pPr>
        <w:ind w:right="2459" w:firstLine="872"/>
        <w:spacing w:after="0" w:line="247" w:lineRule="auto"/>
        <w:rPr>
          <w:sz w:val="20"/>
          <w:szCs w:val="20"/>
          <w:color w:val="auto"/>
        </w:rPr>
      </w:pPr>
      <w:r>
        <w:rPr>
          <w:rFonts w:ascii="Courier New" w:cs="Courier New" w:eastAsia="Courier New" w:hAnsi="Courier New"/>
          <w:sz w:val="16"/>
          <w:szCs w:val="16"/>
          <w:color w:val="auto"/>
        </w:rPr>
        <w:t>In addition, we rely on technologies supplied to us by third parties that may also contain undetected errors or defects that could have a material adverse effect on our business, financial condition and results of operations. Although we attempt to limit our potential liability for warranty claims through disclaimers in our software documentation and limitation-of-liability provisions in our license and customer agreements, we cannot assure you that these measures will be successful in limiting our liability.</w:t>
      </w:r>
    </w:p>
    <w:p>
      <w:pPr>
        <w:spacing w:after="0" w:line="185" w:lineRule="exact"/>
        <w:rPr>
          <w:sz w:val="20"/>
          <w:szCs w:val="20"/>
          <w:color w:val="auto"/>
        </w:rPr>
      </w:pPr>
    </w:p>
    <w:p>
      <w:pPr>
        <w:ind w:right="2859"/>
        <w:spacing w:after="0" w:line="248" w:lineRule="auto"/>
        <w:rPr>
          <w:sz w:val="20"/>
          <w:szCs w:val="20"/>
          <w:color w:val="auto"/>
        </w:rPr>
      </w:pPr>
      <w:r>
        <w:rPr>
          <w:rFonts w:ascii="Courier New" w:cs="Courier New" w:eastAsia="Courier New" w:hAnsi="Courier New"/>
          <w:sz w:val="16"/>
          <w:szCs w:val="16"/>
          <w:color w:val="auto"/>
        </w:rPr>
        <w:t>OUR QUARTERLY OPERATING RESULTS FLUCTUATE AND MAY NOT ACCURATELY PREDICT OUR FUTURE PERFORMANCE.</w:t>
      </w:r>
    </w:p>
    <w:p>
      <w:pPr>
        <w:spacing w:after="0" w:line="184" w:lineRule="exact"/>
        <w:rPr>
          <w:sz w:val="20"/>
          <w:szCs w:val="20"/>
          <w:color w:val="auto"/>
        </w:rPr>
      </w:pPr>
    </w:p>
    <w:p>
      <w:pPr>
        <w:ind w:right="2559" w:firstLine="872"/>
        <w:spacing w:after="0" w:line="247" w:lineRule="auto"/>
        <w:rPr>
          <w:sz w:val="20"/>
          <w:szCs w:val="20"/>
          <w:color w:val="auto"/>
        </w:rPr>
      </w:pPr>
      <w:r>
        <w:rPr>
          <w:rFonts w:ascii="Courier New" w:cs="Courier New" w:eastAsia="Courier New" w:hAnsi="Courier New"/>
          <w:sz w:val="16"/>
          <w:szCs w:val="16"/>
          <w:color w:val="auto"/>
        </w:rPr>
        <w:t>Our quarterly results of operations have varied significantly, and these results probably will continue to vary in the future, as a result of a variety of factors, many of which are outside our control. The following table shows our percentage of total revenues realized in each quarter of fiscal 1998, fiscal 1999 and, to date, fiscal 2000:</w:t>
      </w:r>
    </w:p>
    <w:p>
      <w:pPr>
        <w:spacing w:after="0" w:line="185" w:lineRule="exact"/>
        <w:rPr>
          <w:sz w:val="20"/>
          <w:szCs w:val="20"/>
          <w:color w:val="auto"/>
        </w:rPr>
      </w:pPr>
    </w:p>
    <w:tbl>
      <w:tblPr>
        <w:tblLayout w:type="fixed"/>
        <w:tblInd w:w="1840" w:type="dxa"/>
        <w:tblCellMar>
          <w:top w:w="0" w:type="dxa"/>
          <w:left w:w="0" w:type="dxa"/>
          <w:bottom w:w="0" w:type="dxa"/>
          <w:right w:w="0" w:type="dxa"/>
        </w:tblCellMar>
      </w:tblPr>
      <w:tr>
        <w:trPr>
          <w:trHeight w:val="183"/>
        </w:trPr>
        <w:tc>
          <w:tcPr>
            <w:tcW w:w="3140" w:type="dxa"/>
            <w:vAlign w:val="bottom"/>
          </w:tcPr>
          <w:p>
            <w:pPr>
              <w:spacing w:after="0"/>
              <w:rPr>
                <w:sz w:val="15"/>
                <w:szCs w:val="15"/>
                <w:color w:val="auto"/>
              </w:rPr>
            </w:pPr>
          </w:p>
        </w:tc>
        <w:tc>
          <w:tcPr>
            <w:tcW w:w="2280" w:type="dxa"/>
            <w:vAlign w:val="bottom"/>
          </w:tcPr>
          <w:p>
            <w:pPr>
              <w:jc w:val="center"/>
              <w:ind w:left="179"/>
              <w:spacing w:after="0"/>
              <w:rPr>
                <w:sz w:val="20"/>
                <w:szCs w:val="20"/>
                <w:color w:val="auto"/>
              </w:rPr>
            </w:pPr>
            <w:r>
              <w:rPr>
                <w:rFonts w:ascii="Courier New" w:cs="Courier New" w:eastAsia="Courier New" w:hAnsi="Courier New"/>
                <w:sz w:val="16"/>
                <w:szCs w:val="16"/>
                <w:color w:val="auto"/>
              </w:rPr>
              <w:t>PERCENTAGE OF REVENUE</w:t>
            </w:r>
          </w:p>
        </w:tc>
      </w:tr>
      <w:tr>
        <w:trPr>
          <w:trHeight w:val="186"/>
        </w:trPr>
        <w:tc>
          <w:tcPr>
            <w:tcW w:w="3140" w:type="dxa"/>
            <w:vAlign w:val="bottom"/>
          </w:tcPr>
          <w:p>
            <w:pPr>
              <w:spacing w:after="0"/>
              <w:rPr>
                <w:sz w:val="20"/>
                <w:szCs w:val="20"/>
                <w:color w:val="auto"/>
              </w:rPr>
            </w:pPr>
            <w:r>
              <w:rPr>
                <w:rFonts w:ascii="Courier New" w:cs="Courier New" w:eastAsia="Courier New" w:hAnsi="Courier New"/>
                <w:sz w:val="16"/>
                <w:szCs w:val="16"/>
                <w:color w:val="auto"/>
              </w:rPr>
              <w:t>FISCAL 1998:</w:t>
            </w:r>
          </w:p>
        </w:tc>
        <w:tc>
          <w:tcPr>
            <w:tcW w:w="2280" w:type="dxa"/>
            <w:vAlign w:val="bottom"/>
          </w:tcPr>
          <w:p>
            <w:pPr>
              <w:spacing w:after="0"/>
              <w:rPr>
                <w:sz w:val="16"/>
                <w:szCs w:val="16"/>
                <w:color w:val="auto"/>
              </w:rPr>
            </w:pPr>
          </w:p>
        </w:tc>
      </w:tr>
      <w:tr>
        <w:trPr>
          <w:trHeight w:val="186"/>
        </w:trPr>
        <w:tc>
          <w:tcPr>
            <w:tcW w:w="3140" w:type="dxa"/>
            <w:vAlign w:val="bottom"/>
          </w:tcPr>
          <w:p>
            <w:pPr>
              <w:ind w:left="200"/>
              <w:spacing w:after="0"/>
              <w:rPr>
                <w:sz w:val="20"/>
                <w:szCs w:val="20"/>
                <w:color w:val="auto"/>
              </w:rPr>
            </w:pPr>
            <w:r>
              <w:rPr>
                <w:rFonts w:ascii="Courier New" w:cs="Courier New" w:eastAsia="Courier New" w:hAnsi="Courier New"/>
                <w:sz w:val="16"/>
                <w:szCs w:val="16"/>
                <w:color w:val="auto"/>
              </w:rPr>
              <w:t>First quarter ..............</w:t>
            </w:r>
          </w:p>
        </w:tc>
        <w:tc>
          <w:tcPr>
            <w:tcW w:w="2280" w:type="dxa"/>
            <w:vAlign w:val="bottom"/>
          </w:tcPr>
          <w:p>
            <w:pPr>
              <w:jc w:val="center"/>
              <w:ind w:left="179"/>
              <w:spacing w:after="0"/>
              <w:rPr>
                <w:sz w:val="20"/>
                <w:szCs w:val="20"/>
                <w:color w:val="auto"/>
              </w:rPr>
            </w:pPr>
            <w:r>
              <w:rPr>
                <w:rFonts w:ascii="Courier New" w:cs="Courier New" w:eastAsia="Courier New" w:hAnsi="Courier New"/>
                <w:sz w:val="16"/>
                <w:szCs w:val="16"/>
                <w:color w:val="auto"/>
              </w:rPr>
              <w:t>22.2%</w:t>
            </w:r>
          </w:p>
        </w:tc>
      </w:tr>
      <w:tr>
        <w:trPr>
          <w:trHeight w:val="186"/>
        </w:trPr>
        <w:tc>
          <w:tcPr>
            <w:tcW w:w="3140" w:type="dxa"/>
            <w:vAlign w:val="bottom"/>
          </w:tcPr>
          <w:p>
            <w:pPr>
              <w:ind w:left="200"/>
              <w:spacing w:after="0"/>
              <w:rPr>
                <w:sz w:val="20"/>
                <w:szCs w:val="20"/>
                <w:color w:val="auto"/>
              </w:rPr>
            </w:pPr>
            <w:r>
              <w:rPr>
                <w:rFonts w:ascii="Courier New" w:cs="Courier New" w:eastAsia="Courier New" w:hAnsi="Courier New"/>
                <w:sz w:val="16"/>
                <w:szCs w:val="16"/>
                <w:color w:val="auto"/>
              </w:rPr>
              <w:t>Second quarter .............</w:t>
            </w:r>
          </w:p>
        </w:tc>
        <w:tc>
          <w:tcPr>
            <w:tcW w:w="2280" w:type="dxa"/>
            <w:vAlign w:val="bottom"/>
          </w:tcPr>
          <w:p>
            <w:pPr>
              <w:jc w:val="center"/>
              <w:ind w:left="179"/>
              <w:spacing w:after="0"/>
              <w:rPr>
                <w:sz w:val="20"/>
                <w:szCs w:val="20"/>
                <w:color w:val="auto"/>
              </w:rPr>
            </w:pPr>
            <w:r>
              <w:rPr>
                <w:rFonts w:ascii="Courier New" w:cs="Courier New" w:eastAsia="Courier New" w:hAnsi="Courier New"/>
                <w:sz w:val="16"/>
                <w:szCs w:val="16"/>
                <w:color w:val="auto"/>
              </w:rPr>
              <w:t>24.2%</w:t>
            </w:r>
          </w:p>
        </w:tc>
      </w:tr>
      <w:tr>
        <w:trPr>
          <w:trHeight w:val="186"/>
        </w:trPr>
        <w:tc>
          <w:tcPr>
            <w:tcW w:w="3140" w:type="dxa"/>
            <w:vAlign w:val="bottom"/>
          </w:tcPr>
          <w:p>
            <w:pPr>
              <w:ind w:left="200"/>
              <w:spacing w:after="0"/>
              <w:rPr>
                <w:sz w:val="20"/>
                <w:szCs w:val="20"/>
                <w:color w:val="auto"/>
              </w:rPr>
            </w:pPr>
            <w:r>
              <w:rPr>
                <w:rFonts w:ascii="Courier New" w:cs="Courier New" w:eastAsia="Courier New" w:hAnsi="Courier New"/>
                <w:sz w:val="16"/>
                <w:szCs w:val="16"/>
                <w:color w:val="auto"/>
              </w:rPr>
              <w:t>Third quarter ..............</w:t>
            </w:r>
          </w:p>
        </w:tc>
        <w:tc>
          <w:tcPr>
            <w:tcW w:w="2280" w:type="dxa"/>
            <w:vAlign w:val="bottom"/>
          </w:tcPr>
          <w:p>
            <w:pPr>
              <w:jc w:val="center"/>
              <w:ind w:left="179"/>
              <w:spacing w:after="0"/>
              <w:rPr>
                <w:sz w:val="20"/>
                <w:szCs w:val="20"/>
                <w:color w:val="auto"/>
              </w:rPr>
            </w:pPr>
            <w:r>
              <w:rPr>
                <w:rFonts w:ascii="Courier New" w:cs="Courier New" w:eastAsia="Courier New" w:hAnsi="Courier New"/>
                <w:sz w:val="16"/>
                <w:szCs w:val="16"/>
                <w:color w:val="auto"/>
              </w:rPr>
              <w:t>26.4%</w:t>
            </w:r>
          </w:p>
        </w:tc>
      </w:tr>
      <w:tr>
        <w:trPr>
          <w:trHeight w:val="186"/>
        </w:trPr>
        <w:tc>
          <w:tcPr>
            <w:tcW w:w="3140" w:type="dxa"/>
            <w:vAlign w:val="bottom"/>
          </w:tcPr>
          <w:p>
            <w:pPr>
              <w:ind w:left="200"/>
              <w:spacing w:after="0"/>
              <w:rPr>
                <w:sz w:val="20"/>
                <w:szCs w:val="20"/>
                <w:color w:val="auto"/>
              </w:rPr>
            </w:pPr>
            <w:r>
              <w:rPr>
                <w:rFonts w:ascii="Courier New" w:cs="Courier New" w:eastAsia="Courier New" w:hAnsi="Courier New"/>
                <w:sz w:val="16"/>
                <w:szCs w:val="16"/>
                <w:color w:val="auto"/>
              </w:rPr>
              <w:t>Fourth quarter .............</w:t>
            </w:r>
          </w:p>
        </w:tc>
        <w:tc>
          <w:tcPr>
            <w:tcW w:w="2280" w:type="dxa"/>
            <w:vAlign w:val="bottom"/>
          </w:tcPr>
          <w:p>
            <w:pPr>
              <w:jc w:val="center"/>
              <w:ind w:left="179"/>
              <w:spacing w:after="0"/>
              <w:rPr>
                <w:sz w:val="20"/>
                <w:szCs w:val="20"/>
                <w:color w:val="auto"/>
              </w:rPr>
            </w:pPr>
            <w:r>
              <w:rPr>
                <w:rFonts w:ascii="Courier New" w:cs="Courier New" w:eastAsia="Courier New" w:hAnsi="Courier New"/>
                <w:sz w:val="16"/>
                <w:szCs w:val="16"/>
                <w:color w:val="auto"/>
              </w:rPr>
              <w:t>27.2%</w:t>
            </w:r>
          </w:p>
        </w:tc>
      </w:tr>
    </w:tbl>
    <w:p>
      <w:pPr>
        <w:spacing w:after="0" w:line="200" w:lineRule="exact"/>
        <w:rPr>
          <w:sz w:val="20"/>
          <w:szCs w:val="20"/>
          <w:color w:val="auto"/>
        </w:rPr>
      </w:pPr>
    </w:p>
    <w:p>
      <w:pPr>
        <w:sectPr>
          <w:pgSz w:w="11900" w:h="16838" w:orient="portrait"/>
          <w:cols w:equalWidth="0" w:num="1">
            <w:col w:w="10219"/>
          </w:cols>
          <w:pgMar w:left="240" w:top="303" w:right="1440" w:bottom="322" w:gutter="0" w:footer="0" w:header="0"/>
        </w:sectPr>
      </w:pPr>
    </w:p>
    <w:p>
      <w:pPr>
        <w:spacing w:after="0" w:line="177"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12</w:t>
      </w:r>
    </w:p>
    <w:p>
      <w:pPr>
        <w:sectPr>
          <w:pgSz w:w="11900" w:h="16838" w:orient="portrait"/>
          <w:cols w:equalWidth="0" w:num="1">
            <w:col w:w="10219"/>
          </w:cols>
          <w:pgMar w:left="240" w:top="303" w:right="1440" w:bottom="322" w:gutter="0" w:footer="0" w:header="0"/>
          <w:type w:val="continuous"/>
        </w:sectPr>
      </w:pPr>
    </w:p>
    <w:bookmarkStart w:id="16" w:name="page17"/>
    <w:bookmarkEnd w:id="16"/>
    <w:p>
      <w:pPr>
        <w:ind w:left="300"/>
        <w:spacing w:after="0"/>
        <w:rPr>
          <w:sz w:val="20"/>
          <w:szCs w:val="20"/>
          <w:color w:val="auto"/>
        </w:rPr>
      </w:pPr>
      <w:r>
        <w:rPr>
          <w:rFonts w:ascii="Courier New" w:cs="Courier New" w:eastAsia="Courier New" w:hAnsi="Courier New"/>
          <w:sz w:val="16"/>
          <w:szCs w:val="16"/>
          <w:color w:val="auto"/>
        </w:rPr>
        <w:t>13</w:t>
      </w:r>
    </w:p>
    <w:p>
      <w:pPr>
        <w:spacing w:after="0" w:line="191" w:lineRule="exact"/>
        <w:rPr>
          <w:sz w:val="20"/>
          <w:szCs w:val="20"/>
          <w:color w:val="auto"/>
        </w:rPr>
      </w:pPr>
    </w:p>
    <w:tbl>
      <w:tblPr>
        <w:tblLayout w:type="fixed"/>
        <w:tblInd w:w="1840" w:type="dxa"/>
        <w:tblCellMar>
          <w:top w:w="0" w:type="dxa"/>
          <w:left w:w="0" w:type="dxa"/>
          <w:bottom w:w="0" w:type="dxa"/>
          <w:right w:w="0" w:type="dxa"/>
        </w:tblCellMar>
      </w:tblPr>
      <w:tr>
        <w:trPr>
          <w:trHeight w:val="183"/>
        </w:trPr>
        <w:tc>
          <w:tcPr>
            <w:tcW w:w="3540" w:type="dxa"/>
            <w:vAlign w:val="bottom"/>
          </w:tcPr>
          <w:p>
            <w:pPr>
              <w:spacing w:after="0"/>
              <w:rPr>
                <w:sz w:val="20"/>
                <w:szCs w:val="20"/>
                <w:color w:val="auto"/>
              </w:rPr>
            </w:pPr>
            <w:r>
              <w:rPr>
                <w:rFonts w:ascii="Courier New" w:cs="Courier New" w:eastAsia="Courier New" w:hAnsi="Courier New"/>
                <w:sz w:val="16"/>
                <w:szCs w:val="16"/>
                <w:color w:val="auto"/>
              </w:rPr>
              <w:t>FISCAL 1999:</w:t>
            </w:r>
          </w:p>
        </w:tc>
        <w:tc>
          <w:tcPr>
            <w:tcW w:w="1120" w:type="dxa"/>
            <w:vAlign w:val="bottom"/>
          </w:tcPr>
          <w:p>
            <w:pPr>
              <w:spacing w:after="0"/>
              <w:rPr>
                <w:sz w:val="15"/>
                <w:szCs w:val="15"/>
                <w:color w:val="auto"/>
              </w:rPr>
            </w:pPr>
          </w:p>
        </w:tc>
      </w:tr>
      <w:tr>
        <w:trPr>
          <w:trHeight w:val="186"/>
        </w:trPr>
        <w:tc>
          <w:tcPr>
            <w:tcW w:w="3540" w:type="dxa"/>
            <w:vAlign w:val="bottom"/>
          </w:tcPr>
          <w:p>
            <w:pPr>
              <w:ind w:left="200"/>
              <w:spacing w:after="0"/>
              <w:rPr>
                <w:sz w:val="20"/>
                <w:szCs w:val="20"/>
                <w:color w:val="auto"/>
              </w:rPr>
            </w:pPr>
            <w:r>
              <w:rPr>
                <w:rFonts w:ascii="Courier New" w:cs="Courier New" w:eastAsia="Courier New" w:hAnsi="Courier New"/>
                <w:sz w:val="16"/>
                <w:szCs w:val="16"/>
                <w:color w:val="auto"/>
              </w:rPr>
              <w:t>First quarter ..............</w:t>
            </w:r>
          </w:p>
        </w:tc>
        <w:tc>
          <w:tcPr>
            <w:tcW w:w="1120" w:type="dxa"/>
            <w:vAlign w:val="bottom"/>
          </w:tcPr>
          <w:p>
            <w:pPr>
              <w:jc w:val="right"/>
              <w:spacing w:after="0"/>
              <w:rPr>
                <w:sz w:val="20"/>
                <w:szCs w:val="20"/>
                <w:color w:val="auto"/>
              </w:rPr>
            </w:pPr>
            <w:r>
              <w:rPr>
                <w:rFonts w:ascii="Courier New" w:cs="Courier New" w:eastAsia="Courier New" w:hAnsi="Courier New"/>
                <w:sz w:val="16"/>
                <w:szCs w:val="16"/>
                <w:color w:val="auto"/>
              </w:rPr>
              <w:t>22.7%</w:t>
            </w:r>
          </w:p>
        </w:tc>
      </w:tr>
      <w:tr>
        <w:trPr>
          <w:trHeight w:val="186"/>
        </w:trPr>
        <w:tc>
          <w:tcPr>
            <w:tcW w:w="3540" w:type="dxa"/>
            <w:vAlign w:val="bottom"/>
          </w:tcPr>
          <w:p>
            <w:pPr>
              <w:ind w:left="200"/>
              <w:spacing w:after="0"/>
              <w:rPr>
                <w:sz w:val="20"/>
                <w:szCs w:val="20"/>
                <w:color w:val="auto"/>
              </w:rPr>
            </w:pPr>
            <w:r>
              <w:rPr>
                <w:rFonts w:ascii="Courier New" w:cs="Courier New" w:eastAsia="Courier New" w:hAnsi="Courier New"/>
                <w:sz w:val="16"/>
                <w:szCs w:val="16"/>
                <w:color w:val="auto"/>
              </w:rPr>
              <w:t>Second quarter .............</w:t>
            </w:r>
          </w:p>
        </w:tc>
        <w:tc>
          <w:tcPr>
            <w:tcW w:w="1120" w:type="dxa"/>
            <w:vAlign w:val="bottom"/>
          </w:tcPr>
          <w:p>
            <w:pPr>
              <w:jc w:val="right"/>
              <w:spacing w:after="0"/>
              <w:rPr>
                <w:sz w:val="20"/>
                <w:szCs w:val="20"/>
                <w:color w:val="auto"/>
              </w:rPr>
            </w:pPr>
            <w:r>
              <w:rPr>
                <w:rFonts w:ascii="Courier New" w:cs="Courier New" w:eastAsia="Courier New" w:hAnsi="Courier New"/>
                <w:sz w:val="16"/>
                <w:szCs w:val="16"/>
                <w:color w:val="auto"/>
              </w:rPr>
              <w:t>23.8%</w:t>
            </w:r>
          </w:p>
        </w:tc>
      </w:tr>
      <w:tr>
        <w:trPr>
          <w:trHeight w:val="186"/>
        </w:trPr>
        <w:tc>
          <w:tcPr>
            <w:tcW w:w="3540" w:type="dxa"/>
            <w:vAlign w:val="bottom"/>
          </w:tcPr>
          <w:p>
            <w:pPr>
              <w:ind w:left="200"/>
              <w:spacing w:after="0"/>
              <w:rPr>
                <w:sz w:val="20"/>
                <w:szCs w:val="20"/>
                <w:color w:val="auto"/>
              </w:rPr>
            </w:pPr>
            <w:r>
              <w:rPr>
                <w:rFonts w:ascii="Courier New" w:cs="Courier New" w:eastAsia="Courier New" w:hAnsi="Courier New"/>
                <w:sz w:val="16"/>
                <w:szCs w:val="16"/>
                <w:color w:val="auto"/>
              </w:rPr>
              <w:t>Third quarter ..............</w:t>
            </w:r>
          </w:p>
        </w:tc>
        <w:tc>
          <w:tcPr>
            <w:tcW w:w="1120" w:type="dxa"/>
            <w:vAlign w:val="bottom"/>
          </w:tcPr>
          <w:p>
            <w:pPr>
              <w:jc w:val="right"/>
              <w:spacing w:after="0"/>
              <w:rPr>
                <w:sz w:val="20"/>
                <w:szCs w:val="20"/>
                <w:color w:val="auto"/>
              </w:rPr>
            </w:pPr>
            <w:r>
              <w:rPr>
                <w:rFonts w:ascii="Courier New" w:cs="Courier New" w:eastAsia="Courier New" w:hAnsi="Courier New"/>
                <w:sz w:val="16"/>
                <w:szCs w:val="16"/>
                <w:color w:val="auto"/>
              </w:rPr>
              <w:t>25.2%</w:t>
            </w:r>
          </w:p>
        </w:tc>
      </w:tr>
      <w:tr>
        <w:trPr>
          <w:trHeight w:val="186"/>
        </w:trPr>
        <w:tc>
          <w:tcPr>
            <w:tcW w:w="3540" w:type="dxa"/>
            <w:vAlign w:val="bottom"/>
          </w:tcPr>
          <w:p>
            <w:pPr>
              <w:ind w:left="200"/>
              <w:spacing w:after="0"/>
              <w:rPr>
                <w:sz w:val="20"/>
                <w:szCs w:val="20"/>
                <w:color w:val="auto"/>
              </w:rPr>
            </w:pPr>
            <w:r>
              <w:rPr>
                <w:rFonts w:ascii="Courier New" w:cs="Courier New" w:eastAsia="Courier New" w:hAnsi="Courier New"/>
                <w:sz w:val="16"/>
                <w:szCs w:val="16"/>
                <w:color w:val="auto"/>
              </w:rPr>
              <w:t>Fourth quarter .............</w:t>
            </w:r>
          </w:p>
        </w:tc>
        <w:tc>
          <w:tcPr>
            <w:tcW w:w="1120" w:type="dxa"/>
            <w:vAlign w:val="bottom"/>
          </w:tcPr>
          <w:p>
            <w:pPr>
              <w:jc w:val="right"/>
              <w:spacing w:after="0"/>
              <w:rPr>
                <w:sz w:val="20"/>
                <w:szCs w:val="20"/>
                <w:color w:val="auto"/>
              </w:rPr>
            </w:pPr>
            <w:r>
              <w:rPr>
                <w:rFonts w:ascii="Courier New" w:cs="Courier New" w:eastAsia="Courier New" w:hAnsi="Courier New"/>
                <w:sz w:val="16"/>
                <w:szCs w:val="16"/>
                <w:color w:val="auto"/>
              </w:rPr>
              <w:t>28.3%</w:t>
            </w:r>
          </w:p>
        </w:tc>
      </w:tr>
      <w:tr>
        <w:trPr>
          <w:trHeight w:val="373"/>
        </w:trPr>
        <w:tc>
          <w:tcPr>
            <w:tcW w:w="3540" w:type="dxa"/>
            <w:vAlign w:val="bottom"/>
          </w:tcPr>
          <w:p>
            <w:pPr>
              <w:spacing w:after="0"/>
              <w:rPr>
                <w:sz w:val="20"/>
                <w:szCs w:val="20"/>
                <w:color w:val="auto"/>
              </w:rPr>
            </w:pPr>
            <w:r>
              <w:rPr>
                <w:rFonts w:ascii="Courier New" w:cs="Courier New" w:eastAsia="Courier New" w:hAnsi="Courier New"/>
                <w:sz w:val="16"/>
                <w:szCs w:val="16"/>
                <w:color w:val="auto"/>
              </w:rPr>
              <w:t>FISCAL 2000:</w:t>
            </w:r>
          </w:p>
        </w:tc>
        <w:tc>
          <w:tcPr>
            <w:tcW w:w="1120" w:type="dxa"/>
            <w:vAlign w:val="bottom"/>
          </w:tcPr>
          <w:p>
            <w:pPr>
              <w:spacing w:after="0"/>
              <w:rPr>
                <w:sz w:val="24"/>
                <w:szCs w:val="24"/>
                <w:color w:val="auto"/>
              </w:rPr>
            </w:pPr>
          </w:p>
        </w:tc>
      </w:tr>
      <w:tr>
        <w:trPr>
          <w:trHeight w:val="186"/>
        </w:trPr>
        <w:tc>
          <w:tcPr>
            <w:tcW w:w="3540" w:type="dxa"/>
            <w:vAlign w:val="bottom"/>
          </w:tcPr>
          <w:p>
            <w:pPr>
              <w:ind w:left="200"/>
              <w:spacing w:after="0"/>
              <w:rPr>
                <w:sz w:val="20"/>
                <w:szCs w:val="20"/>
                <w:color w:val="auto"/>
              </w:rPr>
            </w:pPr>
            <w:r>
              <w:rPr>
                <w:rFonts w:ascii="Courier New" w:cs="Courier New" w:eastAsia="Courier New" w:hAnsi="Courier New"/>
                <w:sz w:val="16"/>
                <w:szCs w:val="16"/>
                <w:color w:val="auto"/>
              </w:rPr>
              <w:t>First quarter ..............</w:t>
            </w:r>
          </w:p>
        </w:tc>
        <w:tc>
          <w:tcPr>
            <w:tcW w:w="1120" w:type="dxa"/>
            <w:vAlign w:val="bottom"/>
          </w:tcPr>
          <w:p>
            <w:pPr>
              <w:jc w:val="right"/>
              <w:spacing w:after="0"/>
              <w:rPr>
                <w:sz w:val="20"/>
                <w:szCs w:val="20"/>
                <w:color w:val="auto"/>
              </w:rPr>
            </w:pPr>
            <w:r>
              <w:rPr>
                <w:rFonts w:ascii="Courier New" w:cs="Courier New" w:eastAsia="Courier New" w:hAnsi="Courier New"/>
                <w:sz w:val="16"/>
                <w:szCs w:val="16"/>
                <w:color w:val="auto"/>
              </w:rPr>
              <w:t>48.6%</w:t>
            </w:r>
          </w:p>
        </w:tc>
      </w:tr>
      <w:tr>
        <w:trPr>
          <w:trHeight w:val="186"/>
        </w:trPr>
        <w:tc>
          <w:tcPr>
            <w:tcW w:w="3540" w:type="dxa"/>
            <w:vAlign w:val="bottom"/>
          </w:tcPr>
          <w:p>
            <w:pPr>
              <w:ind w:left="200"/>
              <w:spacing w:after="0"/>
              <w:rPr>
                <w:sz w:val="20"/>
                <w:szCs w:val="20"/>
                <w:color w:val="auto"/>
              </w:rPr>
            </w:pPr>
            <w:r>
              <w:rPr>
                <w:rFonts w:ascii="Courier New" w:cs="Courier New" w:eastAsia="Courier New" w:hAnsi="Courier New"/>
                <w:sz w:val="16"/>
                <w:szCs w:val="16"/>
                <w:color w:val="auto"/>
              </w:rPr>
              <w:t>Second quarter .............</w:t>
            </w:r>
          </w:p>
        </w:tc>
        <w:tc>
          <w:tcPr>
            <w:tcW w:w="1120" w:type="dxa"/>
            <w:vAlign w:val="bottom"/>
          </w:tcPr>
          <w:p>
            <w:pPr>
              <w:jc w:val="right"/>
              <w:spacing w:after="0"/>
              <w:rPr>
                <w:sz w:val="20"/>
                <w:szCs w:val="20"/>
                <w:color w:val="auto"/>
              </w:rPr>
            </w:pPr>
            <w:r>
              <w:rPr>
                <w:rFonts w:ascii="Courier New" w:cs="Courier New" w:eastAsia="Courier New" w:hAnsi="Courier New"/>
                <w:sz w:val="16"/>
                <w:szCs w:val="16"/>
                <w:color w:val="auto"/>
              </w:rPr>
              <w:t>51.4%</w:t>
            </w:r>
          </w:p>
        </w:tc>
      </w:tr>
    </w:tbl>
    <w:p>
      <w:pPr>
        <w:spacing w:after="0" w:line="190" w:lineRule="exact"/>
        <w:rPr>
          <w:sz w:val="20"/>
          <w:szCs w:val="20"/>
          <w:color w:val="auto"/>
        </w:rPr>
      </w:pPr>
    </w:p>
    <w:p>
      <w:pPr>
        <w:ind w:left="880"/>
        <w:spacing w:after="0"/>
        <w:rPr>
          <w:sz w:val="20"/>
          <w:szCs w:val="20"/>
          <w:color w:val="auto"/>
        </w:rPr>
      </w:pPr>
      <w:r>
        <w:rPr>
          <w:rFonts w:ascii="Courier New" w:cs="Courier New" w:eastAsia="Courier New" w:hAnsi="Courier New"/>
          <w:sz w:val="16"/>
          <w:szCs w:val="16"/>
          <w:color w:val="auto"/>
        </w:rPr>
        <w:t>The factors that affect our results of operations include:</w:t>
      </w:r>
    </w:p>
    <w:p>
      <w:pPr>
        <w:spacing w:after="0" w:line="191" w:lineRule="exact"/>
        <w:rPr>
          <w:sz w:val="20"/>
          <w:szCs w:val="20"/>
          <w:color w:val="auto"/>
        </w:rPr>
      </w:pPr>
    </w:p>
    <w:p>
      <w:pPr>
        <w:ind w:left="1060" w:hanging="189"/>
        <w:spacing w:after="0"/>
        <w:tabs>
          <w:tab w:leader="none" w:pos="1060"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changes in our pricing policies or those of our competitors;</w:t>
      </w:r>
    </w:p>
    <w:p>
      <w:pPr>
        <w:spacing w:after="0" w:line="191" w:lineRule="exact"/>
        <w:rPr>
          <w:rFonts w:ascii="Courier New" w:cs="Courier New" w:eastAsia="Courier New" w:hAnsi="Courier New"/>
          <w:sz w:val="16"/>
          <w:szCs w:val="16"/>
          <w:color w:val="auto"/>
        </w:rPr>
      </w:pPr>
    </w:p>
    <w:p>
      <w:pPr>
        <w:ind w:left="1060" w:hanging="189"/>
        <w:spacing w:after="0"/>
        <w:tabs>
          <w:tab w:leader="none" w:pos="1060"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relative rates of acquisition of new customers;</w:t>
      </w:r>
    </w:p>
    <w:p>
      <w:pPr>
        <w:spacing w:after="0" w:line="191" w:lineRule="exact"/>
        <w:rPr>
          <w:rFonts w:ascii="Courier New" w:cs="Courier New" w:eastAsia="Courier New" w:hAnsi="Courier New"/>
          <w:sz w:val="16"/>
          <w:szCs w:val="16"/>
          <w:color w:val="auto"/>
        </w:rPr>
      </w:pPr>
    </w:p>
    <w:p>
      <w:pPr>
        <w:ind w:left="1060" w:hanging="189"/>
        <w:spacing w:after="0"/>
        <w:tabs>
          <w:tab w:leader="none" w:pos="1060"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seasonal patterns for computer and software purchases; and</w:t>
      </w:r>
    </w:p>
    <w:p>
      <w:pPr>
        <w:spacing w:after="0" w:line="191" w:lineRule="exact"/>
        <w:rPr>
          <w:rFonts w:ascii="Courier New" w:cs="Courier New" w:eastAsia="Courier New" w:hAnsi="Courier New"/>
          <w:sz w:val="16"/>
          <w:szCs w:val="16"/>
          <w:color w:val="auto"/>
        </w:rPr>
      </w:pPr>
    </w:p>
    <w:p>
      <w:pPr>
        <w:ind w:left="1060" w:right="2559" w:hanging="189"/>
        <w:spacing w:after="0" w:line="247" w:lineRule="auto"/>
        <w:tabs>
          <w:tab w:leader="none" w:pos="1060"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delays in the introduction of new or enhanced services, software and related products by us or our competitors or market acceptance of these products and services.</w:t>
      </w:r>
    </w:p>
    <w:p>
      <w:pPr>
        <w:spacing w:after="0" w:line="186" w:lineRule="exact"/>
        <w:rPr>
          <w:sz w:val="20"/>
          <w:szCs w:val="20"/>
          <w:color w:val="auto"/>
        </w:rPr>
      </w:pPr>
    </w:p>
    <w:p>
      <w:pPr>
        <w:ind w:right="2459"/>
        <w:spacing w:after="0" w:line="247" w:lineRule="auto"/>
        <w:rPr>
          <w:sz w:val="20"/>
          <w:szCs w:val="20"/>
          <w:color w:val="auto"/>
        </w:rPr>
      </w:pPr>
      <w:r>
        <w:rPr>
          <w:rFonts w:ascii="Courier New" w:cs="Courier New" w:eastAsia="Courier New" w:hAnsi="Courier New"/>
          <w:sz w:val="16"/>
          <w:szCs w:val="16"/>
          <w:color w:val="auto"/>
        </w:rPr>
        <w:t>As a result, we believe that period-to-period comparisons of our operating results are not necessarily meaningful, and you should not rely on them as an indication of our future performance. In addition, our operating results in a future quarter or quarters may fall below expectations of securities analysts or investors and, as a result, the price of our common stock may fluctuate.</w:t>
      </w:r>
    </w:p>
    <w:p>
      <w:pPr>
        <w:spacing w:after="0" w:line="185" w:lineRule="exact"/>
        <w:rPr>
          <w:sz w:val="20"/>
          <w:szCs w:val="20"/>
          <w:color w:val="auto"/>
        </w:rPr>
      </w:pPr>
    </w:p>
    <w:p>
      <w:pPr>
        <w:ind w:right="3039"/>
        <w:spacing w:after="0" w:line="248" w:lineRule="auto"/>
        <w:rPr>
          <w:sz w:val="20"/>
          <w:szCs w:val="20"/>
          <w:color w:val="auto"/>
        </w:rPr>
      </w:pPr>
      <w:r>
        <w:rPr>
          <w:rFonts w:ascii="Courier New" w:cs="Courier New" w:eastAsia="Courier New" w:hAnsi="Courier New"/>
          <w:sz w:val="16"/>
          <w:szCs w:val="16"/>
          <w:color w:val="auto"/>
        </w:rPr>
        <w:t>WE EXPERIENCE SEASONAL FLUCTUATIONS IN OUR NET SALES CAUSING OUR OPERATING RESULTS TO FLUCTUATE.</w:t>
      </w:r>
    </w:p>
    <w:p>
      <w:pPr>
        <w:spacing w:after="0" w:line="184" w:lineRule="exact"/>
        <w:rPr>
          <w:sz w:val="20"/>
          <w:szCs w:val="20"/>
          <w:color w:val="auto"/>
        </w:rPr>
      </w:pPr>
    </w:p>
    <w:p>
      <w:pPr>
        <w:ind w:right="2459" w:firstLine="872"/>
        <w:spacing w:after="0" w:line="246" w:lineRule="auto"/>
        <w:rPr>
          <w:sz w:val="20"/>
          <w:szCs w:val="20"/>
          <w:color w:val="auto"/>
        </w:rPr>
      </w:pPr>
      <w:r>
        <w:rPr>
          <w:rFonts w:ascii="Courier New" w:cs="Courier New" w:eastAsia="Courier New" w:hAnsi="Courier New"/>
          <w:sz w:val="16"/>
          <w:szCs w:val="16"/>
          <w:color w:val="auto"/>
        </w:rPr>
        <w:t>We have historically experienced seasonal fluctuations in our net sales, and we expect to experience similar fluctuations in the future. If our net sales are below the expectations of securities analysts and investors due to seasonal fluctuations, our stock price could decrease unexpectedly. Our growth in new electronic commerce subscribers is affected by seasonal factors like holiday-based personal computer sales. These seasonal factors may impact our operating results by concentrating subscriber acquisition and set-up costs, which may not be immediately offset by revenue increases primarily due to introductory service price discounts. Additionally, on-line interactive service subscribers generally tend to be less active users during the summer months, resulting in lower revenue during this period.</w:t>
      </w:r>
    </w:p>
    <w:p>
      <w:pPr>
        <w:spacing w:after="0" w:line="193" w:lineRule="exact"/>
        <w:rPr>
          <w:sz w:val="20"/>
          <w:szCs w:val="20"/>
          <w:color w:val="auto"/>
        </w:rPr>
      </w:pPr>
    </w:p>
    <w:p>
      <w:pPr>
        <w:ind w:right="2559" w:firstLine="872"/>
        <w:spacing w:after="0" w:line="247" w:lineRule="auto"/>
        <w:rPr>
          <w:sz w:val="20"/>
          <w:szCs w:val="20"/>
          <w:color w:val="auto"/>
        </w:rPr>
      </w:pPr>
      <w:r>
        <w:rPr>
          <w:rFonts w:ascii="Courier New" w:cs="Courier New" w:eastAsia="Courier New" w:hAnsi="Courier New"/>
          <w:sz w:val="16"/>
          <w:szCs w:val="16"/>
          <w:color w:val="auto"/>
        </w:rPr>
        <w:t>Our software sales also have historically displayed seasonal variability, with sales and earnings generally stronger in the quarters ended December 31 and June 30 of each year and generally weaker in the quarters ended September 30 and March 31 of each year. The seasonality in software sales is due, in part, to calendar year-end buying patterns of financial institution customers and our software sales compensation structure, which measures sales performance at our June 30 fiscal year end.</w:t>
      </w:r>
    </w:p>
    <w:p>
      <w:pPr>
        <w:spacing w:after="0" w:line="185" w:lineRule="exact"/>
        <w:rPr>
          <w:sz w:val="20"/>
          <w:szCs w:val="20"/>
          <w:color w:val="auto"/>
        </w:rPr>
      </w:pPr>
    </w:p>
    <w:p>
      <w:pPr>
        <w:ind w:right="2659"/>
        <w:spacing w:after="0" w:line="248" w:lineRule="auto"/>
        <w:rPr>
          <w:sz w:val="20"/>
          <w:szCs w:val="20"/>
          <w:color w:val="auto"/>
        </w:rPr>
      </w:pPr>
      <w:r>
        <w:rPr>
          <w:rFonts w:ascii="Courier New" w:cs="Courier New" w:eastAsia="Courier New" w:hAnsi="Courier New"/>
          <w:sz w:val="16"/>
          <w:szCs w:val="16"/>
          <w:color w:val="auto"/>
        </w:rPr>
        <w:t>IF WE DO NOT RESPOND TO RAPID TECHNOLOGICAL CHANGE OR CHANGES IN INDUSTRY STANDARDS, OUR SERVICES COULD BECOME OBSOLETE AND WE COULD LOSE OUR CUSTOMERS.</w:t>
      </w:r>
    </w:p>
    <w:p>
      <w:pPr>
        <w:spacing w:after="0" w:line="184" w:lineRule="exact"/>
        <w:rPr>
          <w:sz w:val="20"/>
          <w:szCs w:val="20"/>
          <w:color w:val="auto"/>
        </w:rPr>
      </w:pPr>
    </w:p>
    <w:p>
      <w:pPr>
        <w:ind w:right="2459" w:firstLine="872"/>
        <w:spacing w:after="0" w:line="246" w:lineRule="auto"/>
        <w:rPr>
          <w:sz w:val="20"/>
          <w:szCs w:val="20"/>
          <w:color w:val="auto"/>
        </w:rPr>
      </w:pPr>
      <w:r>
        <w:rPr>
          <w:rFonts w:ascii="Courier New" w:cs="Courier New" w:eastAsia="Courier New" w:hAnsi="Courier New"/>
          <w:sz w:val="16"/>
          <w:szCs w:val="16"/>
          <w:color w:val="auto"/>
        </w:rPr>
        <w:t>If competitors introduce new products and services embodying new technologies, or if new industry standards and practices emerge, our existing product and service offerings, proprietary technology and systems may become obsolete. Further, if we fail to adopt or develop new technologies or to adapt our products and services to emerging industry standards, we may lose current and future customers, which could have a material adverse effect on our business, financial condition and results of operations. The electronic commerce industry is changing rapidly. To remain competitive, we must continue to enhance and improve the functionality and features of our products, services and technologies. For example, we are currently migrating our products and services from a PC-based platform to a web-based platform.</w:t>
      </w:r>
    </w:p>
    <w:p>
      <w:pPr>
        <w:spacing w:after="0" w:line="379"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13</w:t>
      </w:r>
    </w:p>
    <w:p>
      <w:pPr>
        <w:sectPr>
          <w:pgSz w:w="11900" w:h="16838" w:orient="portrait"/>
          <w:cols w:equalWidth="0" w:num="1">
            <w:col w:w="10219"/>
          </w:cols>
          <w:pgMar w:left="240" w:top="303" w:right="1440" w:bottom="1440" w:gutter="0" w:footer="0" w:header="0"/>
        </w:sectPr>
      </w:pPr>
    </w:p>
    <w:bookmarkStart w:id="17" w:name="page18"/>
    <w:bookmarkEnd w:id="17"/>
    <w:p>
      <w:pPr>
        <w:ind w:left="300"/>
        <w:spacing w:after="0"/>
        <w:rPr>
          <w:sz w:val="20"/>
          <w:szCs w:val="20"/>
          <w:color w:val="auto"/>
        </w:rPr>
      </w:pPr>
      <w:r>
        <w:rPr>
          <w:rFonts w:ascii="Courier New" w:cs="Courier New" w:eastAsia="Courier New" w:hAnsi="Courier New"/>
          <w:sz w:val="16"/>
          <w:szCs w:val="16"/>
          <w:color w:val="auto"/>
        </w:rPr>
        <w:t>14</w:t>
      </w:r>
    </w:p>
    <w:p>
      <w:pPr>
        <w:spacing w:after="0" w:line="191" w:lineRule="exact"/>
        <w:rPr>
          <w:sz w:val="20"/>
          <w:szCs w:val="20"/>
          <w:color w:val="auto"/>
        </w:rPr>
      </w:pPr>
    </w:p>
    <w:p>
      <w:pPr>
        <w:ind w:right="2659"/>
        <w:spacing w:after="0" w:line="248" w:lineRule="auto"/>
        <w:rPr>
          <w:sz w:val="20"/>
          <w:szCs w:val="20"/>
          <w:color w:val="auto"/>
        </w:rPr>
      </w:pPr>
      <w:r>
        <w:rPr>
          <w:rFonts w:ascii="Courier New" w:cs="Courier New" w:eastAsia="Courier New" w:hAnsi="Courier New"/>
          <w:sz w:val="16"/>
          <w:szCs w:val="16"/>
          <w:color w:val="auto"/>
        </w:rPr>
        <w:t>WE MAY BE UNABLE TO PROTECT OUR PROPRIETARY TECHNOLOGY, PERMITTING COMPETITORS TO DUPLICATE OUR PRODUCTS AND SERVICES.</w:t>
      </w:r>
    </w:p>
    <w:p>
      <w:pPr>
        <w:spacing w:after="0" w:line="184" w:lineRule="exact"/>
        <w:rPr>
          <w:sz w:val="20"/>
          <w:szCs w:val="20"/>
          <w:color w:val="auto"/>
        </w:rPr>
      </w:pPr>
    </w:p>
    <w:p>
      <w:pPr>
        <w:ind w:right="2459" w:firstLine="872"/>
        <w:spacing w:after="0" w:line="246" w:lineRule="auto"/>
        <w:rPr>
          <w:sz w:val="20"/>
          <w:szCs w:val="20"/>
          <w:color w:val="auto"/>
        </w:rPr>
      </w:pPr>
      <w:r>
        <w:rPr>
          <w:rFonts w:ascii="Courier New" w:cs="Courier New" w:eastAsia="Courier New" w:hAnsi="Courier New"/>
          <w:sz w:val="16"/>
          <w:szCs w:val="16"/>
          <w:color w:val="auto"/>
        </w:rPr>
        <w:t>Our success and ability to compete is dependent, in part, upon our proprietary technology, which includes our patent for our electronic billing and payment processing system, our source code information for our software products, and our operating technology. We rely primarily on patent, copyright, trade secret and trademark laws to protect our technology. In addition, we have been granted a patent for some features of our electronic billing and payment processing system, which we believe provides some measure of security for our technologies. If challenged, we cannot assure you that our patent will prove to be valid or provide the protection that we need. Further, the source code for our proprietary software is protected both as a trade secret and as a copyrighted work. We generally enter into confidentiality and assignment agreements with our employees, consultants and vendors, and generally control access to and distribution of our software, documentation and other proprietary information.</w:t>
      </w:r>
    </w:p>
    <w:p>
      <w:pPr>
        <w:spacing w:after="0" w:line="194" w:lineRule="exact"/>
        <w:rPr>
          <w:sz w:val="20"/>
          <w:szCs w:val="20"/>
          <w:color w:val="auto"/>
        </w:rPr>
      </w:pPr>
    </w:p>
    <w:p>
      <w:pPr>
        <w:ind w:right="2459" w:firstLine="872"/>
        <w:spacing w:after="0" w:line="246" w:lineRule="auto"/>
        <w:rPr>
          <w:sz w:val="20"/>
          <w:szCs w:val="20"/>
          <w:color w:val="auto"/>
        </w:rPr>
      </w:pPr>
      <w:r>
        <w:rPr>
          <w:rFonts w:ascii="Courier New" w:cs="Courier New" w:eastAsia="Courier New" w:hAnsi="Courier New"/>
          <w:sz w:val="16"/>
          <w:szCs w:val="16"/>
          <w:color w:val="auto"/>
        </w:rPr>
        <w:t>Because our means of protecting our proprietary rights may not be adequate, it may be possible for a third party to copy, reverse engineer or otherwise obtain and use our technology without authorization. In addition, the laws of some countries in which we sell our products do not protect software and intellectual property rights to the same extent as the laws of the U.S. Unauthorized copying, use or reverse engineering of our products could have a material adverse effect on our business, financial condition and results of operations.</w:t>
      </w:r>
    </w:p>
    <w:p>
      <w:pPr>
        <w:spacing w:after="0" w:line="191" w:lineRule="exact"/>
        <w:rPr>
          <w:sz w:val="20"/>
          <w:szCs w:val="20"/>
          <w:color w:val="auto"/>
        </w:rPr>
      </w:pPr>
    </w:p>
    <w:p>
      <w:pPr>
        <w:ind w:right="2659" w:firstLine="872"/>
        <w:spacing w:after="0" w:line="247" w:lineRule="auto"/>
        <w:rPr>
          <w:sz w:val="20"/>
          <w:szCs w:val="20"/>
          <w:color w:val="auto"/>
        </w:rPr>
      </w:pPr>
      <w:r>
        <w:rPr>
          <w:rFonts w:ascii="Courier New" w:cs="Courier New" w:eastAsia="Courier New" w:hAnsi="Courier New"/>
          <w:sz w:val="16"/>
          <w:szCs w:val="16"/>
          <w:color w:val="auto"/>
        </w:rPr>
        <w:t>A third party could also claim that our technology infringes its proprietary rights. As the number of software products in our target markets increases and the functionality of these products overlap, we believe that software developers may increasingly face infringement claims. These claims, even if without merit, can be time-consuming and expensive to defend. A third party asserting infringement claims against us in the future may require us to enter into costly royalty arrangements or litigation.</w:t>
      </w:r>
    </w:p>
    <w:p>
      <w:pPr>
        <w:spacing w:after="0" w:line="185" w:lineRule="exact"/>
        <w:rPr>
          <w:sz w:val="20"/>
          <w:szCs w:val="20"/>
          <w:color w:val="auto"/>
        </w:rPr>
      </w:pPr>
    </w:p>
    <w:p>
      <w:pPr>
        <w:ind w:right="2559"/>
        <w:spacing w:after="0" w:line="247" w:lineRule="auto"/>
        <w:rPr>
          <w:sz w:val="20"/>
          <w:szCs w:val="20"/>
          <w:color w:val="auto"/>
        </w:rPr>
      </w:pPr>
      <w:r>
        <w:rPr>
          <w:rFonts w:ascii="Courier New" w:cs="Courier New" w:eastAsia="Courier New" w:hAnsi="Courier New"/>
          <w:sz w:val="16"/>
          <w:szCs w:val="16"/>
          <w:color w:val="auto"/>
        </w:rPr>
        <w:t>WE ARE SUBJECT TO SIGNIFICANT INFLUENCE BY SOME OF OUR STOCKHOLDERS THAT MAY HAVE INTERESTS DIFFERENT FROM YOURS OR MAY DELAY OR PREVENT A CHANGE OF CONTROL OF CHECKFREE.</w:t>
      </w:r>
    </w:p>
    <w:p>
      <w:pPr>
        <w:spacing w:after="0" w:line="186" w:lineRule="exact"/>
        <w:rPr>
          <w:sz w:val="20"/>
          <w:szCs w:val="20"/>
          <w:color w:val="auto"/>
        </w:rPr>
      </w:pPr>
    </w:p>
    <w:p>
      <w:pPr>
        <w:ind w:right="2559" w:firstLine="872"/>
        <w:spacing w:after="0" w:line="247" w:lineRule="auto"/>
        <w:rPr>
          <w:sz w:val="20"/>
          <w:szCs w:val="20"/>
          <w:color w:val="auto"/>
        </w:rPr>
      </w:pPr>
      <w:r>
        <w:rPr>
          <w:rFonts w:ascii="Courier New" w:cs="Courier New" w:eastAsia="Courier New" w:hAnsi="Courier New"/>
          <w:sz w:val="16"/>
          <w:szCs w:val="16"/>
          <w:color w:val="auto"/>
        </w:rPr>
        <w:t>On January 31, 2000, our directors and executive officers collectively beneficially owned approximately 16.4% of our outstanding common stock. In addition, as a result of the completion of the TransPoint acquisition, Microsoft, First Data, Citibank and their affiliates will beneficially own approximately 23% of our outstanding common stock. In addition, as of January 31, 2000, affiliates of Intuit Inc. beneficially owned approximately 18.9% of our outstanding common stock.</w:t>
      </w:r>
    </w:p>
    <w:p>
      <w:pPr>
        <w:spacing w:after="0" w:line="185" w:lineRule="exact"/>
        <w:rPr>
          <w:sz w:val="20"/>
          <w:szCs w:val="20"/>
          <w:color w:val="auto"/>
        </w:rPr>
      </w:pPr>
    </w:p>
    <w:p>
      <w:pPr>
        <w:ind w:right="2459" w:firstLine="872"/>
        <w:spacing w:after="0" w:line="247" w:lineRule="auto"/>
        <w:rPr>
          <w:sz w:val="20"/>
          <w:szCs w:val="20"/>
          <w:color w:val="auto"/>
        </w:rPr>
      </w:pPr>
      <w:r>
        <w:rPr>
          <w:rFonts w:ascii="Courier New" w:cs="Courier New" w:eastAsia="Courier New" w:hAnsi="Courier New"/>
          <w:sz w:val="16"/>
          <w:szCs w:val="16"/>
          <w:color w:val="auto"/>
        </w:rPr>
        <w:t>These significant stockholders are able to exercise significant influence over matters requiring stockholder approval, including the election of directors and approval of significant corporate transactions. The interests of these stockholders may be different from yours. In addition, this concentration of ownership may have the effect of delaying or preventing a change of control under various circumstances.</w:t>
      </w:r>
    </w:p>
    <w:p>
      <w:pPr>
        <w:spacing w:after="0" w:line="185" w:lineRule="exact"/>
        <w:rPr>
          <w:sz w:val="20"/>
          <w:szCs w:val="20"/>
          <w:color w:val="auto"/>
        </w:rPr>
      </w:pPr>
    </w:p>
    <w:p>
      <w:pPr>
        <w:ind w:right="2959"/>
        <w:spacing w:after="0" w:line="248" w:lineRule="auto"/>
        <w:rPr>
          <w:sz w:val="20"/>
          <w:szCs w:val="20"/>
          <w:color w:val="auto"/>
        </w:rPr>
      </w:pPr>
      <w:r>
        <w:rPr>
          <w:rFonts w:ascii="Courier New" w:cs="Courier New" w:eastAsia="Courier New" w:hAnsi="Courier New"/>
          <w:sz w:val="16"/>
          <w:szCs w:val="16"/>
          <w:color w:val="auto"/>
        </w:rPr>
        <w:t>OUR BUSINESS COULD BECOME SUBJECT TO INCREASED GOVERNMENT REGULATION, WHICH COULD MAKE OUR BUSINESS MORE EXPENSIVE TO OPERATE.</w:t>
      </w:r>
    </w:p>
    <w:p>
      <w:pPr>
        <w:spacing w:after="0" w:line="184" w:lineRule="exact"/>
        <w:rPr>
          <w:sz w:val="20"/>
          <w:szCs w:val="20"/>
          <w:color w:val="auto"/>
        </w:rPr>
      </w:pPr>
    </w:p>
    <w:p>
      <w:pPr>
        <w:ind w:right="2459" w:firstLine="872"/>
        <w:spacing w:after="0" w:line="246" w:lineRule="auto"/>
        <w:rPr>
          <w:sz w:val="20"/>
          <w:szCs w:val="20"/>
          <w:color w:val="auto"/>
        </w:rPr>
      </w:pPr>
      <w:r>
        <w:rPr>
          <w:rFonts w:ascii="Courier New" w:cs="Courier New" w:eastAsia="Courier New" w:hAnsi="Courier New"/>
          <w:sz w:val="16"/>
          <w:szCs w:val="16"/>
          <w:color w:val="auto"/>
        </w:rPr>
        <w:t>We believe that we are not required to be licensed by the Office of the Comptroller of the Currency, or OCC, the Federal Reserve Board or other federal agencies that regulate or monitor banks or other types of providers of electronic commerce services. A number of states have legislation regulating or licensing check sellers, money transmitters or service providers to banks, and we have registered under this legislation in specific instances. Because electronic commerce in general, and most of our products and services in particular, are so new, the application of many of these laws and regulations is uncertain and difficult to interpret. The entities responsible for interpreting and enforcing these laws and regulations could amend these laws or regulations or issue new interpretations of existing laws or regulations. Any of these changes could lead to increased operating costs and reduce the convenience and functionality of our products or services, possibly resulting in reduced market acceptance. It is also possible that new laws and regulations may be enacted with respect to the Internet, including taxation of electronic commerce activities. The adoption of any of these laws or regulations may decrease the growth of the Internet, which could in turn decrease the demand for our products or services, increase our cost of doing business or could otherwise have a material adverse effect on our business, financial condition and results of operations.</w:t>
      </w:r>
    </w:p>
    <w:p>
      <w:pPr>
        <w:sectPr>
          <w:pgSz w:w="11900" w:h="16838" w:orient="portrait"/>
          <w:cols w:equalWidth="0" w:num="1">
            <w:col w:w="10219"/>
          </w:cols>
          <w:pgMar w:left="240" w:top="303" w:right="1440" w:bottom="695" w:gutter="0" w:footer="0" w:header="0"/>
        </w:sectPr>
      </w:pPr>
    </w:p>
    <w:p>
      <w:pPr>
        <w:spacing w:after="0" w:line="384"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14</w:t>
      </w:r>
    </w:p>
    <w:p>
      <w:pPr>
        <w:sectPr>
          <w:pgSz w:w="11900" w:h="16838" w:orient="portrait"/>
          <w:cols w:equalWidth="0" w:num="1">
            <w:col w:w="10219"/>
          </w:cols>
          <w:pgMar w:left="240" w:top="303" w:right="1440" w:bottom="695" w:gutter="0" w:footer="0" w:header="0"/>
          <w:type w:val="continuous"/>
        </w:sectPr>
      </w:pPr>
    </w:p>
    <w:bookmarkStart w:id="18" w:name="page19"/>
    <w:bookmarkEnd w:id="18"/>
    <w:p>
      <w:pPr>
        <w:ind w:left="300"/>
        <w:spacing w:after="0"/>
        <w:rPr>
          <w:sz w:val="20"/>
          <w:szCs w:val="20"/>
          <w:color w:val="auto"/>
        </w:rPr>
      </w:pPr>
      <w:r>
        <w:rPr>
          <w:rFonts w:ascii="Courier New" w:cs="Courier New" w:eastAsia="Courier New" w:hAnsi="Courier New"/>
          <w:sz w:val="16"/>
          <w:szCs w:val="16"/>
          <w:color w:val="auto"/>
        </w:rPr>
        <w:t>15</w:t>
      </w:r>
    </w:p>
    <w:p>
      <w:pPr>
        <w:spacing w:after="0" w:line="191" w:lineRule="exact"/>
        <w:rPr>
          <w:sz w:val="20"/>
          <w:szCs w:val="20"/>
          <w:color w:val="auto"/>
        </w:rPr>
      </w:pPr>
    </w:p>
    <w:p>
      <w:pPr>
        <w:ind w:right="2559" w:firstLine="872"/>
        <w:spacing w:after="0" w:line="247" w:lineRule="auto"/>
        <w:rPr>
          <w:sz w:val="20"/>
          <w:szCs w:val="20"/>
          <w:color w:val="auto"/>
        </w:rPr>
      </w:pPr>
      <w:r>
        <w:rPr>
          <w:rFonts w:ascii="Courier New" w:cs="Courier New" w:eastAsia="Courier New" w:hAnsi="Courier New"/>
          <w:sz w:val="16"/>
          <w:szCs w:val="16"/>
          <w:color w:val="auto"/>
        </w:rPr>
        <w:t>The Federal Reserve rules provide that we can only access the Federal Reserve's ACH through a bank. If the Federal Reserve rules were to change to further restrict our access to the ACH or limit our ability to provide ACH transaction processing services, it could have a material adverse effect on our business, financial condition and results of operations.</w:t>
      </w:r>
    </w:p>
    <w:p>
      <w:pPr>
        <w:spacing w:after="0" w:line="185" w:lineRule="exact"/>
        <w:rPr>
          <w:sz w:val="20"/>
          <w:szCs w:val="20"/>
          <w:color w:val="auto"/>
        </w:rPr>
      </w:pPr>
    </w:p>
    <w:p>
      <w:pPr>
        <w:ind w:right="3239"/>
        <w:spacing w:after="0" w:line="248" w:lineRule="auto"/>
        <w:rPr>
          <w:sz w:val="20"/>
          <w:szCs w:val="20"/>
          <w:color w:val="auto"/>
        </w:rPr>
      </w:pPr>
      <w:r>
        <w:rPr>
          <w:rFonts w:ascii="Courier New" w:cs="Courier New" w:eastAsia="Courier New" w:hAnsi="Courier New"/>
          <w:sz w:val="16"/>
          <w:szCs w:val="16"/>
          <w:color w:val="auto"/>
        </w:rPr>
        <w:t>IF WE ARE UNABLE TO RECRUIT AND RETAIN ADDITIONAL SKILLED PERSONNEL, OUR BUSINESS COULD BE ADVERSELY AFFECTED.</w:t>
      </w:r>
    </w:p>
    <w:p>
      <w:pPr>
        <w:spacing w:after="0" w:line="184" w:lineRule="exact"/>
        <w:rPr>
          <w:sz w:val="20"/>
          <w:szCs w:val="20"/>
          <w:color w:val="auto"/>
        </w:rPr>
      </w:pPr>
    </w:p>
    <w:p>
      <w:pPr>
        <w:ind w:right="2459" w:firstLine="872"/>
        <w:spacing w:after="0" w:line="246" w:lineRule="auto"/>
        <w:rPr>
          <w:sz w:val="20"/>
          <w:szCs w:val="20"/>
          <w:color w:val="auto"/>
        </w:rPr>
      </w:pPr>
      <w:r>
        <w:rPr>
          <w:rFonts w:ascii="Courier New" w:cs="Courier New" w:eastAsia="Courier New" w:hAnsi="Courier New"/>
          <w:sz w:val="16"/>
          <w:szCs w:val="16"/>
          <w:color w:val="auto"/>
        </w:rPr>
        <w:t>Our future success depends on our ability to attract, train, assimilate and retain additional skilled personnel. Competition for qualified employees in all of our business segments is intense. A significant increase in our customer base would necessitate the hiring of a significant number of additional customer care and technical support personnel, as well as software developers and technicians, qualified candidates for which are currently in short supply. We cannot assure you that we will be able to retain our key employees or that we can attract, train, assimilate or retain other skilled personnel in the future, and the failure to do so could have a material adverse effect on our business, financial condition and results of operations.</w:t>
      </w:r>
    </w:p>
    <w:p>
      <w:pPr>
        <w:spacing w:after="0" w:line="19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THE LOSS OF KEY EXECUTIVES COULD ADVERSELY AFFECT OUR BUSINESS.</w:t>
      </w:r>
    </w:p>
    <w:p>
      <w:pPr>
        <w:spacing w:after="0" w:line="191" w:lineRule="exact"/>
        <w:rPr>
          <w:sz w:val="20"/>
          <w:szCs w:val="20"/>
          <w:color w:val="auto"/>
        </w:rPr>
      </w:pPr>
    </w:p>
    <w:p>
      <w:pPr>
        <w:ind w:right="3339" w:firstLine="872"/>
        <w:spacing w:after="0" w:line="248" w:lineRule="auto"/>
        <w:rPr>
          <w:sz w:val="20"/>
          <w:szCs w:val="20"/>
          <w:color w:val="auto"/>
        </w:rPr>
      </w:pPr>
      <w:r>
        <w:rPr>
          <w:rFonts w:ascii="Courier New" w:cs="Courier New" w:eastAsia="Courier New" w:hAnsi="Courier New"/>
          <w:sz w:val="16"/>
          <w:szCs w:val="16"/>
          <w:color w:val="auto"/>
        </w:rPr>
        <w:t>Our success depends to a significant degree upon the continued contributions of our key management, including:</w:t>
      </w:r>
    </w:p>
    <w:p>
      <w:pPr>
        <w:spacing w:after="0" w:line="184" w:lineRule="exact"/>
        <w:rPr>
          <w:sz w:val="20"/>
          <w:szCs w:val="20"/>
          <w:color w:val="auto"/>
        </w:rPr>
      </w:pPr>
    </w:p>
    <w:p>
      <w:pPr>
        <w:ind w:left="1060" w:hanging="189"/>
        <w:spacing w:after="0"/>
        <w:tabs>
          <w:tab w:leader="none" w:pos="1060" w:val="left"/>
        </w:tabs>
        <w:numPr>
          <w:ilvl w:val="0"/>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Peter J. Kight, our founder, Chairman and Chief Executive Officer;</w:t>
      </w:r>
    </w:p>
    <w:p>
      <w:pPr>
        <w:spacing w:after="0" w:line="191" w:lineRule="exact"/>
        <w:rPr>
          <w:rFonts w:ascii="Courier New" w:cs="Courier New" w:eastAsia="Courier New" w:hAnsi="Courier New"/>
          <w:sz w:val="16"/>
          <w:szCs w:val="16"/>
          <w:color w:val="auto"/>
        </w:rPr>
      </w:pPr>
    </w:p>
    <w:p>
      <w:pPr>
        <w:ind w:left="1060" w:hanging="189"/>
        <w:spacing w:after="0"/>
        <w:tabs>
          <w:tab w:leader="none" w:pos="1060" w:val="left"/>
        </w:tabs>
        <w:numPr>
          <w:ilvl w:val="0"/>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Mark A. Johnson, our Vice Chairman, Corporate Development;</w:t>
      </w:r>
    </w:p>
    <w:p>
      <w:pPr>
        <w:spacing w:after="0" w:line="191" w:lineRule="exact"/>
        <w:rPr>
          <w:rFonts w:ascii="Courier New" w:cs="Courier New" w:eastAsia="Courier New" w:hAnsi="Courier New"/>
          <w:sz w:val="16"/>
          <w:szCs w:val="16"/>
          <w:color w:val="auto"/>
        </w:rPr>
      </w:pPr>
    </w:p>
    <w:p>
      <w:pPr>
        <w:ind w:left="1060" w:hanging="189"/>
        <w:spacing w:after="0"/>
        <w:tabs>
          <w:tab w:leader="none" w:pos="1060" w:val="left"/>
        </w:tabs>
        <w:numPr>
          <w:ilvl w:val="0"/>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Peter F. Sinisgalli, our President; and</w:t>
      </w:r>
    </w:p>
    <w:p>
      <w:pPr>
        <w:spacing w:after="0" w:line="191" w:lineRule="exact"/>
        <w:rPr>
          <w:rFonts w:ascii="Courier New" w:cs="Courier New" w:eastAsia="Courier New" w:hAnsi="Courier New"/>
          <w:sz w:val="16"/>
          <w:szCs w:val="16"/>
          <w:color w:val="auto"/>
        </w:rPr>
      </w:pPr>
    </w:p>
    <w:p>
      <w:pPr>
        <w:ind w:left="1060" w:right="3039" w:hanging="189"/>
        <w:spacing w:after="0" w:line="248" w:lineRule="auto"/>
        <w:tabs>
          <w:tab w:leader="none" w:pos="1060" w:val="left"/>
        </w:tabs>
        <w:numPr>
          <w:ilvl w:val="0"/>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Ravi Ganesan, our Executive Vice President and Chief Technology Officer.</w:t>
      </w:r>
    </w:p>
    <w:p>
      <w:pPr>
        <w:spacing w:after="0" w:line="184" w:lineRule="exact"/>
        <w:rPr>
          <w:sz w:val="20"/>
          <w:szCs w:val="20"/>
          <w:color w:val="auto"/>
        </w:rPr>
      </w:pPr>
    </w:p>
    <w:p>
      <w:pPr>
        <w:ind w:right="2559"/>
        <w:spacing w:after="0" w:line="247" w:lineRule="auto"/>
        <w:rPr>
          <w:sz w:val="20"/>
          <w:szCs w:val="20"/>
          <w:color w:val="auto"/>
        </w:rPr>
      </w:pPr>
      <w:r>
        <w:rPr>
          <w:rFonts w:ascii="Courier New" w:cs="Courier New" w:eastAsia="Courier New" w:hAnsi="Courier New"/>
          <w:sz w:val="16"/>
          <w:szCs w:val="16"/>
          <w:color w:val="auto"/>
        </w:rPr>
        <w:t>We may not be able to retain the services of our key management members or attract additional qualified members to management in the future. The loss of services of any key management member could have a material adverse effect upon our business, results of operations and financial condition.</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RISKS RELATED TO THE COMMON STOCK</w:t>
      </w:r>
    </w:p>
    <w:p>
      <w:pPr>
        <w:spacing w:after="0" w:line="19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THE MARKET PRICE FOR OUR COMMON STOCK OF HAS BEEN VOLATILE.</w:t>
      </w:r>
    </w:p>
    <w:p>
      <w:pPr>
        <w:spacing w:after="0" w:line="191" w:lineRule="exact"/>
        <w:rPr>
          <w:sz w:val="20"/>
          <w:szCs w:val="20"/>
          <w:color w:val="auto"/>
        </w:rPr>
      </w:pPr>
    </w:p>
    <w:p>
      <w:pPr>
        <w:ind w:right="2659" w:firstLine="872"/>
        <w:spacing w:after="0" w:line="247" w:lineRule="auto"/>
        <w:rPr>
          <w:sz w:val="20"/>
          <w:szCs w:val="20"/>
          <w:color w:val="auto"/>
        </w:rPr>
      </w:pPr>
      <w:r>
        <w:rPr>
          <w:rFonts w:ascii="Courier New" w:cs="Courier New" w:eastAsia="Courier New" w:hAnsi="Courier New"/>
          <w:sz w:val="16"/>
          <w:szCs w:val="16"/>
          <w:color w:val="auto"/>
        </w:rPr>
        <w:t>Our common stock is quoted on the Nasdaq National Market and we have experienced substantial volatility in our market price. During the period from December 15, 1999 to the date of this prospectus, the market price our common stock has been as high as $125.63 per share and as low as $55.77 per share.</w:t>
      </w:r>
    </w:p>
    <w:p>
      <w:pPr>
        <w:spacing w:after="0" w:line="186" w:lineRule="exact"/>
        <w:rPr>
          <w:sz w:val="20"/>
          <w:szCs w:val="20"/>
          <w:color w:val="auto"/>
        </w:rPr>
      </w:pPr>
    </w:p>
    <w:p>
      <w:pPr>
        <w:ind w:right="2459" w:firstLine="872"/>
        <w:spacing w:after="0" w:line="247" w:lineRule="auto"/>
        <w:rPr>
          <w:sz w:val="20"/>
          <w:szCs w:val="20"/>
          <w:color w:val="auto"/>
        </w:rPr>
      </w:pPr>
      <w:r>
        <w:rPr>
          <w:rFonts w:ascii="Courier New" w:cs="Courier New" w:eastAsia="Courier New" w:hAnsi="Courier New"/>
          <w:sz w:val="16"/>
          <w:szCs w:val="16"/>
          <w:color w:val="auto"/>
        </w:rPr>
        <w:t>These historical fluctuations of the market price of our common have been and in the future may be the result of various factors, many of which are sometimes beyond our control. These factors may include, but are not limited to, the following:</w:t>
      </w:r>
    </w:p>
    <w:p>
      <w:pPr>
        <w:spacing w:after="0" w:line="186" w:lineRule="exact"/>
        <w:rPr>
          <w:sz w:val="20"/>
          <w:szCs w:val="20"/>
          <w:color w:val="auto"/>
        </w:rPr>
      </w:pPr>
    </w:p>
    <w:p>
      <w:pPr>
        <w:ind w:left="1060" w:hanging="189"/>
        <w:spacing w:after="0"/>
        <w:tabs>
          <w:tab w:leader="none" w:pos="1060" w:val="left"/>
        </w:tabs>
        <w:numPr>
          <w:ilvl w:val="0"/>
          <w:numId w:val="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variations in quarterly operating results;</w:t>
      </w:r>
    </w:p>
    <w:p>
      <w:pPr>
        <w:spacing w:after="0" w:line="191" w:lineRule="exact"/>
        <w:rPr>
          <w:rFonts w:ascii="Courier New" w:cs="Courier New" w:eastAsia="Courier New" w:hAnsi="Courier New"/>
          <w:sz w:val="16"/>
          <w:szCs w:val="16"/>
          <w:color w:val="auto"/>
        </w:rPr>
      </w:pPr>
    </w:p>
    <w:p>
      <w:pPr>
        <w:ind w:left="1060" w:hanging="189"/>
        <w:spacing w:after="0"/>
        <w:tabs>
          <w:tab w:leader="none" w:pos="1060" w:val="left"/>
        </w:tabs>
        <w:numPr>
          <w:ilvl w:val="0"/>
          <w:numId w:val="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gain or loss of significant customers and contracts;</w:t>
      </w:r>
    </w:p>
    <w:p>
      <w:pPr>
        <w:spacing w:after="0" w:line="191" w:lineRule="exact"/>
        <w:rPr>
          <w:rFonts w:ascii="Courier New" w:cs="Courier New" w:eastAsia="Courier New" w:hAnsi="Courier New"/>
          <w:sz w:val="16"/>
          <w:szCs w:val="16"/>
          <w:color w:val="auto"/>
        </w:rPr>
      </w:pPr>
    </w:p>
    <w:p>
      <w:pPr>
        <w:ind w:left="1060" w:hanging="189"/>
        <w:spacing w:after="0"/>
        <w:tabs>
          <w:tab w:leader="none" w:pos="1060" w:val="left"/>
        </w:tabs>
        <w:numPr>
          <w:ilvl w:val="0"/>
          <w:numId w:val="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changes in our management;</w:t>
      </w:r>
    </w:p>
    <w:p>
      <w:pPr>
        <w:spacing w:after="0" w:line="191" w:lineRule="exact"/>
        <w:rPr>
          <w:rFonts w:ascii="Courier New" w:cs="Courier New" w:eastAsia="Courier New" w:hAnsi="Courier New"/>
          <w:sz w:val="16"/>
          <w:szCs w:val="16"/>
          <w:color w:val="auto"/>
        </w:rPr>
      </w:pPr>
    </w:p>
    <w:p>
      <w:pPr>
        <w:ind w:left="1060" w:right="2659" w:hanging="189"/>
        <w:spacing w:after="0" w:line="248" w:lineRule="auto"/>
        <w:tabs>
          <w:tab w:leader="none" w:pos="1060" w:val="left"/>
        </w:tabs>
        <w:numPr>
          <w:ilvl w:val="0"/>
          <w:numId w:val="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announcements of technical innovations or new products by us or our competitors;</w:t>
      </w:r>
    </w:p>
    <w:p>
      <w:pPr>
        <w:spacing w:after="0" w:line="184" w:lineRule="exact"/>
        <w:rPr>
          <w:rFonts w:ascii="Courier New" w:cs="Courier New" w:eastAsia="Courier New" w:hAnsi="Courier New"/>
          <w:sz w:val="16"/>
          <w:szCs w:val="16"/>
          <w:color w:val="auto"/>
        </w:rPr>
      </w:pPr>
    </w:p>
    <w:p>
      <w:pPr>
        <w:ind w:left="1060" w:hanging="189"/>
        <w:spacing w:after="0"/>
        <w:tabs>
          <w:tab w:leader="none" w:pos="1060" w:val="left"/>
        </w:tabs>
        <w:numPr>
          <w:ilvl w:val="0"/>
          <w:numId w:val="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new legal and regulatory considerations and restrictions;</w:t>
      </w:r>
    </w:p>
    <w:p>
      <w:pPr>
        <w:spacing w:after="0" w:line="191" w:lineRule="exact"/>
        <w:rPr>
          <w:rFonts w:ascii="Courier New" w:cs="Courier New" w:eastAsia="Courier New" w:hAnsi="Courier New"/>
          <w:sz w:val="16"/>
          <w:szCs w:val="16"/>
          <w:color w:val="auto"/>
        </w:rPr>
      </w:pPr>
    </w:p>
    <w:p>
      <w:pPr>
        <w:ind w:left="1060" w:hanging="189"/>
        <w:spacing w:after="0"/>
        <w:tabs>
          <w:tab w:leader="none" w:pos="1060" w:val="left"/>
        </w:tabs>
        <w:numPr>
          <w:ilvl w:val="0"/>
          <w:numId w:val="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recommendations by securities industry analysts;</w:t>
      </w:r>
    </w:p>
    <w:p>
      <w:pPr>
        <w:spacing w:after="0" w:line="191" w:lineRule="exact"/>
        <w:rPr>
          <w:rFonts w:ascii="Courier New" w:cs="Courier New" w:eastAsia="Courier New" w:hAnsi="Courier New"/>
          <w:sz w:val="16"/>
          <w:szCs w:val="16"/>
          <w:color w:val="auto"/>
        </w:rPr>
      </w:pPr>
    </w:p>
    <w:p>
      <w:pPr>
        <w:ind w:left="1060" w:hanging="189"/>
        <w:spacing w:after="0"/>
        <w:tabs>
          <w:tab w:leader="none" w:pos="1060" w:val="left"/>
        </w:tabs>
        <w:numPr>
          <w:ilvl w:val="0"/>
          <w:numId w:val="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developments concerning the protection of our intellectual property;</w:t>
      </w:r>
    </w:p>
    <w:p>
      <w:pPr>
        <w:spacing w:after="0" w:line="191" w:lineRule="exact"/>
        <w:rPr>
          <w:rFonts w:ascii="Courier New" w:cs="Courier New" w:eastAsia="Courier New" w:hAnsi="Courier New"/>
          <w:sz w:val="16"/>
          <w:szCs w:val="16"/>
          <w:color w:val="auto"/>
        </w:rPr>
      </w:pPr>
    </w:p>
    <w:p>
      <w:pPr>
        <w:ind w:left="1060" w:hanging="189"/>
        <w:spacing w:after="0"/>
        <w:tabs>
          <w:tab w:leader="none" w:pos="1060" w:val="left"/>
        </w:tabs>
        <w:numPr>
          <w:ilvl w:val="0"/>
          <w:numId w:val="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general trends in our industry; and</w:t>
      </w:r>
    </w:p>
    <w:p>
      <w:pPr>
        <w:spacing w:after="0" w:line="191" w:lineRule="exact"/>
        <w:rPr>
          <w:rFonts w:ascii="Courier New" w:cs="Courier New" w:eastAsia="Courier New" w:hAnsi="Courier New"/>
          <w:sz w:val="16"/>
          <w:szCs w:val="16"/>
          <w:color w:val="auto"/>
        </w:rPr>
      </w:pPr>
    </w:p>
    <w:p>
      <w:pPr>
        <w:ind w:left="1060" w:right="2459" w:hanging="189"/>
        <w:spacing w:after="0" w:line="248" w:lineRule="auto"/>
        <w:tabs>
          <w:tab w:leader="none" w:pos="1060" w:val="left"/>
        </w:tabs>
        <w:numPr>
          <w:ilvl w:val="0"/>
          <w:numId w:val="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general economic trends and conditions, both in the United States and abroad.</w:t>
      </w:r>
    </w:p>
    <w:p>
      <w:pPr>
        <w:spacing w:after="0" w:line="184" w:lineRule="exact"/>
        <w:rPr>
          <w:sz w:val="20"/>
          <w:szCs w:val="20"/>
          <w:color w:val="auto"/>
        </w:rPr>
      </w:pPr>
    </w:p>
    <w:p>
      <w:pPr>
        <w:ind w:right="2459" w:firstLine="872"/>
        <w:spacing w:after="0" w:line="247" w:lineRule="auto"/>
        <w:rPr>
          <w:sz w:val="20"/>
          <w:szCs w:val="20"/>
          <w:color w:val="auto"/>
        </w:rPr>
      </w:pPr>
      <w:r>
        <w:rPr>
          <w:rFonts w:ascii="Courier New" w:cs="Courier New" w:eastAsia="Courier New" w:hAnsi="Courier New"/>
          <w:sz w:val="16"/>
          <w:szCs w:val="16"/>
          <w:color w:val="auto"/>
        </w:rPr>
        <w:t>In addition, the stock markets in general have experienced extreme price and volume fluctuations in the past that have affected the market price for our common stock, as well as the common stock of many technology companies. These price fluctuations are sometimes unrelated to the operating performance of the specific companies whose stock is affected by the fluctuations.</w:t>
      </w:r>
    </w:p>
    <w:p>
      <w:pPr>
        <w:sectPr>
          <w:pgSz w:w="11900" w:h="16838" w:orient="portrait"/>
          <w:cols w:equalWidth="0" w:num="1">
            <w:col w:w="10219"/>
          </w:cols>
          <w:pgMar w:left="240" w:top="303" w:right="1440" w:bottom="509" w:gutter="0" w:footer="0" w:header="0"/>
        </w:sectPr>
      </w:pPr>
    </w:p>
    <w:p>
      <w:pPr>
        <w:spacing w:after="0" w:line="372"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15</w:t>
      </w:r>
    </w:p>
    <w:p>
      <w:pPr>
        <w:sectPr>
          <w:pgSz w:w="11900" w:h="16838" w:orient="portrait"/>
          <w:cols w:equalWidth="0" w:num="1">
            <w:col w:w="10219"/>
          </w:cols>
          <w:pgMar w:left="240" w:top="303" w:right="1440" w:bottom="509" w:gutter="0" w:footer="0" w:header="0"/>
          <w:type w:val="continuous"/>
        </w:sectPr>
      </w:pPr>
    </w:p>
    <w:bookmarkStart w:id="19" w:name="page20"/>
    <w:bookmarkEnd w:id="19"/>
    <w:p>
      <w:pPr>
        <w:ind w:left="300"/>
        <w:spacing w:after="0"/>
        <w:rPr>
          <w:sz w:val="20"/>
          <w:szCs w:val="20"/>
          <w:color w:val="auto"/>
        </w:rPr>
      </w:pPr>
      <w:r>
        <w:rPr>
          <w:rFonts w:ascii="Courier New" w:cs="Courier New" w:eastAsia="Courier New" w:hAnsi="Courier New"/>
          <w:sz w:val="16"/>
          <w:szCs w:val="16"/>
          <w:color w:val="auto"/>
        </w:rPr>
        <w:t>16</w:t>
      </w:r>
    </w:p>
    <w:p>
      <w:pPr>
        <w:spacing w:after="0" w:line="191" w:lineRule="exact"/>
        <w:rPr>
          <w:sz w:val="20"/>
          <w:szCs w:val="20"/>
          <w:color w:val="auto"/>
        </w:rPr>
      </w:pPr>
    </w:p>
    <w:p>
      <w:pPr>
        <w:ind w:right="2559" w:firstLine="872"/>
        <w:spacing w:after="0" w:line="247" w:lineRule="auto"/>
        <w:rPr>
          <w:sz w:val="20"/>
          <w:szCs w:val="20"/>
          <w:color w:val="auto"/>
        </w:rPr>
      </w:pPr>
      <w:r>
        <w:rPr>
          <w:rFonts w:ascii="Courier New" w:cs="Courier New" w:eastAsia="Courier New" w:hAnsi="Courier New"/>
          <w:sz w:val="16"/>
          <w:szCs w:val="16"/>
          <w:color w:val="auto"/>
        </w:rPr>
        <w:t>In the past, following periods of volatility in the market price of a company's stock, securities class action litigation has occurred against the issuing company. If we are subject to this type of litigation in the future, it could incur substantial costs and a diversion of management's attention and resources, potentially leading to a material adverse effect on the economic condition of these companies.</w:t>
      </w:r>
    </w:p>
    <w:p>
      <w:pPr>
        <w:spacing w:after="0" w:line="185" w:lineRule="exact"/>
        <w:rPr>
          <w:sz w:val="20"/>
          <w:szCs w:val="20"/>
          <w:color w:val="auto"/>
        </w:rPr>
      </w:pPr>
    </w:p>
    <w:p>
      <w:pPr>
        <w:ind w:right="2659"/>
        <w:spacing w:after="0" w:line="248" w:lineRule="auto"/>
        <w:rPr>
          <w:sz w:val="20"/>
          <w:szCs w:val="20"/>
          <w:color w:val="auto"/>
        </w:rPr>
      </w:pPr>
      <w:r>
        <w:rPr>
          <w:rFonts w:ascii="Courier New" w:cs="Courier New" w:eastAsia="Courier New" w:hAnsi="Courier New"/>
          <w:sz w:val="16"/>
          <w:szCs w:val="16"/>
          <w:color w:val="auto"/>
        </w:rPr>
        <w:t>AVAILABILITY OF SIGNIFICANT AMOUNTS OF OUR COMMON STOCK FOR SALE IN THE FUTURE COULD ADVERSELY AFFECT OUR STOCK PRICE.</w:t>
      </w:r>
    </w:p>
    <w:p>
      <w:pPr>
        <w:spacing w:after="0" w:line="184" w:lineRule="exact"/>
        <w:rPr>
          <w:sz w:val="20"/>
          <w:szCs w:val="20"/>
          <w:color w:val="auto"/>
        </w:rPr>
      </w:pPr>
    </w:p>
    <w:p>
      <w:pPr>
        <w:ind w:right="2459" w:firstLine="872"/>
        <w:spacing w:after="0" w:line="246" w:lineRule="auto"/>
        <w:rPr>
          <w:sz w:val="20"/>
          <w:szCs w:val="20"/>
          <w:color w:val="auto"/>
        </w:rPr>
      </w:pPr>
      <w:r>
        <w:rPr>
          <w:rFonts w:ascii="Courier New" w:cs="Courier New" w:eastAsia="Courier New" w:hAnsi="Courier New"/>
          <w:sz w:val="16"/>
          <w:szCs w:val="16"/>
          <w:color w:val="auto"/>
        </w:rPr>
        <w:t>The availability for future sale of a substantial number of shares of our common stock in the public market, or issuance of common stock upon the exercise of stock options, warrants or conversion of the notes or otherwise could adversely affect the market price for our common stock. As of January 31, 2000, we had outstanding 52,635,730 shares of our common stock, of which 34,532,321 shares of our issued and outstanding common stock were held by nonaffiliates. The holders of the remaining 18,103,409 shares were entitled to resell them only pursuant to a registration statement under the Securities Act of 1933 or an applicable exemption from registration. As of January 31, 2000, we had an additional 21,087,430 shares of our common stock available for future sale, including:</w:t>
      </w:r>
    </w:p>
    <w:p>
      <w:pPr>
        <w:spacing w:after="0" w:line="193" w:lineRule="exact"/>
        <w:rPr>
          <w:sz w:val="20"/>
          <w:szCs w:val="20"/>
          <w:color w:val="auto"/>
        </w:rPr>
      </w:pPr>
    </w:p>
    <w:p>
      <w:pPr>
        <w:ind w:left="1060" w:right="2459" w:hanging="189"/>
        <w:spacing w:after="0" w:line="247" w:lineRule="auto"/>
        <w:tabs>
          <w:tab w:leader="none" w:pos="1060" w:val="left"/>
        </w:tabs>
        <w:numPr>
          <w:ilvl w:val="0"/>
          <w:numId w:val="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outstanding options to purchase 5,826,583 shares of our common stock, of which options for 1,428,287 shares were fully vested and exercisable at an average weighted exercise price of approximately $9.21 per share;</w:t>
      </w:r>
    </w:p>
    <w:p>
      <w:pPr>
        <w:spacing w:after="0" w:line="185" w:lineRule="exact"/>
        <w:rPr>
          <w:rFonts w:ascii="Courier New" w:cs="Courier New" w:eastAsia="Courier New" w:hAnsi="Courier New"/>
          <w:sz w:val="16"/>
          <w:szCs w:val="16"/>
          <w:color w:val="auto"/>
        </w:rPr>
      </w:pPr>
    </w:p>
    <w:p>
      <w:pPr>
        <w:jc w:val="both"/>
        <w:ind w:left="1060" w:right="2459" w:hanging="189"/>
        <w:spacing w:after="0" w:line="247" w:lineRule="auto"/>
        <w:tabs>
          <w:tab w:leader="none" w:pos="1060" w:val="left"/>
        </w:tabs>
        <w:numPr>
          <w:ilvl w:val="0"/>
          <w:numId w:val="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issued warrants to purchase 11,400,000 shares of our common stock, of which warrants for 2,725,000 shares were fully vested and exercisable at a weighted exercise price of approximately $20.86 per share;</w:t>
      </w:r>
    </w:p>
    <w:p>
      <w:pPr>
        <w:spacing w:after="0" w:line="185" w:lineRule="exact"/>
        <w:rPr>
          <w:rFonts w:ascii="Courier New" w:cs="Courier New" w:eastAsia="Courier New" w:hAnsi="Courier New"/>
          <w:sz w:val="16"/>
          <w:szCs w:val="16"/>
          <w:color w:val="auto"/>
        </w:rPr>
      </w:pPr>
    </w:p>
    <w:p>
      <w:pPr>
        <w:ind w:left="1060" w:right="2459" w:hanging="189"/>
        <w:spacing w:after="0" w:line="248" w:lineRule="auto"/>
        <w:tabs>
          <w:tab w:leader="none" w:pos="1060" w:val="left"/>
        </w:tabs>
        <w:numPr>
          <w:ilvl w:val="0"/>
          <w:numId w:val="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up to 704,347 shares available for issuance under our Associate Stock Purchase Plan;</w:t>
      </w:r>
    </w:p>
    <w:p>
      <w:pPr>
        <w:spacing w:after="0" w:line="184" w:lineRule="exact"/>
        <w:rPr>
          <w:rFonts w:ascii="Courier New" w:cs="Courier New" w:eastAsia="Courier New" w:hAnsi="Courier New"/>
          <w:sz w:val="16"/>
          <w:szCs w:val="16"/>
          <w:color w:val="auto"/>
        </w:rPr>
      </w:pPr>
    </w:p>
    <w:p>
      <w:pPr>
        <w:ind w:left="1060" w:right="2759" w:hanging="189"/>
        <w:spacing w:after="0" w:line="248" w:lineRule="auto"/>
        <w:tabs>
          <w:tab w:leader="none" w:pos="1060" w:val="left"/>
        </w:tabs>
        <w:numPr>
          <w:ilvl w:val="0"/>
          <w:numId w:val="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up to 799,943 shares available for issuance under our 401(k) Plan; and</w:t>
      </w:r>
    </w:p>
    <w:p>
      <w:pPr>
        <w:spacing w:after="0" w:line="184" w:lineRule="exact"/>
        <w:rPr>
          <w:rFonts w:ascii="Courier New" w:cs="Courier New" w:eastAsia="Courier New" w:hAnsi="Courier New"/>
          <w:sz w:val="16"/>
          <w:szCs w:val="16"/>
          <w:color w:val="auto"/>
        </w:rPr>
      </w:pPr>
    </w:p>
    <w:p>
      <w:pPr>
        <w:ind w:left="1060" w:right="2659" w:hanging="189"/>
        <w:spacing w:after="0" w:line="248" w:lineRule="auto"/>
        <w:tabs>
          <w:tab w:leader="none" w:pos="1060" w:val="left"/>
        </w:tabs>
        <w:numPr>
          <w:ilvl w:val="0"/>
          <w:numId w:val="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up to 2,356,557 shares of our common stock issuable upon conversion of the notes.</w:t>
      </w:r>
    </w:p>
    <w:p>
      <w:pPr>
        <w:spacing w:after="0" w:line="184" w:lineRule="exact"/>
        <w:rPr>
          <w:sz w:val="20"/>
          <w:szCs w:val="20"/>
          <w:color w:val="auto"/>
        </w:rPr>
      </w:pPr>
    </w:p>
    <w:p>
      <w:pPr>
        <w:ind w:right="2459" w:firstLine="872"/>
        <w:spacing w:after="0" w:line="246" w:lineRule="auto"/>
        <w:rPr>
          <w:sz w:val="20"/>
          <w:szCs w:val="20"/>
          <w:color w:val="auto"/>
        </w:rPr>
      </w:pPr>
      <w:r>
        <w:rPr>
          <w:rFonts w:ascii="Courier New" w:cs="Courier New" w:eastAsia="Courier New" w:hAnsi="Courier New"/>
          <w:sz w:val="16"/>
          <w:szCs w:val="16"/>
          <w:color w:val="auto"/>
        </w:rPr>
        <w:t>Intuit Inc., which holds 10,175,000 shares of our common stock, Integrion Financial Network, L.L.C., its members and former members, which collectively hold warrants to purchase up to 9,700,000 shares of our common stock, of which warrants for 2,700,000 shares are fully vested and exercisable, and Bank One, which holds warrants to purchase 1,000,000 shares of our common stock and may be entitled to receive warrants to purchase up to an additional 2,000,000 of our common stock, none of which are currently vested or exercisable, are entitled registration rights subject to specified conditions and restrictions. If Intuit, Integrion or Bank One, by exercising their registration rights, cause a large number of shares to be registered and sold in the public market, such sales may have an adverse effect on the market price of our common stock.</w:t>
      </w:r>
    </w:p>
    <w:p>
      <w:pPr>
        <w:spacing w:after="0" w:line="193" w:lineRule="exact"/>
        <w:rPr>
          <w:sz w:val="20"/>
          <w:szCs w:val="20"/>
          <w:color w:val="auto"/>
        </w:rPr>
      </w:pPr>
    </w:p>
    <w:p>
      <w:pPr>
        <w:ind w:right="2459" w:firstLine="872"/>
        <w:spacing w:after="0" w:line="246" w:lineRule="auto"/>
        <w:rPr>
          <w:sz w:val="20"/>
          <w:szCs w:val="20"/>
          <w:color w:val="auto"/>
        </w:rPr>
      </w:pPr>
      <w:r>
        <w:rPr>
          <w:rFonts w:ascii="Courier New" w:cs="Courier New" w:eastAsia="Courier New" w:hAnsi="Courier New"/>
          <w:sz w:val="16"/>
          <w:szCs w:val="16"/>
          <w:color w:val="auto"/>
        </w:rPr>
        <w:t>After the completion of the TransPoint acquisition, we have agreed pursuant to registration rights agreements with Microsoft, First Data and Citibank to file a shelf registration statement that would allow continuous resales of the shares that they receive on the closing date of the TransPoint acquisition. Although Microsoft and First Data will be limited in their ability to transfer their shares of common stock during the next three years pursuant to stockholder agreements with us, they will be able to transfer significant portions of their common stock in the future in both registered and unregistered sales, especially after the one year anniversary of the consummation of the TransPoint acquisition. In addition, Microsoft and First Data will be permitted to a limited extent to engage in hedging transactions with respect to our common stock. Sales of substantial amounts of our common stock by either Microsoft or First Data, or the perception that these sales could occur, may adversely affect prevailing market prices for our common stock.</w:t>
      </w:r>
    </w:p>
    <w:p>
      <w:pPr>
        <w:spacing w:after="0" w:line="194" w:lineRule="exact"/>
        <w:rPr>
          <w:sz w:val="20"/>
          <w:szCs w:val="20"/>
          <w:color w:val="auto"/>
        </w:rPr>
      </w:pPr>
    </w:p>
    <w:p>
      <w:pPr>
        <w:ind w:right="2659"/>
        <w:spacing w:after="0" w:line="248" w:lineRule="auto"/>
        <w:rPr>
          <w:sz w:val="20"/>
          <w:szCs w:val="20"/>
          <w:color w:val="auto"/>
        </w:rPr>
      </w:pPr>
      <w:r>
        <w:rPr>
          <w:rFonts w:ascii="Courier New" w:cs="Courier New" w:eastAsia="Courier New" w:hAnsi="Courier New"/>
          <w:sz w:val="16"/>
          <w:szCs w:val="16"/>
          <w:color w:val="auto"/>
        </w:rPr>
        <w:t>ANTI-TAKEOVER PROVISIONS IN OUR ORGANIZATIONAL DOCUMENTS AND DELAWARE LAW MAKE ANY CHANGE IN CONTROL MORE DIFFICULT.</w:t>
      </w:r>
    </w:p>
    <w:p>
      <w:pPr>
        <w:spacing w:after="0" w:line="184" w:lineRule="exact"/>
        <w:rPr>
          <w:sz w:val="20"/>
          <w:szCs w:val="20"/>
          <w:color w:val="auto"/>
        </w:rPr>
      </w:pPr>
    </w:p>
    <w:p>
      <w:pPr>
        <w:ind w:right="2659" w:firstLine="872"/>
        <w:spacing w:after="0" w:line="247" w:lineRule="auto"/>
        <w:rPr>
          <w:sz w:val="20"/>
          <w:szCs w:val="20"/>
          <w:color w:val="auto"/>
        </w:rPr>
      </w:pPr>
      <w:r>
        <w:rPr>
          <w:rFonts w:ascii="Courier New" w:cs="Courier New" w:eastAsia="Courier New" w:hAnsi="Courier New"/>
          <w:sz w:val="16"/>
          <w:szCs w:val="16"/>
          <w:color w:val="auto"/>
        </w:rPr>
        <w:t>Our certificate of incorporation and by-laws contain provisions that may have the effect of delaying or preventing a change in control, may discourage bids at a premium over the market price of our common stock and may adversely affect the market price of our common stock and the voting and other rights of the holders of our common stock. These provisions include:</w:t>
      </w:r>
    </w:p>
    <w:p>
      <w:pPr>
        <w:sectPr>
          <w:pgSz w:w="11900" w:h="16838" w:orient="portrait"/>
          <w:cols w:equalWidth="0" w:num="1">
            <w:col w:w="10219"/>
          </w:cols>
          <w:pgMar w:left="240" w:top="303" w:right="1440" w:bottom="881" w:gutter="0" w:footer="0" w:header="0"/>
        </w:sectPr>
      </w:pPr>
    </w:p>
    <w:p>
      <w:pPr>
        <w:spacing w:after="0" w:line="372"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16</w:t>
      </w:r>
    </w:p>
    <w:p>
      <w:pPr>
        <w:sectPr>
          <w:pgSz w:w="11900" w:h="16838" w:orient="portrait"/>
          <w:cols w:equalWidth="0" w:num="1">
            <w:col w:w="10219"/>
          </w:cols>
          <w:pgMar w:left="240" w:top="303" w:right="1440" w:bottom="881" w:gutter="0" w:footer="0" w:header="0"/>
          <w:type w:val="continuous"/>
        </w:sectPr>
      </w:pPr>
    </w:p>
    <w:bookmarkStart w:id="20" w:name="page21"/>
    <w:bookmarkEnd w:id="20"/>
    <w:p>
      <w:pPr>
        <w:ind w:left="300"/>
        <w:spacing w:after="0"/>
        <w:rPr>
          <w:sz w:val="20"/>
          <w:szCs w:val="20"/>
          <w:color w:val="auto"/>
        </w:rPr>
      </w:pPr>
      <w:r>
        <w:rPr>
          <w:rFonts w:ascii="Courier New" w:cs="Courier New" w:eastAsia="Courier New" w:hAnsi="Courier New"/>
          <w:sz w:val="16"/>
          <w:szCs w:val="16"/>
          <w:color w:val="auto"/>
        </w:rPr>
        <w:t>17</w:t>
      </w:r>
    </w:p>
    <w:p>
      <w:pPr>
        <w:spacing w:after="0" w:line="191" w:lineRule="exact"/>
        <w:rPr>
          <w:sz w:val="20"/>
          <w:szCs w:val="20"/>
          <w:color w:val="auto"/>
        </w:rPr>
      </w:pPr>
    </w:p>
    <w:p>
      <w:pPr>
        <w:ind w:left="1060" w:right="3239" w:hanging="189"/>
        <w:spacing w:after="0" w:line="248" w:lineRule="auto"/>
        <w:tabs>
          <w:tab w:leader="none" w:pos="1060" w:val="left"/>
        </w:tabs>
        <w:numPr>
          <w:ilvl w:val="0"/>
          <w:numId w:val="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division of our board of directors into three classes serving staggered three-year terms;</w:t>
      </w:r>
    </w:p>
    <w:p>
      <w:pPr>
        <w:spacing w:after="0" w:line="184" w:lineRule="exact"/>
        <w:rPr>
          <w:rFonts w:ascii="Courier New" w:cs="Courier New" w:eastAsia="Courier New" w:hAnsi="Courier New"/>
          <w:sz w:val="16"/>
          <w:szCs w:val="16"/>
          <w:color w:val="auto"/>
        </w:rPr>
      </w:pPr>
    </w:p>
    <w:p>
      <w:pPr>
        <w:ind w:left="1060" w:right="2559" w:hanging="189"/>
        <w:spacing w:after="0" w:line="248" w:lineRule="auto"/>
        <w:tabs>
          <w:tab w:leader="none" w:pos="1060" w:val="left"/>
        </w:tabs>
        <w:numPr>
          <w:ilvl w:val="0"/>
          <w:numId w:val="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removal of our directors by the stockholders only for cause upon 80% stockholder approval;</w:t>
      </w:r>
    </w:p>
    <w:p>
      <w:pPr>
        <w:spacing w:after="0" w:line="184" w:lineRule="exact"/>
        <w:rPr>
          <w:rFonts w:ascii="Courier New" w:cs="Courier New" w:eastAsia="Courier New" w:hAnsi="Courier New"/>
          <w:sz w:val="16"/>
          <w:szCs w:val="16"/>
          <w:color w:val="auto"/>
        </w:rPr>
      </w:pPr>
    </w:p>
    <w:p>
      <w:pPr>
        <w:ind w:left="1060" w:right="3139" w:hanging="189"/>
        <w:spacing w:after="0" w:line="248" w:lineRule="auto"/>
        <w:tabs>
          <w:tab w:leader="none" w:pos="1060" w:val="left"/>
        </w:tabs>
        <w:numPr>
          <w:ilvl w:val="0"/>
          <w:numId w:val="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prohibiting our stockholders from calling a special meeting of stockholders;</w:t>
      </w:r>
    </w:p>
    <w:p>
      <w:pPr>
        <w:spacing w:after="0" w:line="184" w:lineRule="exact"/>
        <w:rPr>
          <w:rFonts w:ascii="Courier New" w:cs="Courier New" w:eastAsia="Courier New" w:hAnsi="Courier New"/>
          <w:sz w:val="16"/>
          <w:szCs w:val="16"/>
          <w:color w:val="auto"/>
        </w:rPr>
      </w:pPr>
    </w:p>
    <w:p>
      <w:pPr>
        <w:ind w:left="1060" w:right="2659" w:hanging="189"/>
        <w:spacing w:after="0" w:line="248" w:lineRule="auto"/>
        <w:tabs>
          <w:tab w:leader="none" w:pos="1060" w:val="left"/>
        </w:tabs>
        <w:numPr>
          <w:ilvl w:val="0"/>
          <w:numId w:val="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ability to issue additional shares of our common stock or preferred stock without stockholder approval;</w:t>
      </w:r>
    </w:p>
    <w:p>
      <w:pPr>
        <w:spacing w:after="0" w:line="184" w:lineRule="exact"/>
        <w:rPr>
          <w:rFonts w:ascii="Courier New" w:cs="Courier New" w:eastAsia="Courier New" w:hAnsi="Courier New"/>
          <w:sz w:val="16"/>
          <w:szCs w:val="16"/>
          <w:color w:val="auto"/>
        </w:rPr>
      </w:pPr>
    </w:p>
    <w:p>
      <w:pPr>
        <w:ind w:left="1060" w:right="2659" w:hanging="189"/>
        <w:spacing w:after="0" w:line="247" w:lineRule="auto"/>
        <w:tabs>
          <w:tab w:leader="none" w:pos="1060" w:val="left"/>
        </w:tabs>
        <w:numPr>
          <w:ilvl w:val="0"/>
          <w:numId w:val="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prohibiting our stockholders from unilaterally amending our certificate of incorporation or by-laws except with 80% stockholder approval; and</w:t>
      </w:r>
    </w:p>
    <w:p>
      <w:pPr>
        <w:spacing w:after="0" w:line="185" w:lineRule="exact"/>
        <w:rPr>
          <w:rFonts w:ascii="Courier New" w:cs="Courier New" w:eastAsia="Courier New" w:hAnsi="Courier New"/>
          <w:sz w:val="16"/>
          <w:szCs w:val="16"/>
          <w:color w:val="auto"/>
        </w:rPr>
      </w:pPr>
    </w:p>
    <w:p>
      <w:pPr>
        <w:ind w:left="1060" w:right="3539" w:hanging="189"/>
        <w:spacing w:after="0" w:line="248" w:lineRule="auto"/>
        <w:tabs>
          <w:tab w:leader="none" w:pos="1060" w:val="left"/>
        </w:tabs>
        <w:numPr>
          <w:ilvl w:val="0"/>
          <w:numId w:val="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advance notice requirements for raising business or making nominations at stockholders' meetings.</w:t>
      </w:r>
    </w:p>
    <w:p>
      <w:pPr>
        <w:spacing w:after="0" w:line="184" w:lineRule="exact"/>
        <w:rPr>
          <w:sz w:val="20"/>
          <w:szCs w:val="20"/>
          <w:color w:val="auto"/>
        </w:rPr>
      </w:pPr>
    </w:p>
    <w:p>
      <w:pPr>
        <w:ind w:right="2559" w:firstLine="872"/>
        <w:spacing w:after="0" w:line="246" w:lineRule="auto"/>
        <w:rPr>
          <w:sz w:val="20"/>
          <w:szCs w:val="20"/>
          <w:color w:val="auto"/>
        </w:rPr>
      </w:pPr>
      <w:r>
        <w:rPr>
          <w:rFonts w:ascii="Courier New" w:cs="Courier New" w:eastAsia="Courier New" w:hAnsi="Courier New"/>
          <w:sz w:val="16"/>
          <w:szCs w:val="16"/>
          <w:color w:val="auto"/>
        </w:rPr>
        <w:t>We also have a stockholder rights plan that allows us to issue preferred stock with rights senior to those of our common stock without any further vote or action by our stockholders. The issuance of our preferred stock under the stockholder rights plan could decrease the amount of earnings and assets available for distribution to the holders of our common stock or could adversely affect the rights and powers, including voting rights, of the holders of our common stock. In some circumstances, the issuance of preferred stock could have the effect of decreasing the market price of our common stock.</w:t>
      </w:r>
    </w:p>
    <w:p>
      <w:pPr>
        <w:spacing w:after="0" w:line="191" w:lineRule="exact"/>
        <w:rPr>
          <w:sz w:val="20"/>
          <w:szCs w:val="20"/>
          <w:color w:val="auto"/>
        </w:rPr>
      </w:pPr>
    </w:p>
    <w:p>
      <w:pPr>
        <w:ind w:right="2459" w:firstLine="872"/>
        <w:spacing w:after="0" w:line="247" w:lineRule="auto"/>
        <w:rPr>
          <w:sz w:val="20"/>
          <w:szCs w:val="20"/>
          <w:color w:val="auto"/>
        </w:rPr>
      </w:pPr>
      <w:r>
        <w:rPr>
          <w:rFonts w:ascii="Courier New" w:cs="Courier New" w:eastAsia="Courier New" w:hAnsi="Courier New"/>
          <w:sz w:val="16"/>
          <w:szCs w:val="16"/>
          <w:color w:val="auto"/>
        </w:rPr>
        <w:t>We are also subject to provisions of the Delaware corporation law that, in general, prohibit any business combination with a beneficial owner of 15% or more of our common stock for five years unless the holder's acquisition of our stock was approved in advance by our board of directors.</w:t>
      </w:r>
    </w:p>
    <w:p>
      <w:pPr>
        <w:spacing w:after="0" w:line="186" w:lineRule="exact"/>
        <w:rPr>
          <w:sz w:val="20"/>
          <w:szCs w:val="20"/>
          <w:color w:val="auto"/>
        </w:rPr>
      </w:pPr>
    </w:p>
    <w:p>
      <w:pPr>
        <w:ind w:right="2559" w:firstLine="872"/>
        <w:spacing w:after="0" w:line="246" w:lineRule="auto"/>
        <w:rPr>
          <w:sz w:val="20"/>
          <w:szCs w:val="20"/>
          <w:color w:val="auto"/>
        </w:rPr>
      </w:pPr>
      <w:r>
        <w:rPr>
          <w:rFonts w:ascii="Courier New" w:cs="Courier New" w:eastAsia="Courier New" w:hAnsi="Courier New"/>
          <w:sz w:val="16"/>
          <w:szCs w:val="16"/>
          <w:color w:val="auto"/>
        </w:rPr>
        <w:t>In addition, both the commercial alliance agreement with Microsoft and the marketing agreement with First Data, each of which we will execute in connection with the closing of the TransPoint acquisition, both allow the termination of the agreement by Microsoft or First Data, as the case may be, under specific change of control circumstances. If either Microsoft or First Data terminates under these circumstances, we will lose a portion of the future revenue guarantees under the applicable agreement. This potential termination event could discourage third parties from acquiring CheckFree.</w:t>
      </w:r>
    </w:p>
    <w:p>
      <w:pPr>
        <w:spacing w:after="0" w:line="377"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17</w:t>
      </w:r>
    </w:p>
    <w:p>
      <w:pPr>
        <w:sectPr>
          <w:pgSz w:w="11900" w:h="16838" w:orient="portrait"/>
          <w:cols w:equalWidth="0" w:num="1">
            <w:col w:w="10219"/>
          </w:cols>
          <w:pgMar w:left="240" w:top="303" w:right="1440" w:bottom="1440" w:gutter="0" w:footer="0" w:header="0"/>
        </w:sectPr>
      </w:pPr>
    </w:p>
    <w:bookmarkStart w:id="21" w:name="page22"/>
    <w:bookmarkEnd w:id="21"/>
    <w:p>
      <w:pPr>
        <w:spacing w:after="0" w:line="60" w:lineRule="exact"/>
        <w:rPr>
          <w:sz w:val="20"/>
          <w:szCs w:val="20"/>
          <w:color w:val="auto"/>
        </w:rPr>
      </w:pPr>
    </w:p>
    <w:p>
      <w:pPr>
        <w:ind w:left="300"/>
        <w:spacing w:after="0"/>
        <w:rPr>
          <w:sz w:val="20"/>
          <w:szCs w:val="20"/>
          <w:color w:val="auto"/>
        </w:rPr>
      </w:pPr>
      <w:r>
        <w:rPr>
          <w:rFonts w:ascii="Courier New" w:cs="Courier New" w:eastAsia="Courier New" w:hAnsi="Courier New"/>
          <w:sz w:val="16"/>
          <w:szCs w:val="16"/>
          <w:color w:val="auto"/>
        </w:rPr>
        <w:t>18</w:t>
      </w:r>
    </w:p>
    <w:p>
      <w:pPr>
        <w:spacing w:after="0" w:line="191" w:lineRule="exact"/>
        <w:rPr>
          <w:sz w:val="20"/>
          <w:szCs w:val="20"/>
          <w:color w:val="auto"/>
        </w:rPr>
      </w:pPr>
    </w:p>
    <w:p>
      <w:pPr>
        <w:ind w:left="2620"/>
        <w:spacing w:after="0"/>
        <w:rPr>
          <w:sz w:val="20"/>
          <w:szCs w:val="20"/>
          <w:color w:val="auto"/>
        </w:rPr>
      </w:pPr>
      <w:r>
        <w:rPr>
          <w:rFonts w:ascii="Courier New" w:cs="Courier New" w:eastAsia="Courier New" w:hAnsi="Courier New"/>
          <w:sz w:val="16"/>
          <w:szCs w:val="16"/>
          <w:color w:val="auto"/>
        </w:rPr>
        <w:t>FORWARD LOOKING STATEMENTS</w:t>
      </w:r>
    </w:p>
    <w:p>
      <w:pPr>
        <w:spacing w:after="0" w:line="191" w:lineRule="exact"/>
        <w:rPr>
          <w:sz w:val="20"/>
          <w:szCs w:val="20"/>
          <w:color w:val="auto"/>
        </w:rPr>
      </w:pPr>
    </w:p>
    <w:p>
      <w:pPr>
        <w:ind w:right="2459" w:firstLine="872"/>
        <w:spacing w:after="0" w:line="246" w:lineRule="auto"/>
        <w:rPr>
          <w:sz w:val="20"/>
          <w:szCs w:val="20"/>
          <w:color w:val="auto"/>
        </w:rPr>
      </w:pPr>
      <w:r>
        <w:rPr>
          <w:rFonts w:ascii="Courier New" w:cs="Courier New" w:eastAsia="Courier New" w:hAnsi="Courier New"/>
          <w:sz w:val="16"/>
          <w:szCs w:val="16"/>
          <w:color w:val="auto"/>
        </w:rPr>
        <w:t>The Securities and Exchange Commission encourages companies to disclose forward-looking information so that investors can better understand a company's future prospects and make informed investment decisions. This prospectus contains such "forward-looking statements" within the meaning of the Private Securities Litigation Reform Act of 1995. These statements may be made directly in this proxy statement/prospectus referring to us, and they may also be made as part of this prospectus by reference to other documents filed by us with the Securities and Exchange Commission, which is known as "incorporation by reference." These statements may include statements regarding the period following completion of the transaction contemplated in this prospectus.</w:t>
      </w:r>
    </w:p>
    <w:p>
      <w:pPr>
        <w:spacing w:after="0" w:line="192" w:lineRule="exact"/>
        <w:rPr>
          <w:sz w:val="20"/>
          <w:szCs w:val="20"/>
          <w:color w:val="auto"/>
        </w:rPr>
      </w:pPr>
    </w:p>
    <w:p>
      <w:pPr>
        <w:ind w:right="2559" w:firstLine="872"/>
        <w:spacing w:after="0" w:line="246" w:lineRule="auto"/>
        <w:rPr>
          <w:sz w:val="20"/>
          <w:szCs w:val="20"/>
          <w:color w:val="auto"/>
        </w:rPr>
      </w:pPr>
      <w:r>
        <w:rPr>
          <w:rFonts w:ascii="Courier New" w:cs="Courier New" w:eastAsia="Courier New" w:hAnsi="Courier New"/>
          <w:sz w:val="16"/>
          <w:szCs w:val="16"/>
          <w:color w:val="auto"/>
        </w:rPr>
        <w:t>Words such as "anticipate," "estimate," "expects," "projects," "intends," "plans," "believes" and words and terms of similar substance used in connection with any discussion of our future operating of financial performance identify forward-looking statements. All forward-looking statements are management's present expectations of future events and are subject to a number of factors and uncertainties that could cause actual results to differ materially from those described in the forward-looking statements. In addition to the risks related to our business, the factors relating to the our business discussed under "Risk Factors," among others, could cause actual results to differ materially from those described in the forward-looking statements. These factors include:</w:t>
      </w:r>
    </w:p>
    <w:p>
      <w:pPr>
        <w:spacing w:after="0" w:line="193" w:lineRule="exact"/>
        <w:rPr>
          <w:sz w:val="20"/>
          <w:szCs w:val="20"/>
          <w:color w:val="auto"/>
        </w:rPr>
      </w:pPr>
    </w:p>
    <w:p>
      <w:pPr>
        <w:ind w:left="1060" w:right="2959" w:hanging="189"/>
        <w:spacing w:after="0" w:line="248" w:lineRule="auto"/>
        <w:tabs>
          <w:tab w:leader="none" w:pos="1060" w:val="left"/>
        </w:tabs>
        <w:numPr>
          <w:ilvl w:val="0"/>
          <w:numId w:val="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anticipated trends in our business, including trends in the electronic commerce, investment services, and software segments;</w:t>
      </w:r>
    </w:p>
    <w:p>
      <w:pPr>
        <w:spacing w:after="0" w:line="184" w:lineRule="exact"/>
        <w:rPr>
          <w:rFonts w:ascii="Courier New" w:cs="Courier New" w:eastAsia="Courier New" w:hAnsi="Courier New"/>
          <w:sz w:val="16"/>
          <w:szCs w:val="16"/>
          <w:color w:val="auto"/>
        </w:rPr>
      </w:pPr>
    </w:p>
    <w:p>
      <w:pPr>
        <w:ind w:left="1060" w:hanging="189"/>
        <w:spacing w:after="0"/>
        <w:tabs>
          <w:tab w:leader="none" w:pos="1060" w:val="left"/>
        </w:tabs>
        <w:numPr>
          <w:ilvl w:val="0"/>
          <w:numId w:val="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our intention to develop and introduce new products and services;</w:t>
      </w:r>
    </w:p>
    <w:p>
      <w:pPr>
        <w:spacing w:after="0" w:line="191" w:lineRule="exact"/>
        <w:rPr>
          <w:rFonts w:ascii="Courier New" w:cs="Courier New" w:eastAsia="Courier New" w:hAnsi="Courier New"/>
          <w:sz w:val="16"/>
          <w:szCs w:val="16"/>
          <w:color w:val="auto"/>
        </w:rPr>
      </w:pPr>
    </w:p>
    <w:p>
      <w:pPr>
        <w:ind w:left="1060" w:hanging="189"/>
        <w:spacing w:after="0"/>
        <w:tabs>
          <w:tab w:leader="none" w:pos="1060" w:val="left"/>
        </w:tabs>
        <w:numPr>
          <w:ilvl w:val="0"/>
          <w:numId w:val="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our anticipated growth and growth strategies;</w:t>
      </w:r>
    </w:p>
    <w:p>
      <w:pPr>
        <w:spacing w:after="0" w:line="191" w:lineRule="exact"/>
        <w:rPr>
          <w:rFonts w:ascii="Courier New" w:cs="Courier New" w:eastAsia="Courier New" w:hAnsi="Courier New"/>
          <w:sz w:val="16"/>
          <w:szCs w:val="16"/>
          <w:color w:val="auto"/>
        </w:rPr>
      </w:pPr>
    </w:p>
    <w:p>
      <w:pPr>
        <w:ind w:left="1060" w:right="3639" w:hanging="189"/>
        <w:spacing w:after="0" w:line="248" w:lineRule="auto"/>
        <w:tabs>
          <w:tab w:leader="none" w:pos="1060" w:val="left"/>
        </w:tabs>
        <w:numPr>
          <w:ilvl w:val="0"/>
          <w:numId w:val="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our anticipated completion of the BlueGill and TransPoint acquisitions; and</w:t>
      </w:r>
    </w:p>
    <w:p>
      <w:pPr>
        <w:spacing w:after="0" w:line="184" w:lineRule="exact"/>
        <w:rPr>
          <w:rFonts w:ascii="Courier New" w:cs="Courier New" w:eastAsia="Courier New" w:hAnsi="Courier New"/>
          <w:sz w:val="16"/>
          <w:szCs w:val="16"/>
          <w:color w:val="auto"/>
        </w:rPr>
      </w:pPr>
    </w:p>
    <w:p>
      <w:pPr>
        <w:ind w:left="1060" w:hanging="189"/>
        <w:spacing w:after="0"/>
        <w:tabs>
          <w:tab w:leader="none" w:pos="1060" w:val="left"/>
        </w:tabs>
        <w:numPr>
          <w:ilvl w:val="0"/>
          <w:numId w:val="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anticipated levels of adoption of electronic billing and payment.</w:t>
      </w:r>
    </w:p>
    <w:p>
      <w:pPr>
        <w:spacing w:after="0" w:line="191" w:lineRule="exact"/>
        <w:rPr>
          <w:sz w:val="20"/>
          <w:szCs w:val="20"/>
          <w:color w:val="auto"/>
        </w:rPr>
      </w:pPr>
    </w:p>
    <w:p>
      <w:pPr>
        <w:ind w:right="2659"/>
        <w:spacing w:after="0" w:line="247" w:lineRule="auto"/>
        <w:rPr>
          <w:sz w:val="20"/>
          <w:szCs w:val="20"/>
          <w:color w:val="auto"/>
        </w:rPr>
      </w:pPr>
      <w:r>
        <w:rPr>
          <w:rFonts w:ascii="Courier New" w:cs="Courier New" w:eastAsia="Courier New" w:hAnsi="Courier New"/>
          <w:sz w:val="16"/>
          <w:szCs w:val="16"/>
          <w:color w:val="auto"/>
        </w:rPr>
        <w:t>Stockholders are cautioned not to place undue reliance on the forward-looking statements, which speak only of the date of this prospectus or the date of the document incorporated by reference in this prospectus. We have no obligation, and each expressly disclaims any obligation, to update or alter any forward-looking statements, whether as a result of new information, future events or otherwise.</w:t>
      </w:r>
    </w:p>
    <w:p>
      <w:pPr>
        <w:spacing w:after="0" w:line="185" w:lineRule="exact"/>
        <w:rPr>
          <w:sz w:val="20"/>
          <w:szCs w:val="20"/>
          <w:color w:val="auto"/>
        </w:rPr>
      </w:pPr>
    </w:p>
    <w:p>
      <w:pPr>
        <w:ind w:right="2659" w:firstLine="872"/>
        <w:spacing w:after="0" w:line="247" w:lineRule="auto"/>
        <w:rPr>
          <w:sz w:val="20"/>
          <w:szCs w:val="20"/>
          <w:color w:val="auto"/>
        </w:rPr>
      </w:pPr>
      <w:r>
        <w:rPr>
          <w:rFonts w:ascii="Courier New" w:cs="Courier New" w:eastAsia="Courier New" w:hAnsi="Courier New"/>
          <w:sz w:val="16"/>
          <w:szCs w:val="16"/>
          <w:color w:val="auto"/>
        </w:rPr>
        <w:t>For additional information that could cause actual results to differ materially from those described in the forward- looking statements, please see the quarterly reports on Form 10-Q and the annual report on Form 10-K we filed with the Securities and Exchange Commission.</w:t>
      </w:r>
    </w:p>
    <w:p>
      <w:pPr>
        <w:spacing w:after="0" w:line="186" w:lineRule="exact"/>
        <w:rPr>
          <w:sz w:val="20"/>
          <w:szCs w:val="20"/>
          <w:color w:val="auto"/>
        </w:rPr>
      </w:pPr>
    </w:p>
    <w:p>
      <w:pPr>
        <w:jc w:val="both"/>
        <w:ind w:right="2459" w:firstLine="872"/>
        <w:spacing w:after="0" w:line="247" w:lineRule="auto"/>
        <w:rPr>
          <w:sz w:val="20"/>
          <w:szCs w:val="20"/>
          <w:color w:val="auto"/>
        </w:rPr>
      </w:pPr>
      <w:r>
        <w:rPr>
          <w:rFonts w:ascii="Courier New" w:cs="Courier New" w:eastAsia="Courier New" w:hAnsi="Courier New"/>
          <w:sz w:val="16"/>
          <w:szCs w:val="16"/>
          <w:color w:val="auto"/>
        </w:rPr>
        <w:t>All subsequent forward-looking statements attributable us or any person acting on our behalf are expressly qualified in their entirety by the cautionary statements contained or referred to in this section.</w:t>
      </w:r>
    </w:p>
    <w:p>
      <w:pPr>
        <w:spacing w:after="0" w:line="200" w:lineRule="exact"/>
        <w:rPr>
          <w:sz w:val="20"/>
          <w:szCs w:val="20"/>
          <w:color w:val="auto"/>
        </w:rPr>
      </w:pPr>
    </w:p>
    <w:p>
      <w:pPr>
        <w:spacing w:after="0" w:line="358" w:lineRule="exact"/>
        <w:rPr>
          <w:sz w:val="20"/>
          <w:szCs w:val="20"/>
          <w:color w:val="auto"/>
        </w:rPr>
      </w:pPr>
    </w:p>
    <w:p>
      <w:pPr>
        <w:jc w:val="center"/>
        <w:ind w:right="2459"/>
        <w:spacing w:after="0"/>
        <w:rPr>
          <w:sz w:val="20"/>
          <w:szCs w:val="20"/>
          <w:color w:val="auto"/>
        </w:rPr>
      </w:pPr>
      <w:r>
        <w:rPr>
          <w:rFonts w:ascii="Courier New" w:cs="Courier New" w:eastAsia="Courier New" w:hAnsi="Courier New"/>
          <w:sz w:val="16"/>
          <w:szCs w:val="16"/>
          <w:color w:val="auto"/>
        </w:rPr>
        <w:t>RATIO OF EARNINGS TO FIXED CHARGES</w:t>
      </w:r>
    </w:p>
    <w:p>
      <w:pPr>
        <w:spacing w:after="0" w:line="5" w:lineRule="exact"/>
        <w:rPr>
          <w:sz w:val="20"/>
          <w:szCs w:val="20"/>
          <w:color w:val="auto"/>
        </w:rPr>
      </w:pPr>
    </w:p>
    <w:p>
      <w:pPr>
        <w:jc w:val="center"/>
        <w:ind w:right="2459"/>
        <w:spacing w:after="0"/>
        <w:rPr>
          <w:sz w:val="20"/>
          <w:szCs w:val="20"/>
          <w:color w:val="auto"/>
        </w:rPr>
      </w:pPr>
      <w:r>
        <w:rPr>
          <w:rFonts w:ascii="Courier New" w:cs="Courier New" w:eastAsia="Courier New" w:hAnsi="Courier New"/>
          <w:sz w:val="16"/>
          <w:szCs w:val="16"/>
          <w:color w:val="auto"/>
        </w:rPr>
        <w:t>(in thousands)</w:t>
      </w:r>
    </w:p>
    <w:p>
      <w:pPr>
        <w:spacing w:after="0" w:line="378" w:lineRule="exact"/>
        <w:rPr>
          <w:sz w:val="20"/>
          <w:szCs w:val="20"/>
          <w:color w:val="auto"/>
        </w:rPr>
      </w:pPr>
    </w:p>
    <w:p>
      <w:pPr>
        <w:ind w:right="2459" w:firstLine="872"/>
        <w:spacing w:after="0" w:line="246" w:lineRule="auto"/>
        <w:rPr>
          <w:sz w:val="20"/>
          <w:szCs w:val="20"/>
          <w:color w:val="auto"/>
        </w:rPr>
      </w:pPr>
      <w:r>
        <w:rPr>
          <w:rFonts w:ascii="Courier New" w:cs="Courier New" w:eastAsia="Courier New" w:hAnsi="Courier New"/>
          <w:sz w:val="16"/>
          <w:szCs w:val="16"/>
          <w:color w:val="auto"/>
        </w:rPr>
        <w:t>The ratio of earnings to fixed charges and deficiency of earnings to cover fixed charges presented below should be read together with the financial statements and the notes accompanying them and "Management's Discussions and Analysis of Financial Condition and Results of Operations" found in our annual report on Form 10-K for the year ended June 30, 1999 and quarterly report on Form 10-Q for the quarter ended December 31, 1999, incorporated into this registration statement by reference. In calculating the ratio of earnings to fixed charges, earnings consist of income (loss) before income taxes after excluding fixed charges. Fixed charges consist of interest expense and one third of rental expense, deemed representative of that portion of rental expense estimated to be attributable to interest.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19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00" w:type="dxa"/>
            <w:vAlign w:val="bottom"/>
          </w:tcPr>
          <w:p>
            <w:pPr>
              <w:ind w:left="480"/>
              <w:spacing w:after="0"/>
              <w:rPr>
                <w:sz w:val="20"/>
                <w:szCs w:val="20"/>
                <w:color w:val="auto"/>
              </w:rPr>
            </w:pPr>
            <w:r>
              <w:rPr>
                <w:rFonts w:ascii="Courier New" w:cs="Courier New" w:eastAsia="Courier New" w:hAnsi="Courier New"/>
                <w:sz w:val="16"/>
                <w:szCs w:val="16"/>
                <w:color w:val="auto"/>
              </w:rPr>
              <w:t>Six</w:t>
            </w: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640" w:type="dxa"/>
            <w:vAlign w:val="bottom"/>
            <w:gridSpan w:val="2"/>
          </w:tcPr>
          <w:p>
            <w:pPr>
              <w:ind w:left="280"/>
              <w:spacing w:after="0"/>
              <w:rPr>
                <w:sz w:val="20"/>
                <w:szCs w:val="20"/>
                <w:color w:val="auto"/>
              </w:rPr>
            </w:pPr>
            <w:r>
              <w:rPr>
                <w:rFonts w:ascii="Courier New" w:cs="Courier New" w:eastAsia="Courier New" w:hAnsi="Courier New"/>
                <w:sz w:val="16"/>
                <w:szCs w:val="16"/>
                <w:color w:val="auto"/>
              </w:rPr>
              <w:t>Six months</w:t>
            </w:r>
          </w:p>
        </w:tc>
      </w:tr>
      <w:tr>
        <w:trPr>
          <w:trHeight w:val="186"/>
        </w:trPr>
        <w:tc>
          <w:tcPr>
            <w:tcW w:w="1980" w:type="dxa"/>
            <w:vAlign w:val="bottom"/>
          </w:tcPr>
          <w:p>
            <w:pPr>
              <w:spacing w:after="0"/>
              <w:rPr>
                <w:sz w:val="16"/>
                <w:szCs w:val="16"/>
                <w:color w:val="auto"/>
              </w:rPr>
            </w:pPr>
          </w:p>
        </w:tc>
        <w:tc>
          <w:tcPr>
            <w:tcW w:w="1800" w:type="dxa"/>
            <w:vAlign w:val="bottom"/>
            <w:gridSpan w:val="2"/>
          </w:tcPr>
          <w:p>
            <w:pPr>
              <w:jc w:val="right"/>
              <w:ind w:right="219"/>
              <w:spacing w:after="0"/>
              <w:rPr>
                <w:sz w:val="20"/>
                <w:szCs w:val="20"/>
                <w:color w:val="auto"/>
              </w:rPr>
            </w:pPr>
            <w:r>
              <w:rPr>
                <w:rFonts w:ascii="Courier New" w:cs="Courier New" w:eastAsia="Courier New" w:hAnsi="Courier New"/>
                <w:sz w:val="16"/>
                <w:szCs w:val="16"/>
                <w:color w:val="auto"/>
              </w:rPr>
              <w:t>Year ended</w:t>
            </w:r>
          </w:p>
        </w:tc>
        <w:tc>
          <w:tcPr>
            <w:tcW w:w="1300" w:type="dxa"/>
            <w:vAlign w:val="bottom"/>
          </w:tcPr>
          <w:p>
            <w:pPr>
              <w:jc w:val="center"/>
              <w:spacing w:after="0"/>
              <w:rPr>
                <w:sz w:val="20"/>
                <w:szCs w:val="20"/>
                <w:color w:val="auto"/>
              </w:rPr>
            </w:pPr>
            <w:r>
              <w:rPr>
                <w:rFonts w:ascii="Courier New" w:cs="Courier New" w:eastAsia="Courier New" w:hAnsi="Courier New"/>
                <w:sz w:val="16"/>
                <w:szCs w:val="16"/>
                <w:color w:val="auto"/>
              </w:rPr>
              <w:t>months</w:t>
            </w:r>
          </w:p>
        </w:tc>
        <w:tc>
          <w:tcPr>
            <w:tcW w:w="1120" w:type="dxa"/>
            <w:vAlign w:val="bottom"/>
          </w:tcPr>
          <w:p>
            <w:pPr>
              <w:spacing w:after="0"/>
              <w:rPr>
                <w:sz w:val="16"/>
                <w:szCs w:val="16"/>
                <w:color w:val="auto"/>
              </w:rPr>
            </w:pPr>
          </w:p>
        </w:tc>
        <w:tc>
          <w:tcPr>
            <w:tcW w:w="1120" w:type="dxa"/>
            <w:vAlign w:val="bottom"/>
          </w:tcPr>
          <w:p>
            <w:pPr>
              <w:jc w:val="center"/>
              <w:ind w:right="59"/>
              <w:spacing w:after="0"/>
              <w:rPr>
                <w:sz w:val="20"/>
                <w:szCs w:val="20"/>
                <w:color w:val="auto"/>
              </w:rPr>
            </w:pPr>
            <w:r>
              <w:rPr>
                <w:rFonts w:ascii="Courier New" w:cs="Courier New" w:eastAsia="Courier New" w:hAnsi="Courier New"/>
                <w:sz w:val="16"/>
                <w:szCs w:val="16"/>
                <w:color w:val="auto"/>
              </w:rPr>
              <w:t>Year ended</w:t>
            </w:r>
          </w:p>
        </w:tc>
        <w:tc>
          <w:tcPr>
            <w:tcW w:w="920" w:type="dxa"/>
            <w:vAlign w:val="bottom"/>
          </w:tcPr>
          <w:p>
            <w:pPr>
              <w:spacing w:after="0"/>
              <w:rPr>
                <w:sz w:val="16"/>
                <w:szCs w:val="16"/>
                <w:color w:val="auto"/>
              </w:rPr>
            </w:pPr>
          </w:p>
        </w:tc>
        <w:tc>
          <w:tcPr>
            <w:tcW w:w="960" w:type="dxa"/>
            <w:vAlign w:val="bottom"/>
          </w:tcPr>
          <w:p>
            <w:pPr>
              <w:ind w:left="480"/>
              <w:spacing w:after="0"/>
              <w:rPr>
                <w:sz w:val="20"/>
                <w:szCs w:val="20"/>
                <w:color w:val="auto"/>
              </w:rPr>
            </w:pPr>
            <w:r>
              <w:rPr>
                <w:rFonts w:ascii="Courier New" w:cs="Courier New" w:eastAsia="Courier New" w:hAnsi="Courier New"/>
                <w:sz w:val="16"/>
                <w:szCs w:val="16"/>
                <w:color w:val="auto"/>
                <w:w w:val="95"/>
              </w:rPr>
              <w:t>ended</w:t>
            </w:r>
          </w:p>
        </w:tc>
        <w:tc>
          <w:tcPr>
            <w:tcW w:w="680" w:type="dxa"/>
            <w:vAlign w:val="bottom"/>
          </w:tcPr>
          <w:p>
            <w:pPr>
              <w:spacing w:after="0"/>
              <w:rPr>
                <w:sz w:val="16"/>
                <w:szCs w:val="16"/>
                <w:color w:val="auto"/>
              </w:rPr>
            </w:pPr>
          </w:p>
        </w:tc>
      </w:tr>
      <w:tr>
        <w:trPr>
          <w:trHeight w:val="186"/>
        </w:trPr>
        <w:tc>
          <w:tcPr>
            <w:tcW w:w="1980" w:type="dxa"/>
            <w:vAlign w:val="bottom"/>
          </w:tcPr>
          <w:p>
            <w:pPr>
              <w:spacing w:after="0"/>
              <w:rPr>
                <w:sz w:val="16"/>
                <w:szCs w:val="16"/>
                <w:color w:val="auto"/>
              </w:rPr>
            </w:pPr>
          </w:p>
        </w:tc>
        <w:tc>
          <w:tcPr>
            <w:tcW w:w="1800" w:type="dxa"/>
            <w:vAlign w:val="bottom"/>
            <w:gridSpan w:val="2"/>
          </w:tcPr>
          <w:p>
            <w:pPr>
              <w:jc w:val="right"/>
              <w:ind w:right="119"/>
              <w:spacing w:after="0"/>
              <w:rPr>
                <w:sz w:val="20"/>
                <w:szCs w:val="20"/>
                <w:color w:val="auto"/>
              </w:rPr>
            </w:pPr>
            <w:r>
              <w:rPr>
                <w:rFonts w:ascii="Courier New" w:cs="Courier New" w:eastAsia="Courier New" w:hAnsi="Courier New"/>
                <w:sz w:val="16"/>
                <w:szCs w:val="16"/>
                <w:color w:val="auto"/>
              </w:rPr>
              <w:t>December 31,</w:t>
            </w:r>
          </w:p>
        </w:tc>
        <w:tc>
          <w:tcPr>
            <w:tcW w:w="1300" w:type="dxa"/>
            <w:vAlign w:val="bottom"/>
          </w:tcPr>
          <w:p>
            <w:pPr>
              <w:ind w:left="380"/>
              <w:spacing w:after="0"/>
              <w:rPr>
                <w:sz w:val="20"/>
                <w:szCs w:val="20"/>
                <w:color w:val="auto"/>
              </w:rPr>
            </w:pPr>
            <w:r>
              <w:rPr>
                <w:rFonts w:ascii="Courier New" w:cs="Courier New" w:eastAsia="Courier New" w:hAnsi="Courier New"/>
                <w:sz w:val="16"/>
                <w:szCs w:val="16"/>
                <w:color w:val="auto"/>
              </w:rPr>
              <w:t>ended</w:t>
            </w:r>
          </w:p>
        </w:tc>
        <w:tc>
          <w:tcPr>
            <w:tcW w:w="1120" w:type="dxa"/>
            <w:vAlign w:val="bottom"/>
          </w:tcPr>
          <w:p>
            <w:pPr>
              <w:spacing w:after="0"/>
              <w:rPr>
                <w:sz w:val="16"/>
                <w:szCs w:val="16"/>
                <w:color w:val="auto"/>
              </w:rPr>
            </w:pPr>
          </w:p>
        </w:tc>
        <w:tc>
          <w:tcPr>
            <w:tcW w:w="1120" w:type="dxa"/>
            <w:vAlign w:val="bottom"/>
          </w:tcPr>
          <w:p>
            <w:pPr>
              <w:jc w:val="center"/>
              <w:ind w:right="59"/>
              <w:spacing w:after="0"/>
              <w:rPr>
                <w:sz w:val="20"/>
                <w:szCs w:val="20"/>
                <w:color w:val="auto"/>
              </w:rPr>
            </w:pPr>
            <w:r>
              <w:rPr>
                <w:rFonts w:ascii="Courier New" w:cs="Courier New" w:eastAsia="Courier New" w:hAnsi="Courier New"/>
                <w:sz w:val="16"/>
                <w:szCs w:val="16"/>
                <w:color w:val="auto"/>
              </w:rPr>
              <w:t>June 30,</w:t>
            </w:r>
          </w:p>
        </w:tc>
        <w:tc>
          <w:tcPr>
            <w:tcW w:w="920" w:type="dxa"/>
            <w:vAlign w:val="bottom"/>
          </w:tcPr>
          <w:p>
            <w:pPr>
              <w:spacing w:after="0"/>
              <w:rPr>
                <w:sz w:val="16"/>
                <w:szCs w:val="16"/>
                <w:color w:val="auto"/>
              </w:rPr>
            </w:pPr>
          </w:p>
        </w:tc>
        <w:tc>
          <w:tcPr>
            <w:tcW w:w="1640" w:type="dxa"/>
            <w:vAlign w:val="bottom"/>
            <w:gridSpan w:val="2"/>
          </w:tcPr>
          <w:p>
            <w:pPr>
              <w:jc w:val="right"/>
              <w:ind w:right="199"/>
              <w:spacing w:after="0"/>
              <w:rPr>
                <w:sz w:val="20"/>
                <w:szCs w:val="20"/>
                <w:color w:val="auto"/>
              </w:rPr>
            </w:pPr>
            <w:r>
              <w:rPr>
                <w:rFonts w:ascii="Courier New" w:cs="Courier New" w:eastAsia="Courier New" w:hAnsi="Courier New"/>
                <w:sz w:val="16"/>
                <w:szCs w:val="16"/>
                <w:color w:val="auto"/>
              </w:rPr>
              <w:t>December 31,</w:t>
            </w:r>
          </w:p>
        </w:tc>
      </w:tr>
      <w:tr>
        <w:trPr>
          <w:trHeight w:val="186"/>
        </w:trPr>
        <w:tc>
          <w:tcPr>
            <w:tcW w:w="1980" w:type="dxa"/>
            <w:vAlign w:val="bottom"/>
          </w:tcPr>
          <w:p>
            <w:pPr>
              <w:spacing w:after="0"/>
              <w:rPr>
                <w:sz w:val="16"/>
                <w:szCs w:val="16"/>
                <w:color w:val="auto"/>
              </w:rPr>
            </w:pPr>
          </w:p>
        </w:tc>
        <w:tc>
          <w:tcPr>
            <w:tcW w:w="1800" w:type="dxa"/>
            <w:vAlign w:val="bottom"/>
            <w:gridSpan w:val="2"/>
          </w:tcPr>
          <w:p>
            <w:pPr>
              <w:jc w:val="right"/>
              <w:ind w:right="119"/>
              <w:spacing w:after="0"/>
              <w:rPr>
                <w:sz w:val="20"/>
                <w:szCs w:val="20"/>
                <w:color w:val="auto"/>
              </w:rPr>
            </w:pPr>
            <w:r>
              <w:rPr>
                <w:rFonts w:ascii="Courier New" w:cs="Courier New" w:eastAsia="Courier New" w:hAnsi="Courier New"/>
                <w:sz w:val="16"/>
                <w:szCs w:val="16"/>
                <w:color w:val="auto"/>
              </w:rPr>
              <w:t>-------------</w:t>
            </w:r>
          </w:p>
        </w:tc>
        <w:tc>
          <w:tcPr>
            <w:tcW w:w="1300" w:type="dxa"/>
            <w:vAlign w:val="bottom"/>
          </w:tcPr>
          <w:p>
            <w:pPr>
              <w:jc w:val="center"/>
              <w:spacing w:after="0"/>
              <w:rPr>
                <w:sz w:val="20"/>
                <w:szCs w:val="20"/>
                <w:color w:val="auto"/>
              </w:rPr>
            </w:pPr>
            <w:r>
              <w:rPr>
                <w:rFonts w:ascii="Courier New" w:cs="Courier New" w:eastAsia="Courier New" w:hAnsi="Courier New"/>
                <w:sz w:val="16"/>
                <w:szCs w:val="16"/>
                <w:color w:val="auto"/>
              </w:rPr>
              <w:t>June 30,</w:t>
            </w:r>
          </w:p>
        </w:tc>
        <w:tc>
          <w:tcPr>
            <w:tcW w:w="3160" w:type="dxa"/>
            <w:vAlign w:val="bottom"/>
            <w:gridSpan w:val="3"/>
          </w:tcPr>
          <w:p>
            <w:pPr>
              <w:jc w:val="right"/>
              <w:ind w:right="19"/>
              <w:spacing w:after="0"/>
              <w:rPr>
                <w:sz w:val="20"/>
                <w:szCs w:val="20"/>
                <w:color w:val="auto"/>
              </w:rPr>
            </w:pPr>
            <w:r>
              <w:rPr>
                <w:rFonts w:ascii="Courier New" w:cs="Courier New" w:eastAsia="Courier New" w:hAnsi="Courier New"/>
                <w:sz w:val="16"/>
                <w:szCs w:val="16"/>
                <w:color w:val="auto"/>
              </w:rPr>
              <w:t>-----------------------------</w:t>
            </w:r>
          </w:p>
        </w:tc>
        <w:tc>
          <w:tcPr>
            <w:tcW w:w="1640" w:type="dxa"/>
            <w:vAlign w:val="bottom"/>
            <w:gridSpan w:val="2"/>
          </w:tcPr>
          <w:p>
            <w:pPr>
              <w:jc w:val="right"/>
              <w:ind w:right="119"/>
              <w:spacing w:after="0"/>
              <w:rPr>
                <w:sz w:val="20"/>
                <w:szCs w:val="20"/>
                <w:color w:val="auto"/>
              </w:rPr>
            </w:pPr>
            <w:r>
              <w:rPr>
                <w:rFonts w:ascii="Courier New" w:cs="Courier New" w:eastAsia="Courier New" w:hAnsi="Courier New"/>
                <w:sz w:val="16"/>
                <w:szCs w:val="16"/>
                <w:color w:val="auto"/>
              </w:rPr>
              <w:t>-------------</w:t>
            </w:r>
          </w:p>
        </w:tc>
      </w:tr>
      <w:tr>
        <w:trPr>
          <w:trHeight w:val="186"/>
        </w:trPr>
        <w:tc>
          <w:tcPr>
            <w:tcW w:w="1980" w:type="dxa"/>
            <w:vAlign w:val="bottom"/>
          </w:tcPr>
          <w:p>
            <w:pPr>
              <w:spacing w:after="0"/>
              <w:rPr>
                <w:sz w:val="16"/>
                <w:szCs w:val="16"/>
                <w:color w:val="auto"/>
              </w:rPr>
            </w:pPr>
          </w:p>
        </w:tc>
        <w:tc>
          <w:tcPr>
            <w:tcW w:w="980" w:type="dxa"/>
            <w:vAlign w:val="bottom"/>
          </w:tcPr>
          <w:p>
            <w:pPr>
              <w:ind w:left="340"/>
              <w:spacing w:after="0"/>
              <w:rPr>
                <w:sz w:val="20"/>
                <w:szCs w:val="20"/>
                <w:color w:val="auto"/>
              </w:rPr>
            </w:pPr>
            <w:r>
              <w:rPr>
                <w:rFonts w:ascii="Courier New" w:cs="Courier New" w:eastAsia="Courier New" w:hAnsi="Courier New"/>
                <w:sz w:val="16"/>
                <w:szCs w:val="16"/>
                <w:color w:val="auto"/>
              </w:rPr>
              <w:t>1994</w:t>
            </w:r>
          </w:p>
        </w:tc>
        <w:tc>
          <w:tcPr>
            <w:tcW w:w="82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1995</w:t>
            </w:r>
          </w:p>
        </w:tc>
        <w:tc>
          <w:tcPr>
            <w:tcW w:w="1300" w:type="dxa"/>
            <w:vAlign w:val="bottom"/>
          </w:tcPr>
          <w:p>
            <w:pPr>
              <w:jc w:val="center"/>
              <w:spacing w:after="0"/>
              <w:rPr>
                <w:sz w:val="20"/>
                <w:szCs w:val="20"/>
                <w:color w:val="auto"/>
              </w:rPr>
            </w:pPr>
            <w:r>
              <w:rPr>
                <w:rFonts w:ascii="Courier New" w:cs="Courier New" w:eastAsia="Courier New" w:hAnsi="Courier New"/>
                <w:sz w:val="16"/>
                <w:szCs w:val="16"/>
                <w:color w:val="auto"/>
              </w:rPr>
              <w:t>1996</w:t>
            </w:r>
          </w:p>
        </w:tc>
        <w:tc>
          <w:tcPr>
            <w:tcW w:w="1120" w:type="dxa"/>
            <w:vAlign w:val="bottom"/>
          </w:tcPr>
          <w:p>
            <w:pPr>
              <w:jc w:val="center"/>
              <w:ind w:left="259"/>
              <w:spacing w:after="0"/>
              <w:rPr>
                <w:sz w:val="20"/>
                <w:szCs w:val="20"/>
                <w:color w:val="auto"/>
              </w:rPr>
            </w:pPr>
            <w:r>
              <w:rPr>
                <w:rFonts w:ascii="Courier New" w:cs="Courier New" w:eastAsia="Courier New" w:hAnsi="Courier New"/>
                <w:sz w:val="16"/>
                <w:szCs w:val="16"/>
                <w:color w:val="auto"/>
                <w:w w:val="98"/>
              </w:rPr>
              <w:t>1997</w:t>
            </w:r>
          </w:p>
        </w:tc>
        <w:tc>
          <w:tcPr>
            <w:tcW w:w="1120" w:type="dxa"/>
            <w:vAlign w:val="bottom"/>
          </w:tcPr>
          <w:p>
            <w:pPr>
              <w:jc w:val="center"/>
              <w:spacing w:after="0"/>
              <w:rPr>
                <w:sz w:val="20"/>
                <w:szCs w:val="20"/>
                <w:color w:val="auto"/>
              </w:rPr>
            </w:pPr>
            <w:r>
              <w:rPr>
                <w:rFonts w:ascii="Courier New" w:cs="Courier New" w:eastAsia="Courier New" w:hAnsi="Courier New"/>
                <w:sz w:val="16"/>
                <w:szCs w:val="16"/>
                <w:color w:val="auto"/>
              </w:rPr>
              <w:t>1998</w:t>
            </w:r>
          </w:p>
        </w:tc>
        <w:tc>
          <w:tcPr>
            <w:tcW w:w="920" w:type="dxa"/>
            <w:vAlign w:val="bottom"/>
          </w:tcPr>
          <w:p>
            <w:pPr>
              <w:jc w:val="center"/>
              <w:spacing w:after="0"/>
              <w:rPr>
                <w:sz w:val="20"/>
                <w:szCs w:val="20"/>
                <w:color w:val="auto"/>
              </w:rPr>
            </w:pPr>
            <w:r>
              <w:rPr>
                <w:rFonts w:ascii="Courier New" w:cs="Courier New" w:eastAsia="Courier New" w:hAnsi="Courier New"/>
                <w:sz w:val="16"/>
                <w:szCs w:val="16"/>
                <w:color w:val="auto"/>
                <w:w w:val="98"/>
              </w:rPr>
              <w:t>1999</w:t>
            </w:r>
          </w:p>
        </w:tc>
        <w:tc>
          <w:tcPr>
            <w:tcW w:w="960" w:type="dxa"/>
            <w:vAlign w:val="bottom"/>
          </w:tcPr>
          <w:p>
            <w:pPr>
              <w:jc w:val="center"/>
              <w:ind w:right="119"/>
              <w:spacing w:after="0"/>
              <w:rPr>
                <w:sz w:val="20"/>
                <w:szCs w:val="20"/>
                <w:color w:val="auto"/>
              </w:rPr>
            </w:pPr>
            <w:r>
              <w:rPr>
                <w:rFonts w:ascii="Courier New" w:cs="Courier New" w:eastAsia="Courier New" w:hAnsi="Courier New"/>
                <w:sz w:val="16"/>
                <w:szCs w:val="16"/>
                <w:color w:val="auto"/>
              </w:rPr>
              <w:t>1998</w:t>
            </w:r>
          </w:p>
        </w:tc>
        <w:tc>
          <w:tcPr>
            <w:tcW w:w="6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1999</w:t>
            </w:r>
          </w:p>
        </w:tc>
      </w:tr>
      <w:tr>
        <w:trPr>
          <w:trHeight w:val="186"/>
        </w:trPr>
        <w:tc>
          <w:tcPr>
            <w:tcW w:w="1980" w:type="dxa"/>
            <w:vAlign w:val="bottom"/>
          </w:tcPr>
          <w:p>
            <w:pPr>
              <w:spacing w:after="0"/>
              <w:rPr>
                <w:sz w:val="16"/>
                <w:szCs w:val="16"/>
                <w:color w:val="auto"/>
              </w:rPr>
            </w:pPr>
          </w:p>
        </w:tc>
        <w:tc>
          <w:tcPr>
            <w:tcW w:w="980" w:type="dxa"/>
            <w:vAlign w:val="bottom"/>
          </w:tcPr>
          <w:p>
            <w:pPr>
              <w:ind w:left="340"/>
              <w:spacing w:after="0"/>
              <w:rPr>
                <w:sz w:val="20"/>
                <w:szCs w:val="20"/>
                <w:color w:val="auto"/>
              </w:rPr>
            </w:pPr>
            <w:r>
              <w:rPr>
                <w:rFonts w:ascii="Courier New" w:cs="Courier New" w:eastAsia="Courier New" w:hAnsi="Courier New"/>
                <w:sz w:val="16"/>
                <w:szCs w:val="16"/>
                <w:color w:val="auto"/>
              </w:rPr>
              <w:t>----</w:t>
            </w:r>
          </w:p>
        </w:tc>
        <w:tc>
          <w:tcPr>
            <w:tcW w:w="82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w:t>
            </w:r>
          </w:p>
        </w:tc>
        <w:tc>
          <w:tcPr>
            <w:tcW w:w="1300" w:type="dxa"/>
            <w:vAlign w:val="bottom"/>
          </w:tcPr>
          <w:p>
            <w:pPr>
              <w:jc w:val="center"/>
              <w:spacing w:after="0"/>
              <w:rPr>
                <w:sz w:val="20"/>
                <w:szCs w:val="20"/>
                <w:color w:val="auto"/>
              </w:rPr>
            </w:pPr>
            <w:r>
              <w:rPr>
                <w:rFonts w:ascii="Courier New" w:cs="Courier New" w:eastAsia="Courier New" w:hAnsi="Courier New"/>
                <w:sz w:val="16"/>
                <w:szCs w:val="16"/>
                <w:color w:val="auto"/>
              </w:rPr>
              <w:t>----</w:t>
            </w:r>
          </w:p>
        </w:tc>
        <w:tc>
          <w:tcPr>
            <w:tcW w:w="1120" w:type="dxa"/>
            <w:vAlign w:val="bottom"/>
          </w:tcPr>
          <w:p>
            <w:pPr>
              <w:jc w:val="center"/>
              <w:ind w:left="259"/>
              <w:spacing w:after="0"/>
              <w:rPr>
                <w:sz w:val="20"/>
                <w:szCs w:val="20"/>
                <w:color w:val="auto"/>
              </w:rPr>
            </w:pPr>
            <w:r>
              <w:rPr>
                <w:rFonts w:ascii="Courier New" w:cs="Courier New" w:eastAsia="Courier New" w:hAnsi="Courier New"/>
                <w:sz w:val="16"/>
                <w:szCs w:val="16"/>
                <w:color w:val="auto"/>
                <w:w w:val="98"/>
              </w:rPr>
              <w:t>----</w:t>
            </w:r>
          </w:p>
        </w:tc>
        <w:tc>
          <w:tcPr>
            <w:tcW w:w="1120" w:type="dxa"/>
            <w:vAlign w:val="bottom"/>
          </w:tcPr>
          <w:p>
            <w:pPr>
              <w:jc w:val="center"/>
              <w:spacing w:after="0"/>
              <w:rPr>
                <w:sz w:val="20"/>
                <w:szCs w:val="20"/>
                <w:color w:val="auto"/>
              </w:rPr>
            </w:pPr>
            <w:r>
              <w:rPr>
                <w:rFonts w:ascii="Courier New" w:cs="Courier New" w:eastAsia="Courier New" w:hAnsi="Courier New"/>
                <w:sz w:val="16"/>
                <w:szCs w:val="16"/>
                <w:color w:val="auto"/>
              </w:rPr>
              <w:t>----</w:t>
            </w:r>
          </w:p>
        </w:tc>
        <w:tc>
          <w:tcPr>
            <w:tcW w:w="920" w:type="dxa"/>
            <w:vAlign w:val="bottom"/>
          </w:tcPr>
          <w:p>
            <w:pPr>
              <w:jc w:val="center"/>
              <w:spacing w:after="0"/>
              <w:rPr>
                <w:sz w:val="20"/>
                <w:szCs w:val="20"/>
                <w:color w:val="auto"/>
              </w:rPr>
            </w:pPr>
            <w:r>
              <w:rPr>
                <w:rFonts w:ascii="Courier New" w:cs="Courier New" w:eastAsia="Courier New" w:hAnsi="Courier New"/>
                <w:sz w:val="16"/>
                <w:szCs w:val="16"/>
                <w:color w:val="auto"/>
                <w:w w:val="98"/>
              </w:rPr>
              <w:t>----</w:t>
            </w:r>
          </w:p>
        </w:tc>
        <w:tc>
          <w:tcPr>
            <w:tcW w:w="960" w:type="dxa"/>
            <w:vAlign w:val="bottom"/>
          </w:tcPr>
          <w:p>
            <w:pPr>
              <w:jc w:val="center"/>
              <w:ind w:right="119"/>
              <w:spacing w:after="0"/>
              <w:rPr>
                <w:sz w:val="20"/>
                <w:szCs w:val="20"/>
                <w:color w:val="auto"/>
              </w:rPr>
            </w:pPr>
            <w:r>
              <w:rPr>
                <w:rFonts w:ascii="Courier New" w:cs="Courier New" w:eastAsia="Courier New" w:hAnsi="Courier New"/>
                <w:sz w:val="16"/>
                <w:szCs w:val="16"/>
                <w:color w:val="auto"/>
              </w:rPr>
              <w:t>----</w:t>
            </w:r>
          </w:p>
        </w:tc>
        <w:tc>
          <w:tcPr>
            <w:tcW w:w="6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w:t>
            </w:r>
          </w:p>
        </w:tc>
      </w:tr>
      <w:tr>
        <w:trPr>
          <w:trHeight w:val="559"/>
        </w:trPr>
        <w:tc>
          <w:tcPr>
            <w:tcW w:w="1980" w:type="dxa"/>
            <w:vAlign w:val="bottom"/>
          </w:tcPr>
          <w:p>
            <w:pPr>
              <w:spacing w:after="0"/>
              <w:rPr>
                <w:sz w:val="20"/>
                <w:szCs w:val="20"/>
                <w:color w:val="auto"/>
              </w:rPr>
            </w:pPr>
            <w:r>
              <w:rPr>
                <w:rFonts w:ascii="Courier New" w:cs="Courier New" w:eastAsia="Courier New" w:hAnsi="Courier New"/>
                <w:sz w:val="16"/>
                <w:szCs w:val="16"/>
                <w:color w:val="auto"/>
              </w:rPr>
              <w:t>Deficiency</w:t>
            </w:r>
          </w:p>
        </w:tc>
        <w:tc>
          <w:tcPr>
            <w:tcW w:w="980" w:type="dxa"/>
            <w:vAlign w:val="bottom"/>
          </w:tcPr>
          <w:p>
            <w:pPr>
              <w:ind w:left="340"/>
              <w:spacing w:after="0"/>
              <w:rPr>
                <w:sz w:val="20"/>
                <w:szCs w:val="20"/>
                <w:color w:val="auto"/>
              </w:rPr>
            </w:pPr>
            <w:r>
              <w:rPr>
                <w:rFonts w:ascii="Courier New" w:cs="Courier New" w:eastAsia="Courier New" w:hAnsi="Courier New"/>
                <w:sz w:val="16"/>
                <w:szCs w:val="16"/>
                <w:color w:val="auto"/>
              </w:rPr>
              <w:t>N/A</w:t>
            </w:r>
          </w:p>
        </w:tc>
        <w:tc>
          <w:tcPr>
            <w:tcW w:w="82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$175</w:t>
            </w:r>
          </w:p>
        </w:tc>
        <w:tc>
          <w:tcPr>
            <w:tcW w:w="130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$146,165</w:t>
            </w:r>
          </w:p>
        </w:tc>
        <w:tc>
          <w:tcPr>
            <w:tcW w:w="1120" w:type="dxa"/>
            <w:vAlign w:val="bottom"/>
          </w:tcPr>
          <w:p>
            <w:pPr>
              <w:jc w:val="center"/>
              <w:ind w:left="259"/>
              <w:spacing w:after="0"/>
              <w:rPr>
                <w:sz w:val="20"/>
                <w:szCs w:val="20"/>
                <w:color w:val="auto"/>
              </w:rPr>
            </w:pPr>
            <w:r>
              <w:rPr>
                <w:rFonts w:ascii="Courier New" w:cs="Courier New" w:eastAsia="Courier New" w:hAnsi="Courier New"/>
                <w:sz w:val="16"/>
                <w:szCs w:val="16"/>
                <w:color w:val="auto"/>
              </w:rPr>
              <w:t>$173,830</w:t>
            </w:r>
          </w:p>
        </w:tc>
        <w:tc>
          <w:tcPr>
            <w:tcW w:w="1120" w:type="dxa"/>
            <w:vAlign w:val="bottom"/>
          </w:tcPr>
          <w:p>
            <w:pPr>
              <w:jc w:val="center"/>
              <w:spacing w:after="0"/>
              <w:rPr>
                <w:sz w:val="20"/>
                <w:szCs w:val="20"/>
                <w:color w:val="auto"/>
              </w:rPr>
            </w:pPr>
            <w:r>
              <w:rPr>
                <w:rFonts w:ascii="Courier New" w:cs="Courier New" w:eastAsia="Courier New" w:hAnsi="Courier New"/>
                <w:sz w:val="16"/>
                <w:szCs w:val="16"/>
                <w:color w:val="auto"/>
              </w:rPr>
              <w:t>$4,344</w:t>
            </w:r>
          </w:p>
        </w:tc>
        <w:tc>
          <w:tcPr>
            <w:tcW w:w="920" w:type="dxa"/>
            <w:vAlign w:val="bottom"/>
          </w:tcPr>
          <w:p>
            <w:pPr>
              <w:jc w:val="center"/>
              <w:spacing w:after="0"/>
              <w:rPr>
                <w:sz w:val="20"/>
                <w:szCs w:val="20"/>
                <w:color w:val="auto"/>
              </w:rPr>
            </w:pPr>
            <w:r>
              <w:rPr>
                <w:rFonts w:ascii="Courier New" w:cs="Courier New" w:eastAsia="Courier New" w:hAnsi="Courier New"/>
                <w:sz w:val="16"/>
                <w:szCs w:val="16"/>
                <w:color w:val="auto"/>
              </w:rPr>
              <w:t>$1,552</w:t>
            </w:r>
          </w:p>
        </w:tc>
        <w:tc>
          <w:tcPr>
            <w:tcW w:w="960" w:type="dxa"/>
            <w:vAlign w:val="bottom"/>
          </w:tcPr>
          <w:p>
            <w:pPr>
              <w:jc w:val="center"/>
              <w:ind w:right="99"/>
              <w:spacing w:after="0"/>
              <w:rPr>
                <w:sz w:val="20"/>
                <w:szCs w:val="20"/>
                <w:color w:val="auto"/>
              </w:rPr>
            </w:pPr>
            <w:r>
              <w:rPr>
                <w:rFonts w:ascii="Courier New" w:cs="Courier New" w:eastAsia="Courier New" w:hAnsi="Courier New"/>
                <w:sz w:val="16"/>
                <w:szCs w:val="16"/>
                <w:color w:val="auto"/>
              </w:rPr>
              <w:t>$3,651</w:t>
            </w:r>
          </w:p>
        </w:tc>
        <w:tc>
          <w:tcPr>
            <w:tcW w:w="680" w:type="dxa"/>
            <w:vAlign w:val="bottom"/>
          </w:tcPr>
          <w:p>
            <w:pPr>
              <w:jc w:val="right"/>
              <w:spacing w:after="0"/>
              <w:rPr>
                <w:sz w:val="20"/>
                <w:szCs w:val="20"/>
                <w:color w:val="auto"/>
              </w:rPr>
            </w:pPr>
            <w:r>
              <w:rPr>
                <w:rFonts w:ascii="Courier New" w:cs="Courier New" w:eastAsia="Courier New" w:hAnsi="Courier New"/>
                <w:sz w:val="16"/>
                <w:szCs w:val="16"/>
                <w:color w:val="auto"/>
                <w:w w:val="98"/>
              </w:rPr>
              <w:t>$12,497</w:t>
            </w:r>
          </w:p>
        </w:tc>
      </w:tr>
      <w:tr>
        <w:trPr>
          <w:trHeight w:val="186"/>
        </w:trPr>
        <w:tc>
          <w:tcPr>
            <w:tcW w:w="1980" w:type="dxa"/>
            <w:vAlign w:val="bottom"/>
          </w:tcPr>
          <w:p>
            <w:pPr>
              <w:spacing w:after="0"/>
              <w:rPr>
                <w:sz w:val="20"/>
                <w:szCs w:val="20"/>
                <w:color w:val="auto"/>
              </w:rPr>
            </w:pPr>
            <w:r>
              <w:rPr>
                <w:rFonts w:ascii="Courier New" w:cs="Courier New" w:eastAsia="Courier New" w:hAnsi="Courier New"/>
                <w:sz w:val="16"/>
                <w:szCs w:val="16"/>
                <w:color w:val="auto"/>
              </w:rPr>
              <w:t>Ratio of Earnings</w:t>
            </w:r>
          </w:p>
        </w:tc>
        <w:tc>
          <w:tcPr>
            <w:tcW w:w="9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680" w:type="dxa"/>
            <w:vAlign w:val="bottom"/>
          </w:tcPr>
          <w:p>
            <w:pPr>
              <w:spacing w:after="0"/>
              <w:rPr>
                <w:sz w:val="16"/>
                <w:szCs w:val="16"/>
                <w:color w:val="auto"/>
              </w:rPr>
            </w:pPr>
          </w:p>
        </w:tc>
      </w:tr>
      <w:tr>
        <w:trPr>
          <w:trHeight w:val="186"/>
        </w:trPr>
        <w:tc>
          <w:tcPr>
            <w:tcW w:w="1980" w:type="dxa"/>
            <w:vAlign w:val="bottom"/>
          </w:tcPr>
          <w:p>
            <w:pPr>
              <w:spacing w:after="0"/>
              <w:rPr>
                <w:sz w:val="20"/>
                <w:szCs w:val="20"/>
                <w:color w:val="auto"/>
              </w:rPr>
            </w:pPr>
            <w:r>
              <w:rPr>
                <w:rFonts w:ascii="Courier New" w:cs="Courier New" w:eastAsia="Courier New" w:hAnsi="Courier New"/>
                <w:sz w:val="16"/>
                <w:szCs w:val="16"/>
                <w:color w:val="auto"/>
              </w:rPr>
              <w:t>to Fixed Charges</w:t>
            </w:r>
          </w:p>
        </w:tc>
        <w:tc>
          <w:tcPr>
            <w:tcW w:w="980" w:type="dxa"/>
            <w:vAlign w:val="bottom"/>
          </w:tcPr>
          <w:p>
            <w:pPr>
              <w:ind w:left="340"/>
              <w:spacing w:after="0"/>
              <w:rPr>
                <w:sz w:val="20"/>
                <w:szCs w:val="20"/>
                <w:color w:val="auto"/>
              </w:rPr>
            </w:pPr>
            <w:r>
              <w:rPr>
                <w:rFonts w:ascii="Courier New" w:cs="Courier New" w:eastAsia="Courier New" w:hAnsi="Courier New"/>
                <w:sz w:val="16"/>
                <w:szCs w:val="16"/>
                <w:color w:val="auto"/>
              </w:rPr>
              <w:t>1.9</w:t>
            </w:r>
          </w:p>
        </w:tc>
        <w:tc>
          <w:tcPr>
            <w:tcW w:w="82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N/A</w:t>
            </w:r>
          </w:p>
        </w:tc>
        <w:tc>
          <w:tcPr>
            <w:tcW w:w="1300" w:type="dxa"/>
            <w:vAlign w:val="bottom"/>
          </w:tcPr>
          <w:p>
            <w:pPr>
              <w:ind w:left="380"/>
              <w:spacing w:after="0"/>
              <w:rPr>
                <w:sz w:val="20"/>
                <w:szCs w:val="20"/>
                <w:color w:val="auto"/>
              </w:rPr>
            </w:pPr>
            <w:r>
              <w:rPr>
                <w:rFonts w:ascii="Courier New" w:cs="Courier New" w:eastAsia="Courier New" w:hAnsi="Courier New"/>
                <w:sz w:val="16"/>
                <w:szCs w:val="16"/>
                <w:color w:val="auto"/>
              </w:rPr>
              <w:t>N/A</w:t>
            </w:r>
          </w:p>
        </w:tc>
        <w:tc>
          <w:tcPr>
            <w:tcW w:w="1120" w:type="dxa"/>
            <w:vAlign w:val="bottom"/>
          </w:tcPr>
          <w:p>
            <w:pPr>
              <w:ind w:left="540"/>
              <w:spacing w:after="0"/>
              <w:rPr>
                <w:sz w:val="20"/>
                <w:szCs w:val="20"/>
                <w:color w:val="auto"/>
              </w:rPr>
            </w:pPr>
            <w:r>
              <w:rPr>
                <w:rFonts w:ascii="Courier New" w:cs="Courier New" w:eastAsia="Courier New" w:hAnsi="Courier New"/>
                <w:sz w:val="16"/>
                <w:szCs w:val="16"/>
                <w:color w:val="auto"/>
              </w:rPr>
              <w:t>N/A</w:t>
            </w:r>
          </w:p>
        </w:tc>
        <w:tc>
          <w:tcPr>
            <w:tcW w:w="1120" w:type="dxa"/>
            <w:vAlign w:val="bottom"/>
          </w:tcPr>
          <w:p>
            <w:pPr>
              <w:ind w:left="480"/>
              <w:spacing w:after="0"/>
              <w:rPr>
                <w:sz w:val="20"/>
                <w:szCs w:val="20"/>
                <w:color w:val="auto"/>
              </w:rPr>
            </w:pPr>
            <w:r>
              <w:rPr>
                <w:rFonts w:ascii="Courier New" w:cs="Courier New" w:eastAsia="Courier New" w:hAnsi="Courier New"/>
                <w:sz w:val="16"/>
                <w:szCs w:val="16"/>
                <w:color w:val="auto"/>
              </w:rPr>
              <w:t>N/A</w:t>
            </w:r>
          </w:p>
        </w:tc>
        <w:tc>
          <w:tcPr>
            <w:tcW w:w="92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N/A</w:t>
            </w:r>
          </w:p>
        </w:tc>
        <w:tc>
          <w:tcPr>
            <w:tcW w:w="960" w:type="dxa"/>
            <w:vAlign w:val="bottom"/>
          </w:tcPr>
          <w:p>
            <w:pPr>
              <w:ind w:left="280"/>
              <w:spacing w:after="0"/>
              <w:rPr>
                <w:sz w:val="20"/>
                <w:szCs w:val="20"/>
                <w:color w:val="auto"/>
              </w:rPr>
            </w:pPr>
            <w:r>
              <w:rPr>
                <w:rFonts w:ascii="Courier New" w:cs="Courier New" w:eastAsia="Courier New" w:hAnsi="Courier New"/>
                <w:sz w:val="16"/>
                <w:szCs w:val="16"/>
                <w:color w:val="auto"/>
              </w:rPr>
              <w:t>N/A</w:t>
            </w:r>
          </w:p>
        </w:tc>
        <w:tc>
          <w:tcPr>
            <w:tcW w:w="6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N/A</w:t>
            </w:r>
          </w:p>
        </w:tc>
      </w:tr>
    </w:tbl>
    <w:p>
      <w:pPr>
        <w:sectPr>
          <w:pgSz w:w="11900" w:h="16898" w:orient="portrait"/>
          <w:cols w:equalWidth="0" w:num="1">
            <w:col w:w="10219"/>
          </w:cols>
          <w:pgMar w:left="240" w:top="303" w:right="1440" w:bottom="0" w:gutter="0" w:footer="0" w:header="0"/>
        </w:sectPr>
      </w:pPr>
    </w:p>
    <w:bookmarkStart w:id="22" w:name="page23"/>
    <w:bookmarkEnd w:id="22"/>
    <w:p>
      <w:pPr>
        <w:ind w:left="2580"/>
        <w:spacing w:after="0"/>
        <w:rPr>
          <w:sz w:val="20"/>
          <w:szCs w:val="20"/>
          <w:color w:val="auto"/>
        </w:rPr>
      </w:pPr>
      <w:r>
        <w:rPr>
          <w:rFonts w:ascii="Courier New" w:cs="Courier New" w:eastAsia="Courier New" w:hAnsi="Courier New"/>
          <w:sz w:val="16"/>
          <w:szCs w:val="16"/>
          <w:color w:val="auto"/>
        </w:rPr>
        <w:t>18</w:t>
      </w:r>
    </w:p>
    <w:p>
      <w:pPr>
        <w:sectPr>
          <w:pgSz w:w="11900" w:h="16838" w:orient="portrait"/>
          <w:cols w:equalWidth="0" w:num="1">
            <w:col w:w="9019"/>
          </w:cols>
          <w:pgMar w:left="1440" w:top="887" w:right="1440" w:bottom="1440" w:gutter="0" w:footer="0" w:header="0"/>
        </w:sectPr>
      </w:pPr>
    </w:p>
    <w:bookmarkStart w:id="23" w:name="page24"/>
    <w:bookmarkEnd w:id="23"/>
    <w:p>
      <w:pPr>
        <w:ind w:left="300"/>
        <w:spacing w:after="0"/>
        <w:rPr>
          <w:sz w:val="20"/>
          <w:szCs w:val="20"/>
          <w:color w:val="auto"/>
        </w:rPr>
      </w:pPr>
      <w:r>
        <w:rPr>
          <w:rFonts w:ascii="Courier New" w:cs="Courier New" w:eastAsia="Courier New" w:hAnsi="Courier New"/>
          <w:sz w:val="16"/>
          <w:szCs w:val="16"/>
          <w:color w:val="auto"/>
        </w:rPr>
        <w:t>19</w:t>
      </w:r>
    </w:p>
    <w:p>
      <w:pPr>
        <w:spacing w:after="0" w:line="5" w:lineRule="exact"/>
        <w:rPr>
          <w:sz w:val="20"/>
          <w:szCs w:val="20"/>
          <w:color w:val="auto"/>
        </w:rPr>
      </w:pPr>
    </w:p>
    <w:p>
      <w:pPr>
        <w:ind w:left="3200"/>
        <w:spacing w:after="0"/>
        <w:rPr>
          <w:sz w:val="20"/>
          <w:szCs w:val="20"/>
          <w:color w:val="auto"/>
        </w:rPr>
      </w:pPr>
      <w:r>
        <w:rPr>
          <w:rFonts w:ascii="Courier New" w:cs="Courier New" w:eastAsia="Courier New" w:hAnsi="Courier New"/>
          <w:sz w:val="16"/>
          <w:szCs w:val="16"/>
          <w:color w:val="auto"/>
        </w:rPr>
        <w:t>USE OF PROCEEDS</w:t>
      </w:r>
    </w:p>
    <w:p>
      <w:pPr>
        <w:spacing w:after="0" w:line="191" w:lineRule="exact"/>
        <w:rPr>
          <w:sz w:val="20"/>
          <w:szCs w:val="20"/>
          <w:color w:val="auto"/>
        </w:rPr>
      </w:pPr>
    </w:p>
    <w:p>
      <w:pPr>
        <w:ind w:right="2459" w:firstLine="872"/>
        <w:spacing w:after="0" w:line="247" w:lineRule="auto"/>
        <w:rPr>
          <w:sz w:val="20"/>
          <w:szCs w:val="20"/>
          <w:color w:val="auto"/>
        </w:rPr>
      </w:pPr>
      <w:r>
        <w:rPr>
          <w:rFonts w:ascii="Courier New" w:cs="Courier New" w:eastAsia="Courier New" w:hAnsi="Courier New"/>
          <w:sz w:val="16"/>
          <w:szCs w:val="16"/>
          <w:color w:val="auto"/>
        </w:rPr>
        <w:t>The proceeds from the sale of the securities offered by this prospectus are solely for the security holders who currently own and are selling the securities. We will not receive any of the proceeds from the sale of these securities.</w:t>
      </w:r>
    </w:p>
    <w:p>
      <w:pPr>
        <w:spacing w:after="0" w:line="186" w:lineRule="exact"/>
        <w:rPr>
          <w:sz w:val="20"/>
          <w:szCs w:val="20"/>
          <w:color w:val="auto"/>
        </w:rPr>
      </w:pPr>
    </w:p>
    <w:p>
      <w:pPr>
        <w:ind w:left="2900"/>
        <w:spacing w:after="0"/>
        <w:rPr>
          <w:sz w:val="20"/>
          <w:szCs w:val="20"/>
          <w:color w:val="auto"/>
        </w:rPr>
      </w:pPr>
      <w:r>
        <w:rPr>
          <w:rFonts w:ascii="Courier New" w:cs="Courier New" w:eastAsia="Courier New" w:hAnsi="Courier New"/>
          <w:sz w:val="16"/>
          <w:szCs w:val="16"/>
          <w:color w:val="auto"/>
        </w:rPr>
        <w:t>DESCRIPTION OF NOTES</w:t>
      </w:r>
    </w:p>
    <w:p>
      <w:pPr>
        <w:spacing w:after="0" w:line="378" w:lineRule="exact"/>
        <w:rPr>
          <w:sz w:val="20"/>
          <w:szCs w:val="20"/>
          <w:color w:val="auto"/>
        </w:rPr>
      </w:pPr>
    </w:p>
    <w:p>
      <w:pPr>
        <w:ind w:right="2459" w:firstLine="872"/>
        <w:spacing w:after="0" w:line="248" w:lineRule="auto"/>
        <w:rPr>
          <w:sz w:val="20"/>
          <w:szCs w:val="20"/>
          <w:color w:val="auto"/>
        </w:rPr>
      </w:pPr>
      <w:r>
        <w:rPr>
          <w:rFonts w:ascii="Courier New" w:cs="Courier New" w:eastAsia="Courier New" w:hAnsi="Courier New"/>
          <w:sz w:val="16"/>
          <w:szCs w:val="16"/>
          <w:color w:val="auto"/>
        </w:rPr>
        <w:t>WE ENCOURAGE YOU TO READ THE INDENTURE BECAUSE IT IS THE LEGAL DOCUMENT THAT GOVERNS THE NOTES.</w:t>
      </w:r>
    </w:p>
    <w:p>
      <w:pPr>
        <w:spacing w:after="0" w:line="184" w:lineRule="exact"/>
        <w:rPr>
          <w:sz w:val="20"/>
          <w:szCs w:val="20"/>
          <w:color w:val="auto"/>
        </w:rPr>
      </w:pPr>
    </w:p>
    <w:p>
      <w:pPr>
        <w:ind w:right="2459" w:firstLine="872"/>
        <w:spacing w:after="0" w:line="246" w:lineRule="auto"/>
        <w:rPr>
          <w:sz w:val="20"/>
          <w:szCs w:val="20"/>
          <w:color w:val="auto"/>
        </w:rPr>
      </w:pPr>
      <w:r>
        <w:rPr>
          <w:rFonts w:ascii="Courier New" w:cs="Courier New" w:eastAsia="Courier New" w:hAnsi="Courier New"/>
          <w:sz w:val="16"/>
          <w:szCs w:val="16"/>
          <w:color w:val="auto"/>
        </w:rPr>
        <w:t>The notes were issued under an indenture between us and Fifth Third Bank, as trustee, dated as of November 29, 1999, as supplemented by a supplemental indenture dated as of November 29, 1999, among us, our subsidiaries and the trustee. We refer to the indenture and the first supplemental together as the indenture. A copy of the indenture will be made available to prospective investors in the notes upon request to us, and will be available for inspection during normal business hours at the corporate trust office of the trustee. The following summaries of specific provisions of the notes and the indenture do not purport to be complete and are subject to, and are qualified in their entirety by reference to, all of the provisions of the notes and the indenture. Unless the context suggests otherwise, references in this "Description of Notes" to "we" or "us" refer to CheckFree Holdings Corporation and not to our subsidiaries.</w:t>
      </w:r>
    </w:p>
    <w:p>
      <w:pPr>
        <w:spacing w:after="0" w:line="19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GENERAL</w:t>
      </w:r>
    </w:p>
    <w:p>
      <w:pPr>
        <w:spacing w:after="0" w:line="191" w:lineRule="exact"/>
        <w:rPr>
          <w:sz w:val="20"/>
          <w:szCs w:val="20"/>
          <w:color w:val="auto"/>
        </w:rPr>
      </w:pPr>
    </w:p>
    <w:p>
      <w:pPr>
        <w:ind w:right="2459" w:firstLine="872"/>
        <w:spacing w:after="0" w:line="247" w:lineRule="auto"/>
        <w:rPr>
          <w:sz w:val="20"/>
          <w:szCs w:val="20"/>
          <w:color w:val="auto"/>
        </w:rPr>
      </w:pPr>
      <w:r>
        <w:rPr>
          <w:rFonts w:ascii="Courier New" w:cs="Courier New" w:eastAsia="Courier New" w:hAnsi="Courier New"/>
          <w:sz w:val="16"/>
          <w:szCs w:val="16"/>
          <w:color w:val="auto"/>
        </w:rPr>
        <w:t>The notes are our unsecured, subordinated obligations to $172,500,000 aggregate principal amount and will mature on December 1, 2006. The principal amount of each note is $1,000 and will be payable at the office of the paying agent, which initially will be the trustee, or an office or agency maintained by us for that purpose in the Borough of Manhattan, New York, New York.</w:t>
      </w:r>
    </w:p>
    <w:p>
      <w:pPr>
        <w:spacing w:after="0" w:line="185" w:lineRule="exact"/>
        <w:rPr>
          <w:sz w:val="20"/>
          <w:szCs w:val="20"/>
          <w:color w:val="auto"/>
        </w:rPr>
      </w:pPr>
    </w:p>
    <w:p>
      <w:pPr>
        <w:ind w:right="2459" w:firstLine="872"/>
        <w:spacing w:after="0" w:line="246" w:lineRule="auto"/>
        <w:rPr>
          <w:sz w:val="20"/>
          <w:szCs w:val="20"/>
          <w:color w:val="auto"/>
        </w:rPr>
      </w:pPr>
      <w:r>
        <w:rPr>
          <w:rFonts w:ascii="Courier New" w:cs="Courier New" w:eastAsia="Courier New" w:hAnsi="Courier New"/>
          <w:sz w:val="16"/>
          <w:szCs w:val="16"/>
          <w:color w:val="auto"/>
        </w:rPr>
        <w:t>The notes bear interest at the rate of 6 1/2% per annum on the principal amount from the date of issuance, or from the most recent date to which interest has been paid or provided for until the notes are paid in full or funds are made available for payment in full of the notes in accordance with the indenture. Interest is payable at maturity, or earlier purchase, redemption or, in some circumstances, conversion, and semiannually on June 1 and December 1 of each year, commencing on June 1, 2000, to holders of record at the close of business on May 15 or November 15 immediately preceding each interest payment date. Each payment of interest on the notes will include interest accrued through the day before the applicable interest payment date or the date of maturity, or earlier purchase, redemption or, in some circumstances, conversion, as the case may be. Any payment of principal and cash interest required to be made on any day that is not a business day will be made on the next succeeding business day. We currently expect to fund interest payments through our working capital. We cannot assure you that our working capital will be adequate to fund the interest payments or that alternative sources of financing will be available to fund the interest payments.</w:t>
      </w:r>
    </w:p>
    <w:p>
      <w:pPr>
        <w:spacing w:after="0" w:line="196" w:lineRule="exact"/>
        <w:rPr>
          <w:sz w:val="20"/>
          <w:szCs w:val="20"/>
          <w:color w:val="auto"/>
        </w:rPr>
      </w:pPr>
    </w:p>
    <w:p>
      <w:pPr>
        <w:ind w:right="2559" w:firstLine="872"/>
        <w:spacing w:after="0" w:line="247" w:lineRule="auto"/>
        <w:rPr>
          <w:sz w:val="20"/>
          <w:szCs w:val="20"/>
          <w:color w:val="auto"/>
        </w:rPr>
      </w:pPr>
      <w:r>
        <w:rPr>
          <w:rFonts w:ascii="Courier New" w:cs="Courier New" w:eastAsia="Courier New" w:hAnsi="Courier New"/>
          <w:sz w:val="16"/>
          <w:szCs w:val="16"/>
          <w:color w:val="auto"/>
        </w:rPr>
        <w:t>In the event of the maturity, conversion, purchase by us at the option of a holder or redemption of a note, interest will cease to accrue on the note, under the terms and subject to the conditions of the indenture. We may not reissue a note that has matured or been converted, redeemed or otherwise cancelled.</w:t>
      </w:r>
    </w:p>
    <w:p>
      <w:pPr>
        <w:spacing w:after="0" w:line="185" w:lineRule="exact"/>
        <w:rPr>
          <w:sz w:val="20"/>
          <w:szCs w:val="20"/>
          <w:color w:val="auto"/>
        </w:rPr>
      </w:pPr>
    </w:p>
    <w:p>
      <w:pPr>
        <w:ind w:right="2659" w:firstLine="872"/>
        <w:spacing w:after="0" w:line="247" w:lineRule="auto"/>
        <w:rPr>
          <w:sz w:val="20"/>
          <w:szCs w:val="20"/>
          <w:color w:val="auto"/>
        </w:rPr>
      </w:pPr>
      <w:r>
        <w:rPr>
          <w:rFonts w:ascii="Courier New" w:cs="Courier New" w:eastAsia="Courier New" w:hAnsi="Courier New"/>
          <w:sz w:val="16"/>
          <w:szCs w:val="16"/>
          <w:color w:val="auto"/>
        </w:rPr>
        <w:t>You may present the notes for conversion at the office of the conversion agent and for exchange or registration of transfer at the office of the registrar. Each agent shall initially be the trustee.</w:t>
      </w:r>
    </w:p>
    <w:p>
      <w:pPr>
        <w:spacing w:after="0" w:line="372"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19</w:t>
      </w:r>
    </w:p>
    <w:p>
      <w:pPr>
        <w:sectPr>
          <w:pgSz w:w="11900" w:h="16838" w:orient="portrait"/>
          <w:cols w:equalWidth="0" w:num="1">
            <w:col w:w="10219"/>
          </w:cols>
          <w:pgMar w:left="240" w:top="303" w:right="1440" w:bottom="1440" w:gutter="0" w:footer="0" w:header="0"/>
        </w:sectPr>
      </w:pPr>
    </w:p>
    <w:bookmarkStart w:id="24" w:name="page25"/>
    <w:bookmarkEnd w:id="24"/>
    <w:p>
      <w:pPr>
        <w:ind w:left="300"/>
        <w:spacing w:after="0"/>
        <w:rPr>
          <w:sz w:val="20"/>
          <w:szCs w:val="20"/>
          <w:color w:val="auto"/>
        </w:rPr>
      </w:pPr>
      <w:r>
        <w:rPr>
          <w:rFonts w:ascii="Courier New" w:cs="Courier New" w:eastAsia="Courier New" w:hAnsi="Courier New"/>
          <w:sz w:val="16"/>
          <w:szCs w:val="16"/>
          <w:color w:val="auto"/>
        </w:rPr>
        <w:t>20</w:t>
      </w:r>
    </w:p>
    <w:p>
      <w:pPr>
        <w:spacing w:after="0" w:line="19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FORM, DENOMINATION AND REGISTRATION</w:t>
      </w:r>
    </w:p>
    <w:p>
      <w:pPr>
        <w:spacing w:after="0" w:line="191" w:lineRule="exact"/>
        <w:rPr>
          <w:sz w:val="20"/>
          <w:szCs w:val="20"/>
          <w:color w:val="auto"/>
        </w:rPr>
      </w:pPr>
    </w:p>
    <w:p>
      <w:pPr>
        <w:ind w:right="2559" w:firstLine="872"/>
        <w:spacing w:after="0" w:line="247" w:lineRule="auto"/>
        <w:rPr>
          <w:sz w:val="20"/>
          <w:szCs w:val="20"/>
          <w:color w:val="auto"/>
        </w:rPr>
      </w:pPr>
      <w:r>
        <w:rPr>
          <w:rFonts w:ascii="Courier New" w:cs="Courier New" w:eastAsia="Courier New" w:hAnsi="Courier New"/>
          <w:sz w:val="16"/>
          <w:szCs w:val="16"/>
          <w:color w:val="auto"/>
        </w:rPr>
        <w:t>We initially issued the notes in the form of global notes. The global notes are deposited with, or on behalf of, the clearing agency registered under the Securities Exchange Act of 1934 that is designated to act as depositary for the notes and registered in the name of the depositary or its nominee. The Depository Trust Company, commonly known as DTC, is the initial depositary.</w:t>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BOOK ENTRY SYSTEM</w:t>
      </w:r>
    </w:p>
    <w:p>
      <w:pPr>
        <w:spacing w:after="0" w:line="191" w:lineRule="exact"/>
        <w:rPr>
          <w:sz w:val="20"/>
          <w:szCs w:val="20"/>
          <w:color w:val="auto"/>
        </w:rPr>
      </w:pPr>
    </w:p>
    <w:p>
      <w:pPr>
        <w:ind w:right="2459" w:firstLine="872"/>
        <w:spacing w:after="0" w:line="246" w:lineRule="auto"/>
        <w:rPr>
          <w:sz w:val="20"/>
          <w:szCs w:val="20"/>
          <w:color w:val="auto"/>
        </w:rPr>
      </w:pPr>
      <w:r>
        <w:rPr>
          <w:rFonts w:ascii="Courier New" w:cs="Courier New" w:eastAsia="Courier New" w:hAnsi="Courier New"/>
          <w:sz w:val="16"/>
          <w:szCs w:val="16"/>
          <w:color w:val="auto"/>
        </w:rPr>
        <w:t>Upon the issuance of a global note, the depositary will credit, on its book-entry registration and transfer system, the respective principal amounts of the debt securities represented by the global note to the accounts of institutions or persons, commonly known as participants, that have accounts with the depositary or its nominee. The accounts to be credited will be designated by the initial purchasers, dealers or agents. Ownership of beneficial interests in a global note will be limited to participants or persons that may hold interests through participants. Ownership of interests in the global note will be shown on, and the transfer of those ownership interests will be effected only through, records maintained by the depositary, with respect to participants' interests, and the participants, with respect to the owners of beneficial interests in the global note. The laws of some jurisdictions may require that some purchasers of securities take physical delivery of the securities in definitive form. These limits and laws may impair the ability to transfer beneficial interests in a global note.</w:t>
      </w:r>
    </w:p>
    <w:p>
      <w:pPr>
        <w:spacing w:after="0" w:line="195" w:lineRule="exact"/>
        <w:rPr>
          <w:sz w:val="20"/>
          <w:szCs w:val="20"/>
          <w:color w:val="auto"/>
        </w:rPr>
      </w:pPr>
    </w:p>
    <w:p>
      <w:pPr>
        <w:ind w:right="2459" w:firstLine="872"/>
        <w:spacing w:after="0" w:line="246" w:lineRule="auto"/>
        <w:rPr>
          <w:sz w:val="20"/>
          <w:szCs w:val="20"/>
          <w:color w:val="auto"/>
        </w:rPr>
      </w:pPr>
      <w:r>
        <w:rPr>
          <w:rFonts w:ascii="Courier New" w:cs="Courier New" w:eastAsia="Courier New" w:hAnsi="Courier New"/>
          <w:sz w:val="16"/>
          <w:szCs w:val="16"/>
          <w:color w:val="auto"/>
        </w:rPr>
        <w:t>So long as the depositary, or its nominee, is the registered holder and owner of the global note, the depositary or its nominee, as the case may be, will be considered the sole owner and holder for all purposes of the debt securities and for all purposes under the indenture. Except as set forth below, owners of beneficial interests in a global note will not be entitled to have the notes registered in their names, will not receive or be entitled to receive physical delivery of the notes in definitive form and will not be considered to be the owners or holders of any notes or the global note. Accordingly, each person owning a beneficial interest in a global note must rely on the procedures of the depositary and, if the person is not a participant, on the procedures of the participant through which the person owns its interest, to exercise any rights of a holder of the notes. We understand that under existing industry practice, in the event we request any action of holders of the notes or if an owner of a beneficial interest in a global note desires to take any action that the depositary, as the holder of the global note, is entitled to take, the depositary would authorize the participants to take that action, and that the participants would authorize beneficial owners owning through the participants to take the actions or would otherwise act upon the instructions of beneficial owners owning through them.</w:t>
      </w:r>
    </w:p>
    <w:p>
      <w:pPr>
        <w:spacing w:after="0" w:line="197" w:lineRule="exact"/>
        <w:rPr>
          <w:sz w:val="20"/>
          <w:szCs w:val="20"/>
          <w:color w:val="auto"/>
        </w:rPr>
      </w:pPr>
    </w:p>
    <w:p>
      <w:pPr>
        <w:ind w:right="2559" w:firstLine="872"/>
        <w:spacing w:after="0" w:line="247" w:lineRule="auto"/>
        <w:rPr>
          <w:sz w:val="20"/>
          <w:szCs w:val="20"/>
          <w:color w:val="auto"/>
        </w:rPr>
      </w:pPr>
      <w:r>
        <w:rPr>
          <w:rFonts w:ascii="Courier New" w:cs="Courier New" w:eastAsia="Courier New" w:hAnsi="Courier New"/>
          <w:sz w:val="16"/>
          <w:szCs w:val="16"/>
          <w:color w:val="auto"/>
        </w:rPr>
        <w:t>Payments of principal of and premium, if any, and interest, if any, on the notes represented by a global note will be made to the depositary or its nominee, as the case may be, as the registered owner and holder of the global note, against surrender of the notes at the principal corporate trust office of the trustee. Interest payments will be made at the principal corporate trust office of the trustee or by a check mailed to the holder at its registered address.</w:t>
      </w:r>
    </w:p>
    <w:p>
      <w:pPr>
        <w:spacing w:after="0" w:line="185" w:lineRule="exact"/>
        <w:rPr>
          <w:sz w:val="20"/>
          <w:szCs w:val="20"/>
          <w:color w:val="auto"/>
        </w:rPr>
      </w:pPr>
    </w:p>
    <w:p>
      <w:pPr>
        <w:ind w:right="2459" w:firstLine="872"/>
        <w:spacing w:after="0" w:line="246" w:lineRule="auto"/>
        <w:rPr>
          <w:sz w:val="20"/>
          <w:szCs w:val="20"/>
          <w:color w:val="auto"/>
        </w:rPr>
      </w:pPr>
      <w:r>
        <w:rPr>
          <w:rFonts w:ascii="Courier New" w:cs="Courier New" w:eastAsia="Courier New" w:hAnsi="Courier New"/>
          <w:sz w:val="16"/>
          <w:szCs w:val="16"/>
          <w:color w:val="auto"/>
        </w:rPr>
        <w:t>We expect that the depositary, upon receipt of any payment of principal, premium, if any, of interest, if any, in respect of a global note, will credit immediately participants' accounts with payments in amounts proportionate to their respective beneficial interests in the principal amount of the global note as shown on the records of the depositary. We expect that payments by participants to owners of beneficial interests in a global note held through the participants will be governed by standing instructions and customary practices, as is now the case with securities held for accounts of customers in bearer-form or registered in "street name," and will be the responsibility of the participant. Neither we nor the trustee nor any of our agents or the trustee will have any responsibility or liability for any aspect of the records relating to, or payments made on account of, beneficial ownership interests in a global note or for maintaining, supervising or reviewing any records relating to the beneficial ownership interests or for any other aspect of the relationship between the depositary and its participants or the relationship between the participants and the owners of beneficial interests in the global note owning through the participants.</w:t>
      </w:r>
    </w:p>
    <w:p>
      <w:pPr>
        <w:spacing w:after="0" w:line="196" w:lineRule="exact"/>
        <w:rPr>
          <w:sz w:val="20"/>
          <w:szCs w:val="20"/>
          <w:color w:val="auto"/>
        </w:rPr>
      </w:pPr>
    </w:p>
    <w:p>
      <w:pPr>
        <w:jc w:val="both"/>
        <w:ind w:right="2659" w:firstLine="872"/>
        <w:spacing w:after="0" w:line="247" w:lineRule="auto"/>
        <w:rPr>
          <w:sz w:val="20"/>
          <w:szCs w:val="20"/>
          <w:color w:val="auto"/>
        </w:rPr>
      </w:pPr>
      <w:r>
        <w:rPr>
          <w:rFonts w:ascii="Courier New" w:cs="Courier New" w:eastAsia="Courier New" w:hAnsi="Courier New"/>
          <w:sz w:val="16"/>
          <w:szCs w:val="16"/>
          <w:color w:val="auto"/>
        </w:rPr>
        <w:t>Unless and until it is exchanged in whole or in part for the notes in definitive form, a global note may not be transferred except as a whole by the depositary to a nominee of the depositary or by a nominee of the depositary to the depositary or another nominee of the depositary.</w:t>
      </w:r>
    </w:p>
    <w:p>
      <w:pPr>
        <w:sectPr>
          <w:pgSz w:w="11900" w:h="16838" w:orient="portrait"/>
          <w:cols w:equalWidth="0" w:num="1">
            <w:col w:w="10219"/>
          </w:cols>
          <w:pgMar w:left="240" w:top="303" w:right="1440" w:bottom="881" w:gutter="0" w:footer="0" w:header="0"/>
        </w:sectPr>
      </w:pPr>
    </w:p>
    <w:p>
      <w:pPr>
        <w:spacing w:after="0" w:line="372"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20</w:t>
      </w:r>
    </w:p>
    <w:p>
      <w:pPr>
        <w:sectPr>
          <w:pgSz w:w="11900" w:h="16838" w:orient="portrait"/>
          <w:cols w:equalWidth="0" w:num="1">
            <w:col w:w="10219"/>
          </w:cols>
          <w:pgMar w:left="240" w:top="303" w:right="1440" w:bottom="881" w:gutter="0" w:footer="0" w:header="0"/>
          <w:type w:val="continuous"/>
        </w:sectPr>
      </w:pPr>
    </w:p>
    <w:bookmarkStart w:id="25" w:name="page26"/>
    <w:bookmarkEnd w:id="25"/>
    <w:p>
      <w:pPr>
        <w:ind w:left="300"/>
        <w:spacing w:after="0"/>
        <w:rPr>
          <w:sz w:val="20"/>
          <w:szCs w:val="20"/>
          <w:color w:val="auto"/>
        </w:rPr>
      </w:pPr>
      <w:r>
        <w:rPr>
          <w:rFonts w:ascii="Courier New" w:cs="Courier New" w:eastAsia="Courier New" w:hAnsi="Courier New"/>
          <w:sz w:val="16"/>
          <w:szCs w:val="16"/>
          <w:color w:val="auto"/>
        </w:rPr>
        <w:t>21</w:t>
      </w:r>
    </w:p>
    <w:p>
      <w:pPr>
        <w:spacing w:after="0" w:line="191" w:lineRule="exact"/>
        <w:rPr>
          <w:sz w:val="20"/>
          <w:szCs w:val="20"/>
          <w:color w:val="auto"/>
        </w:rPr>
      </w:pPr>
    </w:p>
    <w:p>
      <w:pPr>
        <w:jc w:val="both"/>
        <w:ind w:right="2659" w:firstLine="872"/>
        <w:spacing w:after="0" w:line="247" w:lineRule="auto"/>
        <w:rPr>
          <w:sz w:val="20"/>
          <w:szCs w:val="20"/>
          <w:color w:val="auto"/>
        </w:rPr>
      </w:pPr>
      <w:r>
        <w:rPr>
          <w:rFonts w:ascii="Courier New" w:cs="Courier New" w:eastAsia="Courier New" w:hAnsi="Courier New"/>
          <w:sz w:val="16"/>
          <w:szCs w:val="16"/>
          <w:color w:val="auto"/>
        </w:rPr>
        <w:t>Notes represented by a global note will be exchangeable for the notes in definitive form of like tenor as the global note in denominations of $1,000 and in any greater amount that is an integral multiple thereof if:</w:t>
      </w:r>
    </w:p>
    <w:p>
      <w:pPr>
        <w:spacing w:after="0" w:line="186" w:lineRule="exact"/>
        <w:rPr>
          <w:sz w:val="20"/>
          <w:szCs w:val="20"/>
          <w:color w:val="auto"/>
        </w:rPr>
      </w:pPr>
    </w:p>
    <w:p>
      <w:pPr>
        <w:ind w:left="1060" w:right="2459" w:hanging="189"/>
        <w:spacing w:after="0" w:line="247" w:lineRule="auto"/>
        <w:tabs>
          <w:tab w:leader="none" w:pos="1060" w:val="left"/>
        </w:tabs>
        <w:numPr>
          <w:ilvl w:val="0"/>
          <w:numId w:val="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depositary notifies us and the trustee that it is unwilling or unable to continue as depositary for the global note or if at any time the depositary ceases to be a clearing agency registered under the Securities Exchange Act of 1934 and a successor depositary is not appointed by us within 90 days;</w:t>
      </w:r>
    </w:p>
    <w:p>
      <w:pPr>
        <w:spacing w:after="0" w:line="185" w:lineRule="exact"/>
        <w:rPr>
          <w:rFonts w:ascii="Courier New" w:cs="Courier New" w:eastAsia="Courier New" w:hAnsi="Courier New"/>
          <w:sz w:val="16"/>
          <w:szCs w:val="16"/>
          <w:color w:val="auto"/>
        </w:rPr>
      </w:pPr>
    </w:p>
    <w:p>
      <w:pPr>
        <w:ind w:left="1060" w:right="2759" w:hanging="189"/>
        <w:spacing w:after="0" w:line="248" w:lineRule="auto"/>
        <w:tabs>
          <w:tab w:leader="none" w:pos="1060" w:val="left"/>
        </w:tabs>
        <w:numPr>
          <w:ilvl w:val="0"/>
          <w:numId w:val="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we, in our sole discretion, determine not to have all of the notes represented by a global note and notify the trustee thereof; or</w:t>
      </w:r>
    </w:p>
    <w:p>
      <w:pPr>
        <w:spacing w:after="0" w:line="184" w:lineRule="exact"/>
        <w:rPr>
          <w:rFonts w:ascii="Courier New" w:cs="Courier New" w:eastAsia="Courier New" w:hAnsi="Courier New"/>
          <w:sz w:val="16"/>
          <w:szCs w:val="16"/>
          <w:color w:val="auto"/>
        </w:rPr>
      </w:pPr>
    </w:p>
    <w:p>
      <w:pPr>
        <w:ind w:left="1060" w:right="2459" w:hanging="189"/>
        <w:spacing w:after="0" w:line="247" w:lineRule="auto"/>
        <w:tabs>
          <w:tab w:leader="none" w:pos="1060" w:val="left"/>
        </w:tabs>
        <w:numPr>
          <w:ilvl w:val="0"/>
          <w:numId w:val="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there shall have occurred and be continuing an event of default or an event which, with the giving of notice or lapse of time, or both, would constitute an event of default with respect to the notes.</w:t>
      </w:r>
    </w:p>
    <w:p>
      <w:pPr>
        <w:spacing w:after="0" w:line="186" w:lineRule="exact"/>
        <w:rPr>
          <w:sz w:val="20"/>
          <w:szCs w:val="20"/>
          <w:color w:val="auto"/>
        </w:rPr>
      </w:pPr>
    </w:p>
    <w:p>
      <w:pPr>
        <w:ind w:right="2559" w:firstLine="872"/>
        <w:spacing w:after="0" w:line="246" w:lineRule="auto"/>
        <w:rPr>
          <w:sz w:val="20"/>
          <w:szCs w:val="20"/>
          <w:color w:val="auto"/>
        </w:rPr>
      </w:pPr>
      <w:r>
        <w:rPr>
          <w:rFonts w:ascii="Courier New" w:cs="Courier New" w:eastAsia="Courier New" w:hAnsi="Courier New"/>
          <w:sz w:val="16"/>
          <w:szCs w:val="16"/>
          <w:color w:val="auto"/>
        </w:rPr>
        <w:t>Any note that is exchangeable pursuant to the preceding sentence is exchangeable for the notes registered in the names as the depositary shall instruct the trustee. It is expected that these instructions may be based upon directions received by the depositary from its participants with respect to ownership of beneficial interests in the global note. Subject to the foregoing, a global note is not exchangeable except for a global note or global notes of the same aggregate denominations to be registered in the name of the depositary or its nominee.</w:t>
      </w:r>
    </w:p>
    <w:p>
      <w:pPr>
        <w:spacing w:after="0" w:line="19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SUBSIDIARY GUARANTEE</w:t>
      </w:r>
    </w:p>
    <w:p>
      <w:pPr>
        <w:spacing w:after="0" w:line="191" w:lineRule="exact"/>
        <w:rPr>
          <w:sz w:val="20"/>
          <w:szCs w:val="20"/>
          <w:color w:val="auto"/>
        </w:rPr>
      </w:pPr>
    </w:p>
    <w:p>
      <w:pPr>
        <w:ind w:right="2459" w:firstLine="872"/>
        <w:spacing w:after="0" w:line="246" w:lineRule="auto"/>
        <w:rPr>
          <w:sz w:val="20"/>
          <w:szCs w:val="20"/>
          <w:color w:val="auto"/>
        </w:rPr>
      </w:pPr>
      <w:r>
        <w:rPr>
          <w:rFonts w:ascii="Courier New" w:cs="Courier New" w:eastAsia="Courier New" w:hAnsi="Courier New"/>
          <w:sz w:val="16"/>
          <w:szCs w:val="16"/>
          <w:color w:val="auto"/>
        </w:rPr>
        <w:t>Each of our subsidiaries, jointly and severally, has fully and unconditionally guaranteed, on a subordinated basis, our obligations under the notes. The subsidiary guarantee is subordinated to the prior payment in full in cash or cash equivalents of all senior indebtedness of that subsidiary. The subordination provisions applicable to the subsidiary guarantee will be substantially similar to the subordination provisions applicable to the notes. The obligations of each subsidiary under the subsidiary guarantee are limited as necessary to seek to prevent that subsidiary guarantee from constituting a fraudulent conveyance under applicable law. Additionally, our future subsidiaries may also be required to guarantee the notes, including BlueGill Technologies and TransPoint upon our completion of each of those acquisitions.</w:t>
      </w:r>
    </w:p>
    <w:p>
      <w:pPr>
        <w:spacing w:after="0" w:line="193" w:lineRule="exact"/>
        <w:rPr>
          <w:sz w:val="20"/>
          <w:szCs w:val="20"/>
          <w:color w:val="auto"/>
        </w:rPr>
      </w:pPr>
    </w:p>
    <w:p>
      <w:pPr>
        <w:jc w:val="both"/>
        <w:ind w:right="2959" w:firstLine="872"/>
        <w:spacing w:after="0" w:line="247" w:lineRule="auto"/>
        <w:rPr>
          <w:sz w:val="20"/>
          <w:szCs w:val="20"/>
          <w:color w:val="auto"/>
        </w:rPr>
      </w:pPr>
      <w:r>
        <w:rPr>
          <w:rFonts w:ascii="Courier New" w:cs="Courier New" w:eastAsia="Courier New" w:hAnsi="Courier New"/>
          <w:sz w:val="16"/>
          <w:szCs w:val="16"/>
          <w:color w:val="auto"/>
        </w:rPr>
        <w:t>A subsidiary guarantor may not sell or otherwise dispose of all or substantially all of its assets, or consolidate with or merge with or into, another person unless:</w:t>
      </w:r>
    </w:p>
    <w:p>
      <w:pPr>
        <w:spacing w:after="0" w:line="186" w:lineRule="exact"/>
        <w:rPr>
          <w:sz w:val="20"/>
          <w:szCs w:val="20"/>
          <w:color w:val="auto"/>
        </w:rPr>
      </w:pPr>
    </w:p>
    <w:p>
      <w:pPr>
        <w:ind w:left="1060" w:right="2759" w:hanging="189"/>
        <w:spacing w:after="0" w:line="248" w:lineRule="auto"/>
        <w:tabs>
          <w:tab w:leader="none" w:pos="1060" w:val="left"/>
        </w:tabs>
        <w:numPr>
          <w:ilvl w:val="0"/>
          <w:numId w:val="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immediately after giving effect to that transaction, no default or event of default exists under the indenture; and</w:t>
      </w:r>
    </w:p>
    <w:p>
      <w:pPr>
        <w:spacing w:after="0" w:line="184" w:lineRule="exact"/>
        <w:rPr>
          <w:rFonts w:ascii="Courier New" w:cs="Courier New" w:eastAsia="Courier New" w:hAnsi="Courier New"/>
          <w:sz w:val="16"/>
          <w:szCs w:val="16"/>
          <w:color w:val="auto"/>
        </w:rPr>
      </w:pPr>
    </w:p>
    <w:p>
      <w:pPr>
        <w:ind w:left="1060" w:right="2559" w:hanging="189"/>
        <w:spacing w:after="0" w:line="247" w:lineRule="auto"/>
        <w:tabs>
          <w:tab w:leader="none" w:pos="1060" w:val="left"/>
        </w:tabs>
        <w:numPr>
          <w:ilvl w:val="0"/>
          <w:numId w:val="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person acquiring the property in any similar sale or disposition or the person formed by or surviving any similar consolidation or merger assumes all the obligations of that subsidiary guarantor pursuant to a supplemental indenture satisfactory to the trustee.</w:t>
      </w:r>
    </w:p>
    <w:p>
      <w:pPr>
        <w:spacing w:after="0" w:line="186" w:lineRule="exact"/>
        <w:rPr>
          <w:sz w:val="20"/>
          <w:szCs w:val="20"/>
          <w:color w:val="auto"/>
        </w:rPr>
      </w:pPr>
    </w:p>
    <w:p>
      <w:pPr>
        <w:ind w:left="880"/>
        <w:spacing w:after="0"/>
        <w:rPr>
          <w:sz w:val="20"/>
          <w:szCs w:val="20"/>
          <w:color w:val="auto"/>
        </w:rPr>
      </w:pPr>
      <w:r>
        <w:rPr>
          <w:rFonts w:ascii="Courier New" w:cs="Courier New" w:eastAsia="Courier New" w:hAnsi="Courier New"/>
          <w:sz w:val="16"/>
          <w:szCs w:val="16"/>
          <w:color w:val="auto"/>
        </w:rPr>
        <w:t>A subsidiary will be released from the subsidiary guarantee:</w:t>
      </w:r>
    </w:p>
    <w:p>
      <w:pPr>
        <w:spacing w:after="0" w:line="191" w:lineRule="exact"/>
        <w:rPr>
          <w:sz w:val="20"/>
          <w:szCs w:val="20"/>
          <w:color w:val="auto"/>
        </w:rPr>
      </w:pPr>
    </w:p>
    <w:p>
      <w:pPr>
        <w:jc w:val="both"/>
        <w:ind w:left="1060" w:right="3539" w:hanging="189"/>
        <w:spacing w:after="0" w:line="247" w:lineRule="auto"/>
        <w:tabs>
          <w:tab w:leader="none" w:pos="1060" w:val="left"/>
        </w:tabs>
        <w:numPr>
          <w:ilvl w:val="0"/>
          <w:numId w:val="27"/>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connection with any sale or other disposition of all or substantially all of the assets of that subsidiary, if the disposition is to us or another subsidiary guarantor; or</w:t>
      </w:r>
    </w:p>
    <w:p>
      <w:pPr>
        <w:spacing w:after="0" w:line="185" w:lineRule="exact"/>
        <w:rPr>
          <w:rFonts w:ascii="Courier New" w:cs="Courier New" w:eastAsia="Courier New" w:hAnsi="Courier New"/>
          <w:sz w:val="16"/>
          <w:szCs w:val="16"/>
          <w:color w:val="auto"/>
        </w:rPr>
      </w:pPr>
    </w:p>
    <w:p>
      <w:pPr>
        <w:ind w:left="1060" w:right="2559" w:hanging="189"/>
        <w:spacing w:after="0" w:line="247" w:lineRule="auto"/>
        <w:tabs>
          <w:tab w:leader="none" w:pos="1060" w:val="left"/>
        </w:tabs>
        <w:numPr>
          <w:ilvl w:val="0"/>
          <w:numId w:val="27"/>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connection with any sale of all of the capital stock of a subsidiary guarantor, if the person acquiring the capital stock assumes all the obligations of that subsidiary guarantor pursuant to a supplemental indenture satisfactory to the trustee.</w:t>
      </w:r>
    </w:p>
    <w:p>
      <w:pPr>
        <w:spacing w:after="0" w:line="186" w:lineRule="exact"/>
        <w:rPr>
          <w:sz w:val="20"/>
          <w:szCs w:val="20"/>
          <w:color w:val="auto"/>
        </w:rPr>
      </w:pPr>
    </w:p>
    <w:p>
      <w:pPr>
        <w:ind w:right="2559" w:firstLine="872"/>
        <w:spacing w:after="0" w:line="247" w:lineRule="auto"/>
        <w:rPr>
          <w:sz w:val="20"/>
          <w:szCs w:val="20"/>
          <w:color w:val="auto"/>
        </w:rPr>
      </w:pPr>
      <w:r>
        <w:rPr>
          <w:rFonts w:ascii="Courier New" w:cs="Courier New" w:eastAsia="Courier New" w:hAnsi="Courier New"/>
          <w:sz w:val="16"/>
          <w:szCs w:val="16"/>
          <w:color w:val="auto"/>
        </w:rPr>
        <w:t>Since we have no assets separate from our investment in our subsidiaries, except for an insignificant amount of cash, and no operations, we have not included audited financial information of our subsidiary guarantors in this prospectus.</w:t>
      </w:r>
    </w:p>
    <w:p>
      <w:pPr>
        <w:sectPr>
          <w:pgSz w:w="11900" w:h="16838" w:orient="portrait"/>
          <w:cols w:equalWidth="0" w:num="1">
            <w:col w:w="10219"/>
          </w:cols>
          <w:pgMar w:left="240" w:top="303" w:right="1440" w:bottom="1440" w:gutter="0" w:footer="0" w:header="0"/>
        </w:sectPr>
      </w:pPr>
    </w:p>
    <w:p>
      <w:pPr>
        <w:spacing w:after="0" w:line="372"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21</w:t>
      </w:r>
    </w:p>
    <w:p>
      <w:pPr>
        <w:sectPr>
          <w:pgSz w:w="11900" w:h="16838" w:orient="portrait"/>
          <w:cols w:equalWidth="0" w:num="1">
            <w:col w:w="10219"/>
          </w:cols>
          <w:pgMar w:left="240" w:top="303" w:right="1440" w:bottom="1440" w:gutter="0" w:footer="0" w:header="0"/>
          <w:type w:val="continuous"/>
        </w:sectPr>
      </w:pPr>
    </w:p>
    <w:bookmarkStart w:id="26" w:name="page27"/>
    <w:bookmarkEnd w:id="26"/>
    <w:p>
      <w:pPr>
        <w:ind w:left="300"/>
        <w:spacing w:after="0"/>
        <w:rPr>
          <w:sz w:val="20"/>
          <w:szCs w:val="20"/>
          <w:color w:val="auto"/>
        </w:rPr>
      </w:pPr>
      <w:r>
        <w:rPr>
          <w:rFonts w:ascii="Courier New" w:cs="Courier New" w:eastAsia="Courier New" w:hAnsi="Courier New"/>
          <w:sz w:val="16"/>
          <w:szCs w:val="16"/>
          <w:color w:val="auto"/>
        </w:rPr>
        <w:t>22</w:t>
      </w:r>
    </w:p>
    <w:p>
      <w:pPr>
        <w:spacing w:after="0" w:line="19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SUBORDINATION OF THE NOTES</w:t>
      </w:r>
    </w:p>
    <w:p>
      <w:pPr>
        <w:spacing w:after="0" w:line="191" w:lineRule="exact"/>
        <w:rPr>
          <w:sz w:val="20"/>
          <w:szCs w:val="20"/>
          <w:color w:val="auto"/>
        </w:rPr>
      </w:pPr>
    </w:p>
    <w:p>
      <w:pPr>
        <w:ind w:right="2459" w:firstLine="872"/>
        <w:spacing w:after="0" w:line="247" w:lineRule="auto"/>
        <w:rPr>
          <w:sz w:val="20"/>
          <w:szCs w:val="20"/>
          <w:color w:val="auto"/>
        </w:rPr>
      </w:pPr>
      <w:r>
        <w:rPr>
          <w:rFonts w:ascii="Courier New" w:cs="Courier New" w:eastAsia="Courier New" w:hAnsi="Courier New"/>
          <w:sz w:val="16"/>
          <w:szCs w:val="16"/>
          <w:color w:val="auto"/>
        </w:rPr>
        <w:t>The notes and the subsidiary guarantee are unsecured obligations of CheckFree and are subordinated in right of payment, as set forth in the indenture, to the prior payment in full in cash or other payment satisfactory to holders of senior indebtedness of all our existing and future senior indebtedness and that of our subsidiaries.</w:t>
      </w:r>
    </w:p>
    <w:p>
      <w:pPr>
        <w:spacing w:after="0" w:line="185" w:lineRule="exact"/>
        <w:rPr>
          <w:sz w:val="20"/>
          <w:szCs w:val="20"/>
          <w:color w:val="auto"/>
        </w:rPr>
      </w:pPr>
    </w:p>
    <w:p>
      <w:pPr>
        <w:ind w:right="2459" w:firstLine="872"/>
        <w:spacing w:after="0" w:line="247" w:lineRule="auto"/>
        <w:rPr>
          <w:sz w:val="20"/>
          <w:szCs w:val="20"/>
          <w:color w:val="auto"/>
        </w:rPr>
      </w:pPr>
      <w:r>
        <w:rPr>
          <w:rFonts w:ascii="Courier New" w:cs="Courier New" w:eastAsia="Courier New" w:hAnsi="Courier New"/>
          <w:sz w:val="16"/>
          <w:szCs w:val="16"/>
          <w:color w:val="auto"/>
        </w:rPr>
        <w:t>At December 31, 1999, we had no senior indebtedness outstanding and our subsidiaries had $10.5 million of senior indebtedness outstanding. The indenture does not restrict the incurrence by CheckFree or our subsidiaries of senior indebtedness or other obligations.</w:t>
      </w:r>
    </w:p>
    <w:p>
      <w:pPr>
        <w:spacing w:after="0" w:line="186" w:lineRule="exact"/>
        <w:rPr>
          <w:sz w:val="20"/>
          <w:szCs w:val="20"/>
          <w:color w:val="auto"/>
        </w:rPr>
      </w:pPr>
    </w:p>
    <w:p>
      <w:pPr>
        <w:ind w:left="880"/>
        <w:spacing w:after="0"/>
        <w:rPr>
          <w:sz w:val="20"/>
          <w:szCs w:val="20"/>
          <w:color w:val="auto"/>
        </w:rPr>
      </w:pPr>
      <w:r>
        <w:rPr>
          <w:rFonts w:ascii="Courier New" w:cs="Courier New" w:eastAsia="Courier New" w:hAnsi="Courier New"/>
          <w:sz w:val="16"/>
          <w:szCs w:val="16"/>
          <w:color w:val="auto"/>
        </w:rPr>
        <w:t>The term "senior indebtedness" means:</w:t>
      </w:r>
    </w:p>
    <w:p>
      <w:pPr>
        <w:spacing w:after="0" w:line="191" w:lineRule="exact"/>
        <w:rPr>
          <w:sz w:val="20"/>
          <w:szCs w:val="20"/>
          <w:color w:val="auto"/>
        </w:rPr>
      </w:pPr>
    </w:p>
    <w:p>
      <w:pPr>
        <w:ind w:left="1260" w:right="2459" w:hanging="389"/>
        <w:spacing w:after="0" w:line="248" w:lineRule="auto"/>
        <w:tabs>
          <w:tab w:leader="none" w:pos="1260" w:val="left"/>
        </w:tabs>
        <w:numPr>
          <w:ilvl w:val="0"/>
          <w:numId w:val="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principal, premium, if any, interest and all other amounts owed in respect of all our indebtedness:</w:t>
      </w:r>
    </w:p>
    <w:p>
      <w:pPr>
        <w:spacing w:after="0" w:line="184" w:lineRule="exact"/>
        <w:rPr>
          <w:rFonts w:ascii="Courier New" w:cs="Courier New" w:eastAsia="Courier New" w:hAnsi="Courier New"/>
          <w:sz w:val="16"/>
          <w:szCs w:val="16"/>
          <w:color w:val="auto"/>
        </w:rPr>
      </w:pPr>
    </w:p>
    <w:p>
      <w:pPr>
        <w:ind w:left="1640" w:hanging="381"/>
        <w:spacing w:after="0"/>
        <w:tabs>
          <w:tab w:leader="none" w:pos="1640" w:val="left"/>
        </w:tabs>
        <w:numPr>
          <w:ilvl w:val="1"/>
          <w:numId w:val="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for money borrowed, and</w:t>
      </w:r>
    </w:p>
    <w:p>
      <w:pPr>
        <w:spacing w:after="0" w:line="191" w:lineRule="exact"/>
        <w:rPr>
          <w:rFonts w:ascii="Courier New" w:cs="Courier New" w:eastAsia="Courier New" w:hAnsi="Courier New"/>
          <w:sz w:val="16"/>
          <w:szCs w:val="16"/>
          <w:color w:val="auto"/>
        </w:rPr>
      </w:pPr>
    </w:p>
    <w:p>
      <w:pPr>
        <w:ind w:left="1640" w:right="2859" w:hanging="381"/>
        <w:spacing w:after="0" w:line="248" w:lineRule="auto"/>
        <w:tabs>
          <w:tab w:leader="none" w:pos="1640" w:val="left"/>
        </w:tabs>
        <w:numPr>
          <w:ilvl w:val="1"/>
          <w:numId w:val="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evidenced by securities, debentures, bonds or other similar instruments;</w:t>
      </w:r>
    </w:p>
    <w:p>
      <w:pPr>
        <w:spacing w:after="0" w:line="184" w:lineRule="exact"/>
        <w:rPr>
          <w:rFonts w:ascii="Courier New" w:cs="Courier New" w:eastAsia="Courier New" w:hAnsi="Courier New"/>
          <w:sz w:val="16"/>
          <w:szCs w:val="16"/>
          <w:color w:val="auto"/>
        </w:rPr>
      </w:pPr>
    </w:p>
    <w:p>
      <w:pPr>
        <w:ind w:left="1260" w:hanging="389"/>
        <w:spacing w:after="0"/>
        <w:tabs>
          <w:tab w:leader="none" w:pos="1260" w:val="left"/>
        </w:tabs>
        <w:numPr>
          <w:ilvl w:val="0"/>
          <w:numId w:val="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all our capital lease obligations;</w:t>
      </w:r>
    </w:p>
    <w:p>
      <w:pPr>
        <w:spacing w:after="0" w:line="191" w:lineRule="exact"/>
        <w:rPr>
          <w:rFonts w:ascii="Courier New" w:cs="Courier New" w:eastAsia="Courier New" w:hAnsi="Courier New"/>
          <w:sz w:val="16"/>
          <w:szCs w:val="16"/>
          <w:color w:val="auto"/>
        </w:rPr>
      </w:pPr>
    </w:p>
    <w:p>
      <w:pPr>
        <w:ind w:left="1260" w:right="2459" w:hanging="389"/>
        <w:spacing w:after="0" w:line="247" w:lineRule="auto"/>
        <w:tabs>
          <w:tab w:leader="none" w:pos="1260" w:val="left"/>
        </w:tabs>
        <w:numPr>
          <w:ilvl w:val="0"/>
          <w:numId w:val="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all our obligations issued or assumed as the deferred purchase price of property, all our conditional sale obligations and all our obligations under any title retention agreement;</w:t>
      </w:r>
    </w:p>
    <w:p>
      <w:pPr>
        <w:spacing w:after="0" w:line="185" w:lineRule="exact"/>
        <w:rPr>
          <w:rFonts w:ascii="Courier New" w:cs="Courier New" w:eastAsia="Courier New" w:hAnsi="Courier New"/>
          <w:sz w:val="16"/>
          <w:szCs w:val="16"/>
          <w:color w:val="auto"/>
        </w:rPr>
      </w:pPr>
    </w:p>
    <w:p>
      <w:pPr>
        <w:ind w:left="1260" w:right="2559" w:hanging="389"/>
        <w:spacing w:after="0" w:line="247" w:lineRule="auto"/>
        <w:tabs>
          <w:tab w:leader="none" w:pos="1260" w:val="left"/>
        </w:tabs>
        <w:numPr>
          <w:ilvl w:val="0"/>
          <w:numId w:val="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all our obligations for the reimbursement of any letter of credit, banker's acceptance, security purchase facility or similar credit transaction;</w:t>
      </w:r>
    </w:p>
    <w:p>
      <w:pPr>
        <w:spacing w:after="0" w:line="185" w:lineRule="exact"/>
        <w:rPr>
          <w:rFonts w:ascii="Courier New" w:cs="Courier New" w:eastAsia="Courier New" w:hAnsi="Courier New"/>
          <w:sz w:val="16"/>
          <w:szCs w:val="16"/>
          <w:color w:val="auto"/>
        </w:rPr>
      </w:pPr>
    </w:p>
    <w:p>
      <w:pPr>
        <w:jc w:val="both"/>
        <w:ind w:left="1260" w:right="2559" w:hanging="389"/>
        <w:spacing w:after="0" w:line="247" w:lineRule="auto"/>
        <w:tabs>
          <w:tab w:leader="none" w:pos="1260" w:val="left"/>
        </w:tabs>
        <w:numPr>
          <w:ilvl w:val="0"/>
          <w:numId w:val="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all obligations of the type referred to in clauses (1) through (4) above of other persons for the payment of which we are responsible or liable as obligor, guarantor or otherwise; and</w:t>
      </w:r>
    </w:p>
    <w:p>
      <w:pPr>
        <w:spacing w:after="0" w:line="185" w:lineRule="exact"/>
        <w:rPr>
          <w:rFonts w:ascii="Courier New" w:cs="Courier New" w:eastAsia="Courier New" w:hAnsi="Courier New"/>
          <w:sz w:val="16"/>
          <w:szCs w:val="16"/>
          <w:color w:val="auto"/>
        </w:rPr>
      </w:pPr>
    </w:p>
    <w:p>
      <w:pPr>
        <w:ind w:left="1260" w:right="2459" w:hanging="389"/>
        <w:spacing w:after="0" w:line="247" w:lineRule="auto"/>
        <w:tabs>
          <w:tab w:leader="none" w:pos="1260" w:val="left"/>
        </w:tabs>
        <w:numPr>
          <w:ilvl w:val="0"/>
          <w:numId w:val="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all obligations of the type referred to in clauses (1) through (5) above of other persons secured by any lien on any property or asset of ours, whether or not this obligation is assumed by us, except for:</w:t>
      </w:r>
    </w:p>
    <w:p>
      <w:pPr>
        <w:spacing w:after="0" w:line="185" w:lineRule="exact"/>
        <w:rPr>
          <w:rFonts w:ascii="Courier New" w:cs="Courier New" w:eastAsia="Courier New" w:hAnsi="Courier New"/>
          <w:sz w:val="16"/>
          <w:szCs w:val="16"/>
          <w:color w:val="auto"/>
        </w:rPr>
      </w:pPr>
    </w:p>
    <w:p>
      <w:pPr>
        <w:ind w:left="1640" w:right="2659" w:hanging="381"/>
        <w:spacing w:after="0" w:line="248" w:lineRule="auto"/>
        <w:tabs>
          <w:tab w:leader="none" w:pos="1640" w:val="left"/>
        </w:tabs>
        <w:numPr>
          <w:ilvl w:val="1"/>
          <w:numId w:val="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indebtedness that is by its terms subordinated to or pari passu with the notes; and</w:t>
      </w:r>
    </w:p>
    <w:p>
      <w:pPr>
        <w:spacing w:after="0" w:line="184" w:lineRule="exact"/>
        <w:rPr>
          <w:rFonts w:ascii="Courier New" w:cs="Courier New" w:eastAsia="Courier New" w:hAnsi="Courier New"/>
          <w:sz w:val="16"/>
          <w:szCs w:val="16"/>
          <w:color w:val="auto"/>
        </w:rPr>
      </w:pPr>
    </w:p>
    <w:p>
      <w:pPr>
        <w:ind w:left="1640" w:right="2559" w:hanging="381"/>
        <w:spacing w:after="0" w:line="246" w:lineRule="auto"/>
        <w:tabs>
          <w:tab w:leader="none" w:pos="1640" w:val="left"/>
        </w:tabs>
        <w:numPr>
          <w:ilvl w:val="1"/>
          <w:numId w:val="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indebtedness between or among us or our affiliates, including all other debt securities and guarantees in respect of those debt securities issued to any trust, or trustee of a trust, partnership or other entity affiliated with us that is, directly or indirectly, a financing vehicle of ours in connection with the issuance by a similar financing vehicle of preferred securities or other securities that rank pari passu with, or junior to, the notes or the subsidiary guarantee.</w:t>
      </w:r>
    </w:p>
    <w:p>
      <w:pPr>
        <w:spacing w:after="0" w:line="191" w:lineRule="exact"/>
        <w:rPr>
          <w:sz w:val="20"/>
          <w:szCs w:val="20"/>
          <w:color w:val="auto"/>
        </w:rPr>
      </w:pPr>
    </w:p>
    <w:p>
      <w:pPr>
        <w:jc w:val="both"/>
        <w:ind w:right="2759" w:firstLine="872"/>
        <w:spacing w:after="0" w:line="247" w:lineRule="auto"/>
        <w:rPr>
          <w:sz w:val="20"/>
          <w:szCs w:val="20"/>
          <w:color w:val="auto"/>
        </w:rPr>
      </w:pPr>
      <w:r>
        <w:rPr>
          <w:rFonts w:ascii="Courier New" w:cs="Courier New" w:eastAsia="Courier New" w:hAnsi="Courier New"/>
          <w:sz w:val="16"/>
          <w:szCs w:val="16"/>
          <w:color w:val="auto"/>
        </w:rPr>
        <w:t>The senior indebtedness shall continue to be senior indebtedness and entitled to the benefits of the subordination provisions irrespective of any amendment, modification or waiver of any term of that senior indebtedness.</w:t>
      </w:r>
    </w:p>
    <w:p>
      <w:pPr>
        <w:spacing w:after="0" w:line="186" w:lineRule="exact"/>
        <w:rPr>
          <w:sz w:val="20"/>
          <w:szCs w:val="20"/>
          <w:color w:val="auto"/>
        </w:rPr>
      </w:pPr>
    </w:p>
    <w:p>
      <w:pPr>
        <w:ind w:right="2759" w:firstLine="872"/>
        <w:spacing w:after="0" w:line="247" w:lineRule="auto"/>
        <w:rPr>
          <w:sz w:val="20"/>
          <w:szCs w:val="20"/>
          <w:color w:val="auto"/>
        </w:rPr>
      </w:pPr>
      <w:r>
        <w:rPr>
          <w:rFonts w:ascii="Courier New" w:cs="Courier New" w:eastAsia="Courier New" w:hAnsi="Courier New"/>
          <w:sz w:val="16"/>
          <w:szCs w:val="16"/>
          <w:color w:val="auto"/>
        </w:rPr>
        <w:t>By reason of this subordination, in the event of dissolution, insolvency, bankruptcy or other similar proceedings, upon any distribution of our assets:</w:t>
      </w:r>
    </w:p>
    <w:p>
      <w:pPr>
        <w:spacing w:after="0" w:line="186" w:lineRule="exact"/>
        <w:rPr>
          <w:sz w:val="20"/>
          <w:szCs w:val="20"/>
          <w:color w:val="auto"/>
        </w:rPr>
      </w:pPr>
    </w:p>
    <w:p>
      <w:pPr>
        <w:ind w:left="1060" w:right="2459" w:hanging="189"/>
        <w:spacing w:after="0" w:line="247" w:lineRule="auto"/>
        <w:tabs>
          <w:tab w:leader="none" w:pos="1060" w:val="left"/>
        </w:tabs>
        <w:numPr>
          <w:ilvl w:val="0"/>
          <w:numId w:val="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holders of the notes are required to pay over their share of that distribution to the trustee in bankruptcy, receiver or other person distributing our assets for application to the payment of all senior indebtedness remaining unpaid, to the extent necessary to pay all holders of senior indebtedness in full in cash or other payment satisfactory to the holders of senior indebtedness; and</w:t>
      </w:r>
    </w:p>
    <w:p>
      <w:pPr>
        <w:spacing w:after="0" w:line="185" w:lineRule="exact"/>
        <w:rPr>
          <w:rFonts w:ascii="Courier New" w:cs="Courier New" w:eastAsia="Courier New" w:hAnsi="Courier New"/>
          <w:sz w:val="16"/>
          <w:szCs w:val="16"/>
          <w:color w:val="auto"/>
        </w:rPr>
      </w:pPr>
    </w:p>
    <w:p>
      <w:pPr>
        <w:ind w:left="1060" w:right="2859" w:hanging="189"/>
        <w:spacing w:after="0" w:line="247" w:lineRule="auto"/>
        <w:tabs>
          <w:tab w:leader="none" w:pos="1060" w:val="left"/>
        </w:tabs>
        <w:numPr>
          <w:ilvl w:val="0"/>
          <w:numId w:val="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unsecured creditors of ours who are not holders of the notes or holders of senior indebtedness of ours may recover less, ratably, than holders of senior indebtedness of ours and may recover more, ratably, than the holders of the notes.</w:t>
      </w:r>
    </w:p>
    <w:p>
      <w:pPr>
        <w:sectPr>
          <w:pgSz w:w="11900" w:h="16838" w:orient="portrait"/>
          <w:cols w:equalWidth="0" w:num="1">
            <w:col w:w="10219"/>
          </w:cols>
          <w:pgMar w:left="240" w:top="303" w:right="1440" w:bottom="1440" w:gutter="0" w:footer="0" w:header="0"/>
        </w:sectPr>
      </w:pPr>
    </w:p>
    <w:p>
      <w:pPr>
        <w:spacing w:after="0" w:line="372"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22</w:t>
      </w:r>
    </w:p>
    <w:p>
      <w:pPr>
        <w:sectPr>
          <w:pgSz w:w="11900" w:h="16838" w:orient="portrait"/>
          <w:cols w:equalWidth="0" w:num="1">
            <w:col w:w="10219"/>
          </w:cols>
          <w:pgMar w:left="240" w:top="303" w:right="1440" w:bottom="1440" w:gutter="0" w:footer="0" w:header="0"/>
          <w:type w:val="continuous"/>
        </w:sectPr>
      </w:pPr>
    </w:p>
    <w:bookmarkStart w:id="27" w:name="page28"/>
    <w:bookmarkEnd w:id="27"/>
    <w:p>
      <w:pPr>
        <w:ind w:left="300"/>
        <w:spacing w:after="0"/>
        <w:rPr>
          <w:sz w:val="20"/>
          <w:szCs w:val="20"/>
          <w:color w:val="auto"/>
        </w:rPr>
      </w:pPr>
      <w:r>
        <w:rPr>
          <w:rFonts w:ascii="Courier New" w:cs="Courier New" w:eastAsia="Courier New" w:hAnsi="Courier New"/>
          <w:sz w:val="16"/>
          <w:szCs w:val="16"/>
          <w:color w:val="auto"/>
        </w:rPr>
        <w:t>23</w:t>
      </w:r>
    </w:p>
    <w:p>
      <w:pPr>
        <w:spacing w:after="0" w:line="191" w:lineRule="exact"/>
        <w:rPr>
          <w:sz w:val="20"/>
          <w:szCs w:val="20"/>
          <w:color w:val="auto"/>
        </w:rPr>
      </w:pPr>
    </w:p>
    <w:p>
      <w:pPr>
        <w:ind w:right="2559"/>
        <w:spacing w:after="0" w:line="247" w:lineRule="auto"/>
        <w:rPr>
          <w:sz w:val="20"/>
          <w:szCs w:val="20"/>
          <w:color w:val="auto"/>
        </w:rPr>
      </w:pPr>
      <w:r>
        <w:rPr>
          <w:rFonts w:ascii="Courier New" w:cs="Courier New" w:eastAsia="Courier New" w:hAnsi="Courier New"/>
          <w:sz w:val="16"/>
          <w:szCs w:val="16"/>
          <w:color w:val="auto"/>
        </w:rPr>
        <w:t>In addition, no payment of the principal amount, redemption price, change in control purchase price or interest with respect to any of the notes may be made by us, nor may we acquire any of the notes for cash or property, except as set forth in the indenture, if:</w:t>
      </w:r>
    </w:p>
    <w:p>
      <w:pPr>
        <w:spacing w:after="0" w:line="186" w:lineRule="exact"/>
        <w:rPr>
          <w:sz w:val="20"/>
          <w:szCs w:val="20"/>
          <w:color w:val="auto"/>
        </w:rPr>
      </w:pPr>
    </w:p>
    <w:p>
      <w:pPr>
        <w:ind w:left="1060" w:right="2759" w:hanging="189"/>
        <w:spacing w:after="0" w:line="248" w:lineRule="auto"/>
        <w:tabs>
          <w:tab w:leader="none" w:pos="1060" w:val="left"/>
        </w:tabs>
        <w:numPr>
          <w:ilvl w:val="0"/>
          <w:numId w:val="30"/>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payment default on any senior indebtedness has occurred and is continuing beyond any applicable grace period; or</w:t>
      </w:r>
    </w:p>
    <w:p>
      <w:pPr>
        <w:spacing w:after="0" w:line="184" w:lineRule="exact"/>
        <w:rPr>
          <w:rFonts w:ascii="Courier New" w:cs="Courier New" w:eastAsia="Courier New" w:hAnsi="Courier New"/>
          <w:sz w:val="16"/>
          <w:szCs w:val="16"/>
          <w:color w:val="auto"/>
        </w:rPr>
      </w:pPr>
    </w:p>
    <w:p>
      <w:pPr>
        <w:ind w:left="1060" w:right="2659" w:hanging="189"/>
        <w:spacing w:after="0" w:line="247" w:lineRule="auto"/>
        <w:tabs>
          <w:tab w:leader="none" w:pos="1060" w:val="left"/>
        </w:tabs>
        <w:numPr>
          <w:ilvl w:val="0"/>
          <w:numId w:val="30"/>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default, other than a payment default, with respect to senior indebtedness occurs and is continuing that permits the acceleration of the maturity thereof and the default is either the subject of judicial proceedings or we receive a written senior indebtedness default notice.</w:t>
      </w:r>
    </w:p>
    <w:p>
      <w:pPr>
        <w:spacing w:after="0" w:line="185" w:lineRule="exact"/>
        <w:rPr>
          <w:sz w:val="20"/>
          <w:szCs w:val="20"/>
          <w:color w:val="auto"/>
        </w:rPr>
      </w:pPr>
    </w:p>
    <w:p>
      <w:pPr>
        <w:ind w:right="2459"/>
        <w:spacing w:after="0" w:line="248" w:lineRule="auto"/>
        <w:rPr>
          <w:sz w:val="20"/>
          <w:szCs w:val="20"/>
          <w:color w:val="auto"/>
        </w:rPr>
      </w:pPr>
      <w:r>
        <w:rPr>
          <w:rFonts w:ascii="Courier New" w:cs="Courier New" w:eastAsia="Courier New" w:hAnsi="Courier New"/>
          <w:sz w:val="16"/>
          <w:szCs w:val="16"/>
          <w:color w:val="auto"/>
        </w:rPr>
        <w:t>Notwithstanding the foregoing, payments with respect to the notes may resume and we may acquire the notes for cash when:</w:t>
      </w:r>
    </w:p>
    <w:p>
      <w:pPr>
        <w:spacing w:after="0" w:line="184" w:lineRule="exact"/>
        <w:rPr>
          <w:sz w:val="20"/>
          <w:szCs w:val="20"/>
          <w:color w:val="auto"/>
        </w:rPr>
      </w:pPr>
    </w:p>
    <w:p>
      <w:pPr>
        <w:ind w:left="1060" w:right="3039" w:hanging="189"/>
        <w:spacing w:after="0" w:line="248" w:lineRule="auto"/>
        <w:tabs>
          <w:tab w:leader="none" w:pos="1060" w:val="left"/>
        </w:tabs>
        <w:numPr>
          <w:ilvl w:val="0"/>
          <w:numId w:val="3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default with respect to the senior indebtedness is cured or waived or ceases to exist; or</w:t>
      </w:r>
    </w:p>
    <w:p>
      <w:pPr>
        <w:spacing w:after="0" w:line="184" w:lineRule="exact"/>
        <w:rPr>
          <w:rFonts w:ascii="Courier New" w:cs="Courier New" w:eastAsia="Courier New" w:hAnsi="Courier New"/>
          <w:sz w:val="16"/>
          <w:szCs w:val="16"/>
          <w:color w:val="auto"/>
        </w:rPr>
      </w:pPr>
    </w:p>
    <w:p>
      <w:pPr>
        <w:ind w:left="1060" w:right="2459" w:hanging="189"/>
        <w:spacing w:after="0" w:line="247" w:lineRule="auto"/>
        <w:tabs>
          <w:tab w:leader="none" w:pos="1060" w:val="left"/>
        </w:tabs>
        <w:numPr>
          <w:ilvl w:val="0"/>
          <w:numId w:val="3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we receive a senior indebtedness default notice and 179 or more days pass after notice of the default is received by us, provided that the terms of the Indenture otherwise permit the payment or acquisition of the notes at that time.</w:t>
      </w:r>
    </w:p>
    <w:p>
      <w:pPr>
        <w:spacing w:after="0" w:line="186" w:lineRule="exact"/>
        <w:rPr>
          <w:sz w:val="20"/>
          <w:szCs w:val="20"/>
          <w:color w:val="auto"/>
        </w:rPr>
      </w:pPr>
    </w:p>
    <w:p>
      <w:pPr>
        <w:ind w:right="2659" w:firstLine="872"/>
        <w:spacing w:after="0" w:line="247" w:lineRule="auto"/>
        <w:rPr>
          <w:sz w:val="20"/>
          <w:szCs w:val="20"/>
          <w:color w:val="auto"/>
        </w:rPr>
      </w:pPr>
      <w:r>
        <w:rPr>
          <w:rFonts w:ascii="Courier New" w:cs="Courier New" w:eastAsia="Courier New" w:hAnsi="Courier New"/>
          <w:sz w:val="16"/>
          <w:szCs w:val="16"/>
          <w:color w:val="auto"/>
        </w:rPr>
        <w:t>If we receive a senior indebtedness default notice, then a similar notice received within nine months thereafter relating to the same default on the same issue of senior indebtedness shall not be effective to prevent the payment or acquisition of the notes as provided above. In addition, no payment may be made on the notes if any notes are declared due and payable prior to their stated maturity by reason of the occurrence of an event of default until the earlier of:</w:t>
      </w:r>
    </w:p>
    <w:p>
      <w:pPr>
        <w:spacing w:after="0" w:line="185" w:lineRule="exact"/>
        <w:rPr>
          <w:sz w:val="20"/>
          <w:szCs w:val="20"/>
          <w:color w:val="auto"/>
        </w:rPr>
      </w:pPr>
    </w:p>
    <w:p>
      <w:pPr>
        <w:ind w:left="1060" w:hanging="189"/>
        <w:spacing w:after="0"/>
        <w:tabs>
          <w:tab w:leader="none" w:pos="1060" w:val="left"/>
        </w:tabs>
        <w:numPr>
          <w:ilvl w:val="0"/>
          <w:numId w:val="32"/>
        </w:numPr>
        <w:rPr>
          <w:rFonts w:ascii="Courier New" w:cs="Courier New" w:eastAsia="Courier New" w:hAnsi="Courier New"/>
          <w:sz w:val="16"/>
          <w:szCs w:val="16"/>
          <w:color w:val="auto"/>
        </w:rPr>
      </w:pPr>
      <w:r>
        <w:rPr>
          <w:rFonts w:ascii="Courier New" w:cs="Courier New" w:eastAsia="Courier New" w:hAnsi="Courier New"/>
          <w:sz w:val="16"/>
          <w:szCs w:val="16"/>
          <w:color w:val="auto"/>
        </w:rPr>
        <w:t>120 days after the date of the acceleration; or</w:t>
      </w:r>
    </w:p>
    <w:p>
      <w:pPr>
        <w:spacing w:after="0" w:line="191" w:lineRule="exact"/>
        <w:rPr>
          <w:rFonts w:ascii="Courier New" w:cs="Courier New" w:eastAsia="Courier New" w:hAnsi="Courier New"/>
          <w:sz w:val="16"/>
          <w:szCs w:val="16"/>
          <w:color w:val="auto"/>
        </w:rPr>
      </w:pPr>
    </w:p>
    <w:p>
      <w:pPr>
        <w:ind w:left="1060" w:right="2459" w:hanging="189"/>
        <w:spacing w:after="0" w:line="248" w:lineRule="auto"/>
        <w:tabs>
          <w:tab w:leader="none" w:pos="1060" w:val="left"/>
        </w:tabs>
        <w:numPr>
          <w:ilvl w:val="0"/>
          <w:numId w:val="3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payment in full of all senior indebtedness, but only if the payment is then otherwise permitted under the terms of the indenture.</w:t>
      </w:r>
    </w:p>
    <w:p>
      <w:pPr>
        <w:spacing w:after="0" w:line="184" w:lineRule="exact"/>
        <w:rPr>
          <w:sz w:val="20"/>
          <w:szCs w:val="20"/>
          <w:color w:val="auto"/>
        </w:rPr>
      </w:pPr>
    </w:p>
    <w:p>
      <w:pPr>
        <w:ind w:right="2459" w:firstLine="872"/>
        <w:spacing w:after="0" w:line="246" w:lineRule="auto"/>
        <w:rPr>
          <w:sz w:val="20"/>
          <w:szCs w:val="20"/>
          <w:color w:val="auto"/>
        </w:rPr>
      </w:pPr>
      <w:r>
        <w:rPr>
          <w:rFonts w:ascii="Courier New" w:cs="Courier New" w:eastAsia="Courier New" w:hAnsi="Courier New"/>
          <w:sz w:val="16"/>
          <w:szCs w:val="16"/>
          <w:color w:val="auto"/>
        </w:rPr>
        <w:t>Upon any payment or distribution of our assets or those of our subsidiaries to creditors upon any dissolution, winding up, liquidation or reorganization of us, whether voluntary or involuntary, or in bankruptcy, insolvency, receivership or other similar proceedings, the holders of all senior indebtedness shall first be entitled to receive payment in full, in cash or other payment satisfactory to the holders of senior indebtedness, of all amounts due or to become due thereon, or payment of the amounts shall have been provided for, before the holders of the notes shall be entitled to receive any payment or distribution with respect to any of the notes or the subsidiary guarantee.</w:t>
      </w:r>
    </w:p>
    <w:p>
      <w:pPr>
        <w:spacing w:after="0" w:line="19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CONVERSION RIGHTS</w:t>
      </w:r>
    </w:p>
    <w:p>
      <w:pPr>
        <w:spacing w:after="0" w:line="191" w:lineRule="exact"/>
        <w:rPr>
          <w:sz w:val="20"/>
          <w:szCs w:val="20"/>
          <w:color w:val="auto"/>
        </w:rPr>
      </w:pPr>
    </w:p>
    <w:p>
      <w:pPr>
        <w:ind w:right="2459" w:firstLine="872"/>
        <w:spacing w:after="0" w:line="246" w:lineRule="auto"/>
        <w:rPr>
          <w:sz w:val="20"/>
          <w:szCs w:val="20"/>
          <w:color w:val="auto"/>
        </w:rPr>
      </w:pPr>
      <w:r>
        <w:rPr>
          <w:rFonts w:ascii="Courier New" w:cs="Courier New" w:eastAsia="Courier New" w:hAnsi="Courier New"/>
          <w:sz w:val="16"/>
          <w:szCs w:val="16"/>
          <w:color w:val="auto"/>
        </w:rPr>
        <w:t>A holder of a note is entitled to convert the note into shares of our common stock at any time before the close of business on November 30, 2006; provided, however, that if a note is called for redemption, the holder is entitled to convert it at any time before the close of business on the redemption date. A note in respect of which a holder has delivered a change in control purchase notice exercising the holder's option to require us to purchase the holder's note may be converted only if that notice is withdrawn by a written notice of withdrawal delivered by the holder to the paying agent prior to the close of business on the change in control purchase date, in accordance with the terms of the indenture.</w:t>
      </w:r>
    </w:p>
    <w:p>
      <w:pPr>
        <w:spacing w:after="0" w:line="192" w:lineRule="exact"/>
        <w:rPr>
          <w:sz w:val="20"/>
          <w:szCs w:val="20"/>
          <w:color w:val="auto"/>
        </w:rPr>
      </w:pPr>
    </w:p>
    <w:p>
      <w:pPr>
        <w:ind w:right="2459" w:firstLine="872"/>
        <w:spacing w:after="0" w:line="246" w:lineRule="auto"/>
        <w:rPr>
          <w:sz w:val="20"/>
          <w:szCs w:val="20"/>
          <w:color w:val="auto"/>
        </w:rPr>
      </w:pPr>
      <w:r>
        <w:rPr>
          <w:rFonts w:ascii="Courier New" w:cs="Courier New" w:eastAsia="Courier New" w:hAnsi="Courier New"/>
          <w:sz w:val="16"/>
          <w:szCs w:val="16"/>
          <w:color w:val="auto"/>
        </w:rPr>
        <w:t>The initial conversion rate for the notes is 13.6612 shares of our common stock per $1,000 principal amount, or $73.20 per share of our common stock, subject to adjustment upon the occurrence of specific events described below. A holder otherwise entitled to a fractional share of our common stock will receive cash in an amount equal to the market value of the fractional share based on the closing sale price on the trading day immediately preceding the conversion date. A holder may convert a portion of its notes so long as the portion is $1,000 principal amount or an integral multiple thereof.</w:t>
      </w:r>
    </w:p>
    <w:p>
      <w:pPr>
        <w:sectPr>
          <w:pgSz w:w="11900" w:h="16838" w:orient="portrait"/>
          <w:cols w:equalWidth="0" w:num="1">
            <w:col w:w="10219"/>
          </w:cols>
          <w:pgMar w:left="240" w:top="303" w:right="1440" w:bottom="1440" w:gutter="0" w:footer="0" w:header="0"/>
        </w:sectPr>
      </w:pPr>
    </w:p>
    <w:p>
      <w:pPr>
        <w:spacing w:after="0" w:line="377"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23</w:t>
      </w:r>
    </w:p>
    <w:p>
      <w:pPr>
        <w:sectPr>
          <w:pgSz w:w="11900" w:h="16838" w:orient="portrait"/>
          <w:cols w:equalWidth="0" w:num="1">
            <w:col w:w="10219"/>
          </w:cols>
          <w:pgMar w:left="240" w:top="303" w:right="1440" w:bottom="1440" w:gutter="0" w:footer="0" w:header="0"/>
          <w:type w:val="continuous"/>
        </w:sectPr>
      </w:pPr>
    </w:p>
    <w:bookmarkStart w:id="28" w:name="page29"/>
    <w:bookmarkEnd w:id="28"/>
    <w:p>
      <w:pPr>
        <w:ind w:left="300"/>
        <w:spacing w:after="0"/>
        <w:rPr>
          <w:sz w:val="20"/>
          <w:szCs w:val="20"/>
          <w:color w:val="auto"/>
        </w:rPr>
      </w:pPr>
      <w:r>
        <w:rPr>
          <w:rFonts w:ascii="Courier New" w:cs="Courier New" w:eastAsia="Courier New" w:hAnsi="Courier New"/>
          <w:sz w:val="16"/>
          <w:szCs w:val="16"/>
          <w:color w:val="auto"/>
        </w:rPr>
        <w:t>24</w:t>
      </w:r>
    </w:p>
    <w:p>
      <w:pPr>
        <w:spacing w:after="0" w:line="191" w:lineRule="exact"/>
        <w:rPr>
          <w:sz w:val="20"/>
          <w:szCs w:val="20"/>
          <w:color w:val="auto"/>
        </w:rPr>
      </w:pPr>
    </w:p>
    <w:p>
      <w:pPr>
        <w:ind w:left="780"/>
        <w:spacing w:after="0"/>
        <w:rPr>
          <w:sz w:val="20"/>
          <w:szCs w:val="20"/>
          <w:color w:val="auto"/>
        </w:rPr>
      </w:pPr>
      <w:r>
        <w:rPr>
          <w:rFonts w:ascii="Courier New" w:cs="Courier New" w:eastAsia="Courier New" w:hAnsi="Courier New"/>
          <w:sz w:val="16"/>
          <w:szCs w:val="16"/>
          <w:color w:val="auto"/>
        </w:rPr>
        <w:t>To convert a note, a holder must:</w:t>
      </w:r>
    </w:p>
    <w:p>
      <w:pPr>
        <w:spacing w:after="0" w:line="191" w:lineRule="exact"/>
        <w:rPr>
          <w:sz w:val="20"/>
          <w:szCs w:val="20"/>
          <w:color w:val="auto"/>
        </w:rPr>
      </w:pPr>
    </w:p>
    <w:p>
      <w:pPr>
        <w:ind w:left="1060" w:right="2459" w:hanging="189"/>
        <w:spacing w:after="0" w:line="247" w:lineRule="auto"/>
        <w:tabs>
          <w:tab w:leader="none" w:pos="1060" w:val="left"/>
        </w:tabs>
        <w:numPr>
          <w:ilvl w:val="0"/>
          <w:numId w:val="33"/>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complete and manually sign the conversion notice on the back of the note and deliver the notice to the conversion agent, which initially will be the Trustee, at the office maintained by the conversion agent for that purpose;</w:t>
      </w:r>
    </w:p>
    <w:p>
      <w:pPr>
        <w:spacing w:after="0" w:line="185" w:lineRule="exact"/>
        <w:rPr>
          <w:rFonts w:ascii="Courier New" w:cs="Courier New" w:eastAsia="Courier New" w:hAnsi="Courier New"/>
          <w:sz w:val="16"/>
          <w:szCs w:val="16"/>
          <w:color w:val="auto"/>
        </w:rPr>
      </w:pPr>
    </w:p>
    <w:p>
      <w:pPr>
        <w:ind w:left="1060" w:hanging="189"/>
        <w:spacing w:after="0"/>
        <w:tabs>
          <w:tab w:leader="none" w:pos="1060" w:val="left"/>
        </w:tabs>
        <w:numPr>
          <w:ilvl w:val="0"/>
          <w:numId w:val="33"/>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surrender the note to the conversion agent;</w:t>
      </w:r>
    </w:p>
    <w:p>
      <w:pPr>
        <w:spacing w:after="0" w:line="191" w:lineRule="exact"/>
        <w:rPr>
          <w:rFonts w:ascii="Courier New" w:cs="Courier New" w:eastAsia="Courier New" w:hAnsi="Courier New"/>
          <w:sz w:val="16"/>
          <w:szCs w:val="16"/>
          <w:color w:val="auto"/>
        </w:rPr>
      </w:pPr>
    </w:p>
    <w:p>
      <w:pPr>
        <w:ind w:left="1060" w:right="2459" w:hanging="189"/>
        <w:spacing w:after="0" w:line="248" w:lineRule="auto"/>
        <w:tabs>
          <w:tab w:leader="none" w:pos="1060" w:val="left"/>
        </w:tabs>
        <w:numPr>
          <w:ilvl w:val="0"/>
          <w:numId w:val="33"/>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required, furnish appropriate endorsements and transfer documents; and</w:t>
      </w:r>
    </w:p>
    <w:p>
      <w:pPr>
        <w:spacing w:after="0" w:line="184" w:lineRule="exact"/>
        <w:rPr>
          <w:rFonts w:ascii="Courier New" w:cs="Courier New" w:eastAsia="Courier New" w:hAnsi="Courier New"/>
          <w:sz w:val="16"/>
          <w:szCs w:val="16"/>
          <w:color w:val="auto"/>
        </w:rPr>
      </w:pPr>
    </w:p>
    <w:p>
      <w:pPr>
        <w:ind w:left="1060" w:hanging="189"/>
        <w:spacing w:after="0"/>
        <w:tabs>
          <w:tab w:leader="none" w:pos="1060" w:val="left"/>
        </w:tabs>
        <w:numPr>
          <w:ilvl w:val="0"/>
          <w:numId w:val="33"/>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required, pay all transfer or similar taxes.</w:t>
      </w:r>
    </w:p>
    <w:p>
      <w:pPr>
        <w:spacing w:after="0" w:line="191" w:lineRule="exact"/>
        <w:rPr>
          <w:sz w:val="20"/>
          <w:szCs w:val="20"/>
          <w:color w:val="auto"/>
        </w:rPr>
      </w:pPr>
    </w:p>
    <w:p>
      <w:pPr>
        <w:ind w:right="2659"/>
        <w:spacing w:after="0" w:line="248" w:lineRule="auto"/>
        <w:rPr>
          <w:sz w:val="20"/>
          <w:szCs w:val="20"/>
          <w:color w:val="auto"/>
        </w:rPr>
      </w:pPr>
      <w:r>
        <w:rPr>
          <w:rFonts w:ascii="Courier New" w:cs="Courier New" w:eastAsia="Courier New" w:hAnsi="Courier New"/>
          <w:sz w:val="16"/>
          <w:szCs w:val="16"/>
          <w:color w:val="auto"/>
        </w:rPr>
        <w:t>Pursuant to the indenture, the date on which all of the foregoing requirements have been satisfied is the conversion date.</w:t>
      </w:r>
    </w:p>
    <w:p>
      <w:pPr>
        <w:spacing w:after="0" w:line="184" w:lineRule="exact"/>
        <w:rPr>
          <w:sz w:val="20"/>
          <w:szCs w:val="20"/>
          <w:color w:val="auto"/>
        </w:rPr>
      </w:pPr>
    </w:p>
    <w:p>
      <w:pPr>
        <w:ind w:right="2459" w:firstLine="872"/>
        <w:spacing w:after="0" w:line="246" w:lineRule="auto"/>
        <w:rPr>
          <w:sz w:val="20"/>
          <w:szCs w:val="20"/>
          <w:color w:val="auto"/>
        </w:rPr>
      </w:pPr>
      <w:r>
        <w:rPr>
          <w:rFonts w:ascii="Courier New" w:cs="Courier New" w:eastAsia="Courier New" w:hAnsi="Courier New"/>
          <w:sz w:val="16"/>
          <w:szCs w:val="16"/>
          <w:color w:val="auto"/>
        </w:rPr>
        <w:t>Upon conversion of a note, a holder will not receive, except as provided below, any cash payment representing accrued interest thereon. Our delivery to the holder of the fixed number of shares of our common stock into which the note is convertible, together with the cash payment, if any, in lieu of any fractional shares, will satisfy our obligation to pay the principal amount of the note, and the accrued and unpaid interest to the conversion date. Thus, the accrued interest will be deemed to be paid in full rather than cancelled, extinguished or forfeited. Notwithstanding the foregoing, accrued but unpaid cash interest will be payable upon any conversion of the notes at the option of the holder made concurrently with or after acceleration of the notes following an event of default. The notes surrendered for conversion during the period from the close of business on any regular record date next preceding any interest payment date to the opening of business on the interest payment date, except the notes to be redeemed on a date within that period, must be accompanied by payment of an amount equal to the interest thereon that the registered holder is to receive. Except where the notes surrendered for conversion must be accompanied by payment as described above, no interest on the converted notes will be payable by us on any interest payment date subsequent to the date of conversion. The conversion rate will not be adjusted at any time during the term of the notes for accrued interest.</w:t>
      </w:r>
    </w:p>
    <w:p>
      <w:pPr>
        <w:spacing w:after="0" w:line="198" w:lineRule="exact"/>
        <w:rPr>
          <w:sz w:val="20"/>
          <w:szCs w:val="20"/>
          <w:color w:val="auto"/>
        </w:rPr>
      </w:pPr>
    </w:p>
    <w:p>
      <w:pPr>
        <w:ind w:right="2559" w:firstLine="872"/>
        <w:spacing w:after="0" w:line="247" w:lineRule="auto"/>
        <w:rPr>
          <w:sz w:val="20"/>
          <w:szCs w:val="20"/>
          <w:color w:val="auto"/>
        </w:rPr>
      </w:pPr>
      <w:r>
        <w:rPr>
          <w:rFonts w:ascii="Courier New" w:cs="Courier New" w:eastAsia="Courier New" w:hAnsi="Courier New"/>
          <w:sz w:val="16"/>
          <w:szCs w:val="16"/>
          <w:color w:val="auto"/>
        </w:rPr>
        <w:t>A certificate for the number of full shares of our common stock into which any note is converted, and cash in lieu of any fractional shares, will be delivered as soon as practicable, but in any event no later than the seventh business day following the conversion date.</w:t>
      </w:r>
    </w:p>
    <w:p>
      <w:pPr>
        <w:spacing w:after="0" w:line="186" w:lineRule="exact"/>
        <w:rPr>
          <w:sz w:val="20"/>
          <w:szCs w:val="20"/>
          <w:color w:val="auto"/>
        </w:rPr>
      </w:pPr>
    </w:p>
    <w:p>
      <w:pPr>
        <w:jc w:val="right"/>
        <w:ind w:right="2459"/>
        <w:spacing w:after="0"/>
        <w:rPr>
          <w:sz w:val="20"/>
          <w:szCs w:val="20"/>
          <w:color w:val="auto"/>
        </w:rPr>
      </w:pPr>
      <w:r>
        <w:rPr>
          <w:rFonts w:ascii="Courier New" w:cs="Courier New" w:eastAsia="Courier New" w:hAnsi="Courier New"/>
          <w:sz w:val="16"/>
          <w:szCs w:val="16"/>
          <w:color w:val="auto"/>
        </w:rPr>
        <w:t>The conversion rate is subject to adjustment in some events, including:</w:t>
      </w:r>
    </w:p>
    <w:p>
      <w:pPr>
        <w:spacing w:after="0" w:line="191" w:lineRule="exact"/>
        <w:rPr>
          <w:sz w:val="20"/>
          <w:szCs w:val="20"/>
          <w:color w:val="auto"/>
        </w:rPr>
      </w:pPr>
    </w:p>
    <w:p>
      <w:pPr>
        <w:ind w:left="1060" w:right="3239" w:hanging="189"/>
        <w:spacing w:after="0" w:line="248" w:lineRule="auto"/>
        <w:tabs>
          <w:tab w:leader="none" w:pos="1060" w:val="left"/>
        </w:tabs>
        <w:numPr>
          <w:ilvl w:val="0"/>
          <w:numId w:val="3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issuance of shares of our common stock as a dividend or a distribution with respect to our common stock;</w:t>
      </w:r>
    </w:p>
    <w:p>
      <w:pPr>
        <w:spacing w:after="0" w:line="184" w:lineRule="exact"/>
        <w:rPr>
          <w:rFonts w:ascii="Courier New" w:cs="Courier New" w:eastAsia="Courier New" w:hAnsi="Courier New"/>
          <w:sz w:val="16"/>
          <w:szCs w:val="16"/>
          <w:color w:val="auto"/>
        </w:rPr>
      </w:pPr>
    </w:p>
    <w:p>
      <w:pPr>
        <w:ind w:left="1060" w:hanging="189"/>
        <w:spacing w:after="0"/>
        <w:tabs>
          <w:tab w:leader="none" w:pos="1060" w:val="left"/>
        </w:tabs>
        <w:numPr>
          <w:ilvl w:val="0"/>
          <w:numId w:val="34"/>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subdivisions, combinations and reclassification of our common stock;</w:t>
      </w:r>
    </w:p>
    <w:p>
      <w:pPr>
        <w:spacing w:after="0" w:line="191" w:lineRule="exact"/>
        <w:rPr>
          <w:rFonts w:ascii="Courier New" w:cs="Courier New" w:eastAsia="Courier New" w:hAnsi="Courier New"/>
          <w:sz w:val="16"/>
          <w:szCs w:val="16"/>
          <w:color w:val="auto"/>
        </w:rPr>
      </w:pPr>
    </w:p>
    <w:p>
      <w:pPr>
        <w:ind w:left="1060" w:right="2459" w:hanging="189"/>
        <w:spacing w:after="0" w:line="247" w:lineRule="auto"/>
        <w:tabs>
          <w:tab w:leader="none" w:pos="1060" w:val="left"/>
        </w:tabs>
        <w:numPr>
          <w:ilvl w:val="0"/>
          <w:numId w:val="3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issuance to all holders of our common stock of rights or warrants entitling them to subscribe for shares of our common stock at less than the then market price of our common stock;</w:t>
      </w:r>
    </w:p>
    <w:p>
      <w:pPr>
        <w:spacing w:after="0" w:line="185" w:lineRule="exact"/>
        <w:rPr>
          <w:rFonts w:ascii="Courier New" w:cs="Courier New" w:eastAsia="Courier New" w:hAnsi="Courier New"/>
          <w:sz w:val="16"/>
          <w:szCs w:val="16"/>
          <w:color w:val="auto"/>
        </w:rPr>
      </w:pPr>
    </w:p>
    <w:p>
      <w:pPr>
        <w:ind w:left="1060" w:right="2659" w:hanging="189"/>
        <w:spacing w:after="0" w:line="248" w:lineRule="auto"/>
        <w:tabs>
          <w:tab w:leader="none" w:pos="1060" w:val="left"/>
        </w:tabs>
        <w:numPr>
          <w:ilvl w:val="0"/>
          <w:numId w:val="3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distribution to holders of our common stock of evidences of our indebtedness, securities or capital stock, cash or assets;</w:t>
      </w:r>
    </w:p>
    <w:p>
      <w:pPr>
        <w:spacing w:after="0" w:line="184" w:lineRule="exact"/>
        <w:rPr>
          <w:rFonts w:ascii="Courier New" w:cs="Courier New" w:eastAsia="Courier New" w:hAnsi="Courier New"/>
          <w:sz w:val="16"/>
          <w:szCs w:val="16"/>
          <w:color w:val="auto"/>
        </w:rPr>
      </w:pPr>
    </w:p>
    <w:p>
      <w:pPr>
        <w:ind w:left="1060" w:right="2559" w:hanging="189"/>
        <w:spacing w:after="0" w:line="247" w:lineRule="auto"/>
        <w:tabs>
          <w:tab w:leader="none" w:pos="1060" w:val="left"/>
        </w:tabs>
        <w:numPr>
          <w:ilvl w:val="0"/>
          <w:numId w:val="3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payment of dividends and other distributions on our common stock paid exclusively in cash, excluding cash dividends if the aggregate amount thereof, when taken together with:</w:t>
      </w:r>
    </w:p>
    <w:p>
      <w:pPr>
        <w:spacing w:after="0" w:line="185" w:lineRule="exact"/>
        <w:rPr>
          <w:rFonts w:ascii="Courier New" w:cs="Courier New" w:eastAsia="Courier New" w:hAnsi="Courier New"/>
          <w:sz w:val="16"/>
          <w:szCs w:val="16"/>
          <w:color w:val="auto"/>
        </w:rPr>
      </w:pPr>
    </w:p>
    <w:p>
      <w:pPr>
        <w:ind w:left="1460" w:right="2559" w:hanging="395"/>
        <w:spacing w:after="0" w:line="248" w:lineRule="auto"/>
        <w:tabs>
          <w:tab w:leader="none" w:pos="1460" w:val="left"/>
        </w:tabs>
        <w:numPr>
          <w:ilvl w:val="1"/>
          <w:numId w:val="34"/>
        </w:numPr>
        <w:rPr>
          <w:rFonts w:ascii="Courier New" w:cs="Courier New" w:eastAsia="Courier New" w:hAnsi="Courier New"/>
          <w:sz w:val="16"/>
          <w:szCs w:val="16"/>
          <w:color w:val="auto"/>
        </w:rPr>
      </w:pPr>
      <w:r>
        <w:rPr>
          <w:rFonts w:ascii="Courier New" w:cs="Courier New" w:eastAsia="Courier New" w:hAnsi="Courier New"/>
          <w:sz w:val="16"/>
          <w:szCs w:val="16"/>
          <w:color w:val="auto"/>
        </w:rPr>
        <w:t>other all-cash distributions made within the preceding 12 months not triggering a conversion rate adjustment and</w:t>
      </w:r>
    </w:p>
    <w:p>
      <w:pPr>
        <w:spacing w:after="0" w:line="184" w:lineRule="exact"/>
        <w:rPr>
          <w:rFonts w:ascii="Courier New" w:cs="Courier New" w:eastAsia="Courier New" w:hAnsi="Courier New"/>
          <w:sz w:val="16"/>
          <w:szCs w:val="16"/>
          <w:color w:val="auto"/>
        </w:rPr>
      </w:pPr>
    </w:p>
    <w:p>
      <w:pPr>
        <w:ind w:left="1460" w:right="2559" w:hanging="395"/>
        <w:spacing w:after="0" w:line="247" w:lineRule="auto"/>
        <w:tabs>
          <w:tab w:leader="none" w:pos="1460" w:val="left"/>
        </w:tabs>
        <w:numPr>
          <w:ilvl w:val="1"/>
          <w:numId w:val="34"/>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cash and the fair market value, as of the expiration of the tender or exchange offer referred to below, of consideration payable in respect of any tender or exchange offer by us or one of our subsidiaries for our common stock concluded within the preceding 12 months not triggering a conversion rate adjustment, does not exceed 10% of our aggregate market capitalization,</w:t>
      </w:r>
    </w:p>
    <w:p>
      <w:pPr>
        <w:sectPr>
          <w:pgSz w:w="11900" w:h="16838" w:orient="portrait"/>
          <w:cols w:equalWidth="0" w:num="1">
            <w:col w:w="10219"/>
          </w:cols>
          <w:pgMar w:left="240" w:top="303" w:right="1440" w:bottom="1440" w:gutter="0" w:footer="0" w:header="0"/>
        </w:sectPr>
      </w:pPr>
    </w:p>
    <w:p>
      <w:pPr>
        <w:spacing w:after="0" w:line="372"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24</w:t>
      </w:r>
    </w:p>
    <w:p>
      <w:pPr>
        <w:sectPr>
          <w:pgSz w:w="11900" w:h="16838" w:orient="portrait"/>
          <w:cols w:equalWidth="0" w:num="1">
            <w:col w:w="10219"/>
          </w:cols>
          <w:pgMar w:left="240" w:top="303" w:right="1440" w:bottom="1440" w:gutter="0" w:footer="0" w:header="0"/>
          <w:type w:val="continuous"/>
        </w:sectPr>
      </w:pPr>
    </w:p>
    <w:bookmarkStart w:id="29" w:name="page30"/>
    <w:bookmarkEnd w:id="29"/>
    <w:p>
      <w:pPr>
        <w:ind w:left="300"/>
        <w:spacing w:after="0"/>
        <w:rPr>
          <w:sz w:val="20"/>
          <w:szCs w:val="20"/>
          <w:color w:val="auto"/>
        </w:rPr>
      </w:pPr>
      <w:r>
        <w:rPr>
          <w:rFonts w:ascii="Courier New" w:cs="Courier New" w:eastAsia="Courier New" w:hAnsi="Courier New"/>
          <w:sz w:val="16"/>
          <w:szCs w:val="16"/>
          <w:color w:val="auto"/>
        </w:rPr>
        <w:t>25</w:t>
      </w:r>
    </w:p>
    <w:p>
      <w:pPr>
        <w:spacing w:after="0" w:line="191" w:lineRule="exact"/>
        <w:rPr>
          <w:sz w:val="20"/>
          <w:szCs w:val="20"/>
          <w:color w:val="auto"/>
        </w:rPr>
      </w:pPr>
    </w:p>
    <w:p>
      <w:pPr>
        <w:ind w:left="1460" w:right="2759"/>
        <w:spacing w:after="0" w:line="247" w:lineRule="auto"/>
        <w:rPr>
          <w:sz w:val="20"/>
          <w:szCs w:val="20"/>
          <w:color w:val="auto"/>
        </w:rPr>
      </w:pPr>
      <w:r>
        <w:rPr>
          <w:rFonts w:ascii="Courier New" w:cs="Courier New" w:eastAsia="Courier New" w:hAnsi="Courier New"/>
          <w:sz w:val="16"/>
          <w:szCs w:val="16"/>
          <w:color w:val="auto"/>
        </w:rPr>
        <w:t>the aggregate market capitalization being the product of the current market price of our common stock as of the trading day immediately preceding the date of declaration of the dividend multiplied by the number of shares of our common stock then outstanding, on the date of the distribution; and</w:t>
      </w:r>
    </w:p>
    <w:p>
      <w:pPr>
        <w:spacing w:after="0" w:line="185" w:lineRule="exact"/>
        <w:rPr>
          <w:sz w:val="20"/>
          <w:szCs w:val="20"/>
          <w:color w:val="auto"/>
        </w:rPr>
      </w:pPr>
    </w:p>
    <w:p>
      <w:pPr>
        <w:ind w:left="1060" w:right="2459" w:hanging="189"/>
        <w:spacing w:after="0" w:line="247" w:lineRule="auto"/>
        <w:tabs>
          <w:tab w:leader="none" w:pos="1060" w:val="left"/>
        </w:tabs>
        <w:numPr>
          <w:ilvl w:val="0"/>
          <w:numId w:val="35"/>
        </w:numPr>
        <w:rPr>
          <w:rFonts w:ascii="Courier New" w:cs="Courier New" w:eastAsia="Courier New" w:hAnsi="Courier New"/>
          <w:sz w:val="16"/>
          <w:szCs w:val="16"/>
          <w:color w:val="auto"/>
        </w:rPr>
      </w:pPr>
      <w:r>
        <w:rPr>
          <w:rFonts w:ascii="Courier New" w:cs="Courier New" w:eastAsia="Courier New" w:hAnsi="Courier New"/>
          <w:sz w:val="16"/>
          <w:szCs w:val="16"/>
          <w:color w:val="auto"/>
        </w:rPr>
        <w:t>payment to holders of our common stock in respect of a tender or exchange offer, other than an odd-lot offer, by us or one of our subsidiaries for our common stock as of the trading day next succeeding the last date tenders or exchanges may be made pursuant to the tender or exchange offer which involves an aggregate consideration that, together with</w:t>
      </w:r>
    </w:p>
    <w:p>
      <w:pPr>
        <w:spacing w:after="0" w:line="185" w:lineRule="exact"/>
        <w:rPr>
          <w:rFonts w:ascii="Courier New" w:cs="Courier New" w:eastAsia="Courier New" w:hAnsi="Courier New"/>
          <w:sz w:val="16"/>
          <w:szCs w:val="16"/>
          <w:color w:val="auto"/>
        </w:rPr>
      </w:pPr>
    </w:p>
    <w:p>
      <w:pPr>
        <w:ind w:left="1460" w:right="2459" w:hanging="395"/>
        <w:spacing w:after="0" w:line="247" w:lineRule="auto"/>
        <w:tabs>
          <w:tab w:leader="none" w:pos="1460" w:val="left"/>
        </w:tabs>
        <w:numPr>
          <w:ilvl w:val="1"/>
          <w:numId w:val="35"/>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cash and the fair market value of other consideration payable in respect of any tender or exchange offer by us or one of our subsidiaries for our common stock concluded within the preceding 12 months and</w:t>
      </w:r>
    </w:p>
    <w:p>
      <w:pPr>
        <w:spacing w:after="0" w:line="185" w:lineRule="exact"/>
        <w:rPr>
          <w:rFonts w:ascii="Courier New" w:cs="Courier New" w:eastAsia="Courier New" w:hAnsi="Courier New"/>
          <w:sz w:val="16"/>
          <w:szCs w:val="16"/>
          <w:color w:val="auto"/>
        </w:rPr>
      </w:pPr>
    </w:p>
    <w:p>
      <w:pPr>
        <w:ind w:left="1460" w:right="2459" w:hanging="395"/>
        <w:spacing w:after="0" w:line="247" w:lineRule="auto"/>
        <w:tabs>
          <w:tab w:leader="none" w:pos="1460" w:val="left"/>
        </w:tabs>
        <w:numPr>
          <w:ilvl w:val="1"/>
          <w:numId w:val="3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aggregate amount of any all-cash distributions to all holders of our common stock made within the preceding 12 months, exceeds 10% of our aggregate market capitalization.</w:t>
      </w:r>
    </w:p>
    <w:p>
      <w:pPr>
        <w:spacing w:after="0" w:line="186" w:lineRule="exact"/>
        <w:rPr>
          <w:sz w:val="20"/>
          <w:szCs w:val="20"/>
          <w:color w:val="auto"/>
        </w:rPr>
      </w:pPr>
    </w:p>
    <w:p>
      <w:pPr>
        <w:ind w:right="2459" w:firstLine="872"/>
        <w:spacing w:after="0" w:line="246" w:lineRule="auto"/>
        <w:rPr>
          <w:sz w:val="20"/>
          <w:szCs w:val="20"/>
          <w:color w:val="auto"/>
        </w:rPr>
      </w:pPr>
      <w:r>
        <w:rPr>
          <w:rFonts w:ascii="Courier New" w:cs="Courier New" w:eastAsia="Courier New" w:hAnsi="Courier New"/>
          <w:sz w:val="16"/>
          <w:szCs w:val="16"/>
          <w:color w:val="auto"/>
        </w:rPr>
        <w:t>No adjustment, however, need be made if holders may participate in the transactions otherwise giving rise to an adjustment on a basis and with notice that our board of directors determines to be fair and appropriate, or in some other cases specified in the indenture. In cases where the fair market value of the portion of assets, debt securities or rights, warrants or options to purchase our securities applicable to one share of our common stock distributed to stockholders exceeds the average sale price, as defined, in the indenture per share of our common stock, or the average sale price exceeds the fair market value of the portion of assets, debt securities or rights, warrants or options so distributed by less than $1.00, rather than being entitled to an adjustment in the conversion rate, the holder of a note upon conversion thereof will be entitled to receive, in addition to the shares of our common stock into which the note is convertible, the kind and amounts of assets, debt securities or rights, options or warrants comprising the distribution that the holder would have received if the holder had converted the note immediately prior to the record date for determining the stockholders entitled to receive the distribution. The indenture permits us to increase the conversion rate from time to time.</w:t>
      </w:r>
    </w:p>
    <w:p>
      <w:pPr>
        <w:spacing w:after="0" w:line="197" w:lineRule="exact"/>
        <w:rPr>
          <w:sz w:val="20"/>
          <w:szCs w:val="20"/>
          <w:color w:val="auto"/>
        </w:rPr>
      </w:pPr>
    </w:p>
    <w:p>
      <w:pPr>
        <w:ind w:right="2559" w:firstLine="872"/>
        <w:spacing w:after="0" w:line="248" w:lineRule="auto"/>
        <w:rPr>
          <w:sz w:val="20"/>
          <w:szCs w:val="20"/>
          <w:color w:val="auto"/>
        </w:rPr>
      </w:pPr>
      <w:r>
        <w:rPr>
          <w:rFonts w:ascii="Courier New" w:cs="Courier New" w:eastAsia="Courier New" w:hAnsi="Courier New"/>
          <w:sz w:val="16"/>
          <w:szCs w:val="16"/>
          <w:color w:val="auto"/>
        </w:rPr>
        <w:t>In the event that we become a party to any transaction, including, and with some exceptions:</w:t>
      </w:r>
    </w:p>
    <w:p>
      <w:pPr>
        <w:spacing w:after="0" w:line="184" w:lineRule="exact"/>
        <w:rPr>
          <w:sz w:val="20"/>
          <w:szCs w:val="20"/>
          <w:color w:val="auto"/>
        </w:rPr>
      </w:pPr>
    </w:p>
    <w:p>
      <w:pPr>
        <w:ind w:left="1060" w:hanging="189"/>
        <w:spacing w:after="0"/>
        <w:tabs>
          <w:tab w:leader="none" w:pos="1060" w:val="left"/>
        </w:tabs>
        <w:numPr>
          <w:ilvl w:val="0"/>
          <w:numId w:val="36"/>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recapitalization or reclassification of our common stock;</w:t>
      </w:r>
    </w:p>
    <w:p>
      <w:pPr>
        <w:spacing w:after="0" w:line="191" w:lineRule="exact"/>
        <w:rPr>
          <w:rFonts w:ascii="Courier New" w:cs="Courier New" w:eastAsia="Courier New" w:hAnsi="Courier New"/>
          <w:sz w:val="16"/>
          <w:szCs w:val="16"/>
          <w:color w:val="auto"/>
        </w:rPr>
      </w:pPr>
    </w:p>
    <w:p>
      <w:pPr>
        <w:ind w:left="1060" w:right="2459" w:hanging="189"/>
        <w:spacing w:after="0" w:line="248" w:lineRule="auto"/>
        <w:tabs>
          <w:tab w:leader="none" w:pos="1060" w:val="left"/>
        </w:tabs>
        <w:numPr>
          <w:ilvl w:val="0"/>
          <w:numId w:val="36"/>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consolidation of us with, or merger of us into, any other Person, or any merger of another Person into us;</w:t>
      </w:r>
    </w:p>
    <w:p>
      <w:pPr>
        <w:spacing w:after="0" w:line="184" w:lineRule="exact"/>
        <w:rPr>
          <w:rFonts w:ascii="Courier New" w:cs="Courier New" w:eastAsia="Courier New" w:hAnsi="Courier New"/>
          <w:sz w:val="16"/>
          <w:szCs w:val="16"/>
          <w:color w:val="auto"/>
        </w:rPr>
      </w:pPr>
    </w:p>
    <w:p>
      <w:pPr>
        <w:ind w:left="1060" w:right="3139" w:hanging="189"/>
        <w:spacing w:after="0" w:line="248" w:lineRule="auto"/>
        <w:tabs>
          <w:tab w:leader="none" w:pos="1060" w:val="left"/>
        </w:tabs>
        <w:numPr>
          <w:ilvl w:val="0"/>
          <w:numId w:val="36"/>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sale, transfer or lease of all or substantially all of our assets; or</w:t>
      </w:r>
    </w:p>
    <w:p>
      <w:pPr>
        <w:spacing w:after="0" w:line="184" w:lineRule="exact"/>
        <w:rPr>
          <w:rFonts w:ascii="Courier New" w:cs="Courier New" w:eastAsia="Courier New" w:hAnsi="Courier New"/>
          <w:sz w:val="16"/>
          <w:szCs w:val="16"/>
          <w:color w:val="auto"/>
        </w:rPr>
      </w:pPr>
    </w:p>
    <w:p>
      <w:pPr>
        <w:ind w:left="1060" w:hanging="189"/>
        <w:spacing w:after="0"/>
        <w:tabs>
          <w:tab w:leader="none" w:pos="1060" w:val="left"/>
        </w:tabs>
        <w:numPr>
          <w:ilvl w:val="0"/>
          <w:numId w:val="36"/>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compulsory share exchange,</w:t>
      </w:r>
    </w:p>
    <w:p>
      <w:pPr>
        <w:spacing w:after="0" w:line="191" w:lineRule="exact"/>
        <w:rPr>
          <w:sz w:val="20"/>
          <w:szCs w:val="20"/>
          <w:color w:val="auto"/>
        </w:rPr>
      </w:pPr>
    </w:p>
    <w:p>
      <w:pPr>
        <w:ind w:right="2459"/>
        <w:spacing w:after="0" w:line="247" w:lineRule="auto"/>
        <w:rPr>
          <w:sz w:val="20"/>
          <w:szCs w:val="20"/>
          <w:color w:val="auto"/>
        </w:rPr>
      </w:pPr>
      <w:r>
        <w:rPr>
          <w:rFonts w:ascii="Courier New" w:cs="Courier New" w:eastAsia="Courier New" w:hAnsi="Courier New"/>
          <w:sz w:val="16"/>
          <w:szCs w:val="16"/>
          <w:color w:val="auto"/>
        </w:rPr>
        <w:t>pursuant to which our common stock is converted into the right to receive other securities, cash or other property, then the holders of the notes then outstanding will have the right to convert the notes into the kind and amount of securities, cash or other property receivable upon the consummation of any transaction by a holder of the number of shares of our common stock issuable upon conversion of the notes immediately prior to the transaction.</w:t>
      </w:r>
    </w:p>
    <w:p>
      <w:pPr>
        <w:spacing w:after="0" w:line="185" w:lineRule="exact"/>
        <w:rPr>
          <w:sz w:val="20"/>
          <w:szCs w:val="20"/>
          <w:color w:val="auto"/>
        </w:rPr>
      </w:pPr>
    </w:p>
    <w:p>
      <w:pPr>
        <w:ind w:right="2459" w:firstLine="872"/>
        <w:spacing w:after="0" w:line="246" w:lineRule="auto"/>
        <w:rPr>
          <w:sz w:val="20"/>
          <w:szCs w:val="20"/>
          <w:color w:val="auto"/>
        </w:rPr>
      </w:pPr>
      <w:r>
        <w:rPr>
          <w:rFonts w:ascii="Courier New" w:cs="Courier New" w:eastAsia="Courier New" w:hAnsi="Courier New"/>
          <w:sz w:val="16"/>
          <w:szCs w:val="16"/>
          <w:color w:val="auto"/>
        </w:rPr>
        <w:t>In the case of a transaction, each note will become convertible into the securities, cash or property receivable by a holder of the number of shares of our common stock into which the note was convertible immediately prior to the transaction. This change could substantially lessen or eliminate the value of the conversion privilege associated with the notes in the future. For example, if we were acquired in a cash merger, each note would become convertible solely into cash and would no longer be convertible into securities whose value would vary depending on our future prospects and other factors.</w:t>
      </w:r>
    </w:p>
    <w:p>
      <w:pPr>
        <w:spacing w:after="0" w:line="191" w:lineRule="exact"/>
        <w:rPr>
          <w:sz w:val="20"/>
          <w:szCs w:val="20"/>
          <w:color w:val="auto"/>
        </w:rPr>
      </w:pPr>
    </w:p>
    <w:p>
      <w:pPr>
        <w:ind w:right="2459" w:firstLine="872"/>
        <w:spacing w:after="0" w:line="247" w:lineRule="auto"/>
        <w:rPr>
          <w:sz w:val="20"/>
          <w:szCs w:val="20"/>
          <w:color w:val="auto"/>
        </w:rPr>
      </w:pPr>
      <w:r>
        <w:rPr>
          <w:rFonts w:ascii="Courier New" w:cs="Courier New" w:eastAsia="Courier New" w:hAnsi="Courier New"/>
          <w:sz w:val="16"/>
          <w:szCs w:val="16"/>
          <w:color w:val="auto"/>
        </w:rPr>
        <w:t>In the event of a taxable distribution to holders of our common stock which results in an adjustment of the conversion rate or in the event the conversion rate is increased at our discretion, the holders of the notes may, in some circumstances, be deemed to have received a distribution subject to United States federal income tax as a dividend.</w:t>
      </w:r>
    </w:p>
    <w:p>
      <w:pPr>
        <w:sectPr>
          <w:pgSz w:w="11900" w:h="16838" w:orient="portrait"/>
          <w:cols w:equalWidth="0" w:num="1">
            <w:col w:w="10219"/>
          </w:cols>
          <w:pgMar w:left="240" w:top="303" w:right="1440" w:bottom="1068" w:gutter="0" w:footer="0" w:header="0"/>
        </w:sectPr>
      </w:pPr>
    </w:p>
    <w:p>
      <w:pPr>
        <w:spacing w:after="0" w:line="372"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25</w:t>
      </w:r>
    </w:p>
    <w:p>
      <w:pPr>
        <w:sectPr>
          <w:pgSz w:w="11900" w:h="16838" w:orient="portrait"/>
          <w:cols w:equalWidth="0" w:num="1">
            <w:col w:w="10219"/>
          </w:cols>
          <w:pgMar w:left="240" w:top="303" w:right="1440" w:bottom="1068" w:gutter="0" w:footer="0" w:header="0"/>
          <w:type w:val="continuous"/>
        </w:sectPr>
      </w:pPr>
    </w:p>
    <w:bookmarkStart w:id="30" w:name="page31"/>
    <w:bookmarkEnd w:id="30"/>
    <w:p>
      <w:pPr>
        <w:ind w:left="300"/>
        <w:spacing w:after="0"/>
        <w:rPr>
          <w:sz w:val="20"/>
          <w:szCs w:val="20"/>
          <w:color w:val="auto"/>
        </w:rPr>
      </w:pPr>
      <w:r>
        <w:rPr>
          <w:rFonts w:ascii="Courier New" w:cs="Courier New" w:eastAsia="Courier New" w:hAnsi="Courier New"/>
          <w:sz w:val="16"/>
          <w:szCs w:val="16"/>
          <w:color w:val="auto"/>
        </w:rPr>
        <w:t>26</w:t>
      </w:r>
    </w:p>
    <w:p>
      <w:pPr>
        <w:spacing w:after="0" w:line="191" w:lineRule="exact"/>
        <w:rPr>
          <w:sz w:val="20"/>
          <w:szCs w:val="20"/>
          <w:color w:val="auto"/>
        </w:rPr>
      </w:pPr>
    </w:p>
    <w:p>
      <w:pPr>
        <w:ind w:right="2459"/>
        <w:spacing w:after="0" w:line="248" w:lineRule="auto"/>
        <w:rPr>
          <w:sz w:val="20"/>
          <w:szCs w:val="20"/>
          <w:color w:val="auto"/>
        </w:rPr>
      </w:pPr>
      <w:r>
        <w:rPr>
          <w:rFonts w:ascii="Courier New" w:cs="Courier New" w:eastAsia="Courier New" w:hAnsi="Courier New"/>
          <w:sz w:val="16"/>
          <w:szCs w:val="16"/>
          <w:color w:val="auto"/>
        </w:rPr>
        <w:t>Moreover, in some other circumstances, the absence of an adjustment to the conversion rate may result in a taxable dividend to holders of our common stock.</w:t>
      </w:r>
    </w:p>
    <w:p>
      <w:pPr>
        <w:spacing w:after="0" w:line="18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REDEMPTION OF THE NOTES AT OUR OPTION</w:t>
      </w:r>
    </w:p>
    <w:p>
      <w:pPr>
        <w:spacing w:after="0" w:line="191" w:lineRule="exact"/>
        <w:rPr>
          <w:sz w:val="20"/>
          <w:szCs w:val="20"/>
          <w:color w:val="auto"/>
        </w:rPr>
      </w:pPr>
    </w:p>
    <w:p>
      <w:pPr>
        <w:ind w:right="2459" w:firstLine="872"/>
        <w:spacing w:after="0" w:line="246" w:lineRule="auto"/>
        <w:rPr>
          <w:sz w:val="20"/>
          <w:szCs w:val="20"/>
          <w:color w:val="auto"/>
        </w:rPr>
      </w:pPr>
      <w:r>
        <w:rPr>
          <w:rFonts w:ascii="Courier New" w:cs="Courier New" w:eastAsia="Courier New" w:hAnsi="Courier New"/>
          <w:sz w:val="16"/>
          <w:szCs w:val="16"/>
          <w:color w:val="auto"/>
        </w:rPr>
        <w:t>No sinking fund is provided for the notes. Prior to December 1, 2002, we will not be entitled at our option to redeem the notes. On and after that date, we will be entitled to redeem the notes for cash as a whole at any time, or from time to time in part, upon not less than 30 days' nor more than 60 days' notice of redemption given by mail to holders of the notes, unless a shorter notice shall be satisfactory to the trustee, at the redemption prices set forth below plus accrued cash interest to the redemption date. Any redemption must be in integral multiples of $1,000 principal amount.</w:t>
      </w:r>
    </w:p>
    <w:p>
      <w:pPr>
        <w:spacing w:after="0" w:line="191" w:lineRule="exact"/>
        <w:rPr>
          <w:sz w:val="20"/>
          <w:szCs w:val="20"/>
          <w:color w:val="auto"/>
        </w:rPr>
      </w:pPr>
    </w:p>
    <w:p>
      <w:pPr>
        <w:ind w:right="2559" w:firstLine="872"/>
        <w:spacing w:after="0" w:line="248" w:lineRule="auto"/>
        <w:rPr>
          <w:sz w:val="20"/>
          <w:szCs w:val="20"/>
          <w:color w:val="auto"/>
        </w:rPr>
      </w:pPr>
      <w:r>
        <w:rPr>
          <w:rFonts w:ascii="Courier New" w:cs="Courier New" w:eastAsia="Courier New" w:hAnsi="Courier New"/>
          <w:sz w:val="16"/>
          <w:szCs w:val="16"/>
          <w:color w:val="auto"/>
        </w:rPr>
        <w:t>The table below shows redemption prices of a note per $1,000 principal amount if redeemed during the twelve-month periods set forth below.</w:t>
      </w:r>
    </w:p>
    <w:p>
      <w:pPr>
        <w:spacing w:after="0" w:line="184" w:lineRule="exact"/>
        <w:rPr>
          <w:sz w:val="20"/>
          <w:szCs w:val="20"/>
          <w:color w:val="auto"/>
        </w:rPr>
      </w:pPr>
    </w:p>
    <w:tbl>
      <w:tblPr>
        <w:tblLayout w:type="fixed"/>
        <w:tblInd w:w="880" w:type="dxa"/>
        <w:tblCellMar>
          <w:top w:w="0" w:type="dxa"/>
          <w:left w:w="0" w:type="dxa"/>
          <w:bottom w:w="0" w:type="dxa"/>
          <w:right w:w="0" w:type="dxa"/>
        </w:tblCellMar>
      </w:tblPr>
      <w:tr>
        <w:trPr>
          <w:trHeight w:val="183"/>
        </w:trPr>
        <w:tc>
          <w:tcPr>
            <w:tcW w:w="1640" w:type="dxa"/>
            <w:vAlign w:val="bottom"/>
          </w:tcPr>
          <w:p>
            <w:pPr>
              <w:spacing w:after="0"/>
              <w:rPr>
                <w:sz w:val="20"/>
                <w:szCs w:val="20"/>
                <w:color w:val="auto"/>
              </w:rPr>
            </w:pPr>
            <w:r>
              <w:rPr>
                <w:rFonts w:ascii="Courier New" w:cs="Courier New" w:eastAsia="Courier New" w:hAnsi="Courier New"/>
                <w:sz w:val="16"/>
                <w:szCs w:val="16"/>
                <w:color w:val="auto"/>
              </w:rPr>
              <w:t>Period</w:t>
            </w:r>
          </w:p>
        </w:tc>
        <w:tc>
          <w:tcPr>
            <w:tcW w:w="3640" w:type="dxa"/>
            <w:vAlign w:val="bottom"/>
          </w:tcPr>
          <w:p>
            <w:pPr>
              <w:spacing w:after="0"/>
              <w:rPr>
                <w:sz w:val="15"/>
                <w:szCs w:val="15"/>
                <w:color w:val="auto"/>
              </w:rPr>
            </w:pPr>
          </w:p>
        </w:tc>
        <w:tc>
          <w:tcPr>
            <w:tcW w:w="1600" w:type="dxa"/>
            <w:vAlign w:val="bottom"/>
          </w:tcPr>
          <w:p>
            <w:pPr>
              <w:jc w:val="right"/>
              <w:spacing w:after="0"/>
              <w:rPr>
                <w:sz w:val="20"/>
                <w:szCs w:val="20"/>
                <w:color w:val="auto"/>
              </w:rPr>
            </w:pPr>
            <w:r>
              <w:rPr>
                <w:rFonts w:ascii="Courier New" w:cs="Courier New" w:eastAsia="Courier New" w:hAnsi="Courier New"/>
                <w:sz w:val="16"/>
                <w:szCs w:val="16"/>
                <w:color w:val="auto"/>
              </w:rPr>
              <w:t>Redemption Price</w:t>
            </w:r>
          </w:p>
        </w:tc>
      </w:tr>
      <w:tr>
        <w:trPr>
          <w:trHeight w:val="186"/>
        </w:trPr>
        <w:tc>
          <w:tcPr>
            <w:tcW w:w="1640" w:type="dxa"/>
            <w:vAlign w:val="bottom"/>
          </w:tcPr>
          <w:p>
            <w:pPr>
              <w:spacing w:after="0"/>
              <w:rPr>
                <w:sz w:val="20"/>
                <w:szCs w:val="20"/>
                <w:color w:val="auto"/>
              </w:rPr>
            </w:pPr>
            <w:r>
              <w:rPr>
                <w:rFonts w:ascii="Courier New" w:cs="Courier New" w:eastAsia="Courier New" w:hAnsi="Courier New"/>
                <w:sz w:val="16"/>
                <w:szCs w:val="16"/>
                <w:color w:val="auto"/>
              </w:rPr>
              <w:t>------</w:t>
            </w:r>
          </w:p>
        </w:tc>
        <w:tc>
          <w:tcPr>
            <w:tcW w:w="3640" w:type="dxa"/>
            <w:vAlign w:val="bottom"/>
          </w:tcPr>
          <w:p>
            <w:pPr>
              <w:spacing w:after="0"/>
              <w:rPr>
                <w:sz w:val="16"/>
                <w:szCs w:val="16"/>
                <w:color w:val="auto"/>
              </w:rPr>
            </w:pPr>
          </w:p>
        </w:tc>
        <w:tc>
          <w:tcPr>
            <w:tcW w:w="16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373"/>
        </w:trPr>
        <w:tc>
          <w:tcPr>
            <w:tcW w:w="5280" w:type="dxa"/>
            <w:vAlign w:val="bottom"/>
            <w:gridSpan w:val="2"/>
          </w:tcPr>
          <w:p>
            <w:pPr>
              <w:spacing w:after="0"/>
              <w:rPr>
                <w:sz w:val="20"/>
                <w:szCs w:val="20"/>
                <w:color w:val="auto"/>
              </w:rPr>
            </w:pPr>
            <w:r>
              <w:rPr>
                <w:rFonts w:ascii="Courier New" w:cs="Courier New" w:eastAsia="Courier New" w:hAnsi="Courier New"/>
                <w:sz w:val="16"/>
                <w:szCs w:val="16"/>
                <w:color w:val="auto"/>
              </w:rPr>
              <w:t>December 1, 2002 through November 30, 2003 ...........</w:t>
            </w:r>
          </w:p>
        </w:tc>
        <w:tc>
          <w:tcPr>
            <w:tcW w:w="160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103.71%</w:t>
            </w:r>
          </w:p>
        </w:tc>
      </w:tr>
      <w:tr>
        <w:trPr>
          <w:trHeight w:val="186"/>
        </w:trPr>
        <w:tc>
          <w:tcPr>
            <w:tcW w:w="1640" w:type="dxa"/>
            <w:vAlign w:val="bottom"/>
          </w:tcPr>
          <w:p>
            <w:pPr>
              <w:spacing w:after="0"/>
              <w:rPr>
                <w:sz w:val="20"/>
                <w:szCs w:val="20"/>
                <w:color w:val="auto"/>
              </w:rPr>
            </w:pPr>
            <w:r>
              <w:rPr>
                <w:rFonts w:ascii="Courier New" w:cs="Courier New" w:eastAsia="Courier New" w:hAnsi="Courier New"/>
                <w:sz w:val="16"/>
                <w:szCs w:val="16"/>
                <w:color w:val="auto"/>
              </w:rPr>
              <w:t>December 1, 2003</w:t>
            </w:r>
          </w:p>
        </w:tc>
        <w:tc>
          <w:tcPr>
            <w:tcW w:w="3640" w:type="dxa"/>
            <w:vAlign w:val="bottom"/>
          </w:tcPr>
          <w:p>
            <w:pPr>
              <w:spacing w:after="0"/>
              <w:rPr>
                <w:sz w:val="20"/>
                <w:szCs w:val="20"/>
                <w:color w:val="auto"/>
              </w:rPr>
            </w:pPr>
            <w:r>
              <w:rPr>
                <w:rFonts w:ascii="Courier New" w:cs="Courier New" w:eastAsia="Courier New" w:hAnsi="Courier New"/>
                <w:sz w:val="16"/>
                <w:szCs w:val="16"/>
                <w:color w:val="auto"/>
              </w:rPr>
              <w:t>through November 30, 2004 ...........</w:t>
            </w:r>
          </w:p>
        </w:tc>
        <w:tc>
          <w:tcPr>
            <w:tcW w:w="160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102.79%</w:t>
            </w:r>
          </w:p>
        </w:tc>
      </w:tr>
      <w:tr>
        <w:trPr>
          <w:trHeight w:val="186"/>
        </w:trPr>
        <w:tc>
          <w:tcPr>
            <w:tcW w:w="1640" w:type="dxa"/>
            <w:vAlign w:val="bottom"/>
          </w:tcPr>
          <w:p>
            <w:pPr>
              <w:spacing w:after="0"/>
              <w:rPr>
                <w:sz w:val="20"/>
                <w:szCs w:val="20"/>
                <w:color w:val="auto"/>
              </w:rPr>
            </w:pPr>
            <w:r>
              <w:rPr>
                <w:rFonts w:ascii="Courier New" w:cs="Courier New" w:eastAsia="Courier New" w:hAnsi="Courier New"/>
                <w:sz w:val="16"/>
                <w:szCs w:val="16"/>
                <w:color w:val="auto"/>
              </w:rPr>
              <w:t>December 1, 2004</w:t>
            </w:r>
          </w:p>
        </w:tc>
        <w:tc>
          <w:tcPr>
            <w:tcW w:w="3640" w:type="dxa"/>
            <w:vAlign w:val="bottom"/>
          </w:tcPr>
          <w:p>
            <w:pPr>
              <w:spacing w:after="0"/>
              <w:rPr>
                <w:sz w:val="20"/>
                <w:szCs w:val="20"/>
                <w:color w:val="auto"/>
              </w:rPr>
            </w:pPr>
            <w:r>
              <w:rPr>
                <w:rFonts w:ascii="Courier New" w:cs="Courier New" w:eastAsia="Courier New" w:hAnsi="Courier New"/>
                <w:sz w:val="16"/>
                <w:szCs w:val="16"/>
                <w:color w:val="auto"/>
              </w:rPr>
              <w:t>through November 30, 2005 ...........</w:t>
            </w:r>
          </w:p>
        </w:tc>
        <w:tc>
          <w:tcPr>
            <w:tcW w:w="160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101.86%</w:t>
            </w:r>
          </w:p>
        </w:tc>
      </w:tr>
      <w:tr>
        <w:trPr>
          <w:trHeight w:val="186"/>
        </w:trPr>
        <w:tc>
          <w:tcPr>
            <w:tcW w:w="5280" w:type="dxa"/>
            <w:vAlign w:val="bottom"/>
            <w:gridSpan w:val="2"/>
          </w:tcPr>
          <w:p>
            <w:pPr>
              <w:spacing w:after="0"/>
              <w:rPr>
                <w:sz w:val="20"/>
                <w:szCs w:val="20"/>
                <w:color w:val="auto"/>
              </w:rPr>
            </w:pPr>
            <w:r>
              <w:rPr>
                <w:rFonts w:ascii="Courier New" w:cs="Courier New" w:eastAsia="Courier New" w:hAnsi="Courier New"/>
                <w:sz w:val="16"/>
                <w:szCs w:val="16"/>
                <w:color w:val="auto"/>
              </w:rPr>
              <w:t>Thereafter ...........................................</w:t>
            </w:r>
          </w:p>
        </w:tc>
        <w:tc>
          <w:tcPr>
            <w:tcW w:w="160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100.93%</w:t>
            </w:r>
          </w:p>
        </w:tc>
      </w:tr>
    </w:tbl>
    <w:p>
      <w:pPr>
        <w:spacing w:after="0" w:line="190" w:lineRule="exact"/>
        <w:rPr>
          <w:sz w:val="20"/>
          <w:szCs w:val="20"/>
          <w:color w:val="auto"/>
        </w:rPr>
      </w:pPr>
    </w:p>
    <w:p>
      <w:pPr>
        <w:ind w:right="2459" w:firstLine="872"/>
        <w:spacing w:after="0" w:line="246" w:lineRule="auto"/>
        <w:rPr>
          <w:sz w:val="20"/>
          <w:szCs w:val="20"/>
          <w:color w:val="auto"/>
        </w:rPr>
      </w:pPr>
      <w:r>
        <w:rPr>
          <w:rFonts w:ascii="Courier New" w:cs="Courier New" w:eastAsia="Courier New" w:hAnsi="Courier New"/>
          <w:sz w:val="16"/>
          <w:szCs w:val="16"/>
          <w:color w:val="auto"/>
        </w:rPr>
        <w:t>If fewer than all of the notes are to be redeemed, the trustee will select the notes to be redeemed in principal amounts at maturity of $1,000 or integral multiples thereof by lot, pro rata or by another method the trustee considers fair and appropriate. If a portion of a holder's notes is selected for partial redemption and that holder converts a portion of those notes prior to the redemption, the converted portion shall be deemed, solely for purposes of determining the aggregate principal amount of the notes to be redeemed by us, to be of the portion selected for redemption.</w:t>
      </w:r>
    </w:p>
    <w:p>
      <w:pPr>
        <w:spacing w:after="0" w:line="19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CHANGE IN CONTROL PERMITS PURCHASE OF THE NOTES AT THE OPTION OF THE HOLDER</w:t>
      </w:r>
    </w:p>
    <w:p>
      <w:pPr>
        <w:spacing w:after="0" w:line="191" w:lineRule="exact"/>
        <w:rPr>
          <w:sz w:val="20"/>
          <w:szCs w:val="20"/>
          <w:color w:val="auto"/>
        </w:rPr>
      </w:pPr>
    </w:p>
    <w:p>
      <w:pPr>
        <w:ind w:right="2559" w:firstLine="872"/>
        <w:spacing w:after="0" w:line="246" w:lineRule="auto"/>
        <w:rPr>
          <w:sz w:val="20"/>
          <w:szCs w:val="20"/>
          <w:color w:val="auto"/>
        </w:rPr>
      </w:pPr>
      <w:r>
        <w:rPr>
          <w:rFonts w:ascii="Courier New" w:cs="Courier New" w:eastAsia="Courier New" w:hAnsi="Courier New"/>
          <w:sz w:val="16"/>
          <w:szCs w:val="16"/>
          <w:color w:val="auto"/>
        </w:rPr>
        <w:t>In the event of any change in control of CheckFree, each holder of the notes will have the right, at the holder's option, subject to the terms and conditions of the indenture, to require us to purchase all or any part of the holder's notes on the change in control purchase date that is 30 business days after the occurrence of the change in control at a cash price equal to 100% of the principal amount of the holder's notes plus accrued cash interest to the change in control purchase date. This amount is called the change in control purchase price.</w:t>
      </w:r>
    </w:p>
    <w:p>
      <w:pPr>
        <w:spacing w:after="0" w:line="191" w:lineRule="exact"/>
        <w:rPr>
          <w:sz w:val="20"/>
          <w:szCs w:val="20"/>
          <w:color w:val="auto"/>
        </w:rPr>
      </w:pPr>
    </w:p>
    <w:p>
      <w:pPr>
        <w:ind w:right="2659" w:firstLine="872"/>
        <w:spacing w:after="0" w:line="247" w:lineRule="auto"/>
        <w:rPr>
          <w:sz w:val="20"/>
          <w:szCs w:val="20"/>
          <w:color w:val="auto"/>
        </w:rPr>
      </w:pPr>
      <w:r>
        <w:rPr>
          <w:rFonts w:ascii="Courier New" w:cs="Courier New" w:eastAsia="Courier New" w:hAnsi="Courier New"/>
          <w:sz w:val="16"/>
          <w:szCs w:val="16"/>
          <w:color w:val="auto"/>
        </w:rPr>
        <w:t>Within 15 business days after the change in control, we will mail to the trustee and to each holder a notice regarding the change in control, which notice shall state, among other things:</w:t>
      </w:r>
    </w:p>
    <w:p>
      <w:pPr>
        <w:spacing w:after="0" w:line="186" w:lineRule="exact"/>
        <w:rPr>
          <w:sz w:val="20"/>
          <w:szCs w:val="20"/>
          <w:color w:val="auto"/>
        </w:rPr>
      </w:pPr>
    </w:p>
    <w:p>
      <w:pPr>
        <w:ind w:left="1060" w:right="2759" w:hanging="189"/>
        <w:spacing w:after="0" w:line="248" w:lineRule="auto"/>
        <w:tabs>
          <w:tab w:leader="none" w:pos="1060" w:val="left"/>
        </w:tabs>
        <w:numPr>
          <w:ilvl w:val="0"/>
          <w:numId w:val="3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date of the change in control and, briefly, the events causing the change in control;</w:t>
      </w:r>
    </w:p>
    <w:p>
      <w:pPr>
        <w:spacing w:after="0" w:line="184" w:lineRule="exact"/>
        <w:rPr>
          <w:rFonts w:ascii="Courier New" w:cs="Courier New" w:eastAsia="Courier New" w:hAnsi="Courier New"/>
          <w:sz w:val="16"/>
          <w:szCs w:val="16"/>
          <w:color w:val="auto"/>
        </w:rPr>
      </w:pPr>
    </w:p>
    <w:p>
      <w:pPr>
        <w:ind w:left="1060" w:right="3039" w:hanging="189"/>
        <w:spacing w:after="0" w:line="248" w:lineRule="auto"/>
        <w:tabs>
          <w:tab w:leader="none" w:pos="1060" w:val="left"/>
        </w:tabs>
        <w:numPr>
          <w:ilvl w:val="0"/>
          <w:numId w:val="3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date of which the change in control purchase notice must be given;</w:t>
      </w:r>
    </w:p>
    <w:p>
      <w:pPr>
        <w:spacing w:after="0" w:line="184" w:lineRule="exact"/>
        <w:rPr>
          <w:rFonts w:ascii="Courier New" w:cs="Courier New" w:eastAsia="Courier New" w:hAnsi="Courier New"/>
          <w:sz w:val="16"/>
          <w:szCs w:val="16"/>
          <w:color w:val="auto"/>
        </w:rPr>
      </w:pPr>
    </w:p>
    <w:p>
      <w:pPr>
        <w:ind w:left="1060" w:hanging="189"/>
        <w:spacing w:after="0"/>
        <w:tabs>
          <w:tab w:leader="none" w:pos="1060" w:val="left"/>
        </w:tabs>
        <w:numPr>
          <w:ilvl w:val="0"/>
          <w:numId w:val="3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change in control purchase date;</w:t>
      </w:r>
    </w:p>
    <w:p>
      <w:pPr>
        <w:spacing w:after="0" w:line="191" w:lineRule="exact"/>
        <w:rPr>
          <w:rFonts w:ascii="Courier New" w:cs="Courier New" w:eastAsia="Courier New" w:hAnsi="Courier New"/>
          <w:sz w:val="16"/>
          <w:szCs w:val="16"/>
          <w:color w:val="auto"/>
        </w:rPr>
      </w:pPr>
    </w:p>
    <w:p>
      <w:pPr>
        <w:ind w:left="1060" w:hanging="189"/>
        <w:spacing w:after="0"/>
        <w:tabs>
          <w:tab w:leader="none" w:pos="1060" w:val="left"/>
        </w:tabs>
        <w:numPr>
          <w:ilvl w:val="0"/>
          <w:numId w:val="3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change in control purchase price;</w:t>
      </w:r>
    </w:p>
    <w:p>
      <w:pPr>
        <w:spacing w:after="0" w:line="191" w:lineRule="exact"/>
        <w:rPr>
          <w:rFonts w:ascii="Courier New" w:cs="Courier New" w:eastAsia="Courier New" w:hAnsi="Courier New"/>
          <w:sz w:val="16"/>
          <w:szCs w:val="16"/>
          <w:color w:val="auto"/>
        </w:rPr>
      </w:pPr>
    </w:p>
    <w:p>
      <w:pPr>
        <w:ind w:left="1060" w:hanging="189"/>
        <w:spacing w:after="0"/>
        <w:tabs>
          <w:tab w:leader="none" w:pos="1060" w:val="left"/>
        </w:tabs>
        <w:numPr>
          <w:ilvl w:val="0"/>
          <w:numId w:val="3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name and address of the paying agent and the conversion agent;</w:t>
      </w:r>
    </w:p>
    <w:p>
      <w:pPr>
        <w:spacing w:after="0" w:line="191" w:lineRule="exact"/>
        <w:rPr>
          <w:rFonts w:ascii="Courier New" w:cs="Courier New" w:eastAsia="Courier New" w:hAnsi="Courier New"/>
          <w:sz w:val="16"/>
          <w:szCs w:val="16"/>
          <w:color w:val="auto"/>
        </w:rPr>
      </w:pPr>
    </w:p>
    <w:p>
      <w:pPr>
        <w:ind w:left="1060" w:hanging="189"/>
        <w:spacing w:after="0"/>
        <w:tabs>
          <w:tab w:leader="none" w:pos="1060" w:val="left"/>
        </w:tabs>
        <w:numPr>
          <w:ilvl w:val="0"/>
          <w:numId w:val="3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conversion rate and any adjustments thereto;</w:t>
      </w:r>
    </w:p>
    <w:p>
      <w:pPr>
        <w:spacing w:after="0" w:line="191" w:lineRule="exact"/>
        <w:rPr>
          <w:rFonts w:ascii="Courier New" w:cs="Courier New" w:eastAsia="Courier New" w:hAnsi="Courier New"/>
          <w:sz w:val="16"/>
          <w:szCs w:val="16"/>
          <w:color w:val="auto"/>
        </w:rPr>
      </w:pPr>
    </w:p>
    <w:p>
      <w:pPr>
        <w:ind w:left="1060" w:hanging="189"/>
        <w:spacing w:after="0"/>
        <w:tabs>
          <w:tab w:leader="none" w:pos="1060" w:val="left"/>
        </w:tabs>
        <w:numPr>
          <w:ilvl w:val="0"/>
          <w:numId w:val="3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procedures that holders must follow to exercise these rights;</w:t>
      </w:r>
    </w:p>
    <w:p>
      <w:pPr>
        <w:spacing w:after="0" w:line="191" w:lineRule="exact"/>
        <w:rPr>
          <w:rFonts w:ascii="Courier New" w:cs="Courier New" w:eastAsia="Courier New" w:hAnsi="Courier New"/>
          <w:sz w:val="16"/>
          <w:szCs w:val="16"/>
          <w:color w:val="auto"/>
        </w:rPr>
      </w:pPr>
    </w:p>
    <w:p>
      <w:pPr>
        <w:ind w:left="1060" w:hanging="189"/>
        <w:spacing w:after="0"/>
        <w:tabs>
          <w:tab w:leader="none" w:pos="1060" w:val="left"/>
        </w:tabs>
        <w:numPr>
          <w:ilvl w:val="0"/>
          <w:numId w:val="3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procedures for withdrawing a change in control purchase notice;</w:t>
      </w:r>
    </w:p>
    <w:p>
      <w:pPr>
        <w:spacing w:after="0" w:line="191" w:lineRule="exact"/>
        <w:rPr>
          <w:rFonts w:ascii="Courier New" w:cs="Courier New" w:eastAsia="Courier New" w:hAnsi="Courier New"/>
          <w:sz w:val="16"/>
          <w:szCs w:val="16"/>
          <w:color w:val="auto"/>
        </w:rPr>
      </w:pPr>
    </w:p>
    <w:p>
      <w:pPr>
        <w:ind w:left="1060" w:right="2559" w:hanging="189"/>
        <w:spacing w:after="0" w:line="248" w:lineRule="auto"/>
        <w:tabs>
          <w:tab w:leader="none" w:pos="1060" w:val="left"/>
        </w:tabs>
        <w:numPr>
          <w:ilvl w:val="0"/>
          <w:numId w:val="3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that holders who want to convert notes must satisfy the requirements set forth in the notes; and</w:t>
      </w:r>
    </w:p>
    <w:p>
      <w:pPr>
        <w:spacing w:after="0" w:line="184" w:lineRule="exact"/>
        <w:rPr>
          <w:rFonts w:ascii="Courier New" w:cs="Courier New" w:eastAsia="Courier New" w:hAnsi="Courier New"/>
          <w:sz w:val="16"/>
          <w:szCs w:val="16"/>
          <w:color w:val="auto"/>
        </w:rPr>
      </w:pPr>
    </w:p>
    <w:p>
      <w:pPr>
        <w:ind w:left="1060" w:hanging="189"/>
        <w:spacing w:after="0"/>
        <w:tabs>
          <w:tab w:leader="none" w:pos="1060" w:val="left"/>
        </w:tabs>
        <w:numPr>
          <w:ilvl w:val="0"/>
          <w:numId w:val="37"/>
        </w:numPr>
        <w:rPr>
          <w:rFonts w:ascii="Courier New" w:cs="Courier New" w:eastAsia="Courier New" w:hAnsi="Courier New"/>
          <w:sz w:val="16"/>
          <w:szCs w:val="16"/>
          <w:color w:val="auto"/>
        </w:rPr>
      </w:pPr>
      <w:r>
        <w:rPr>
          <w:rFonts w:ascii="Courier New" w:cs="Courier New" w:eastAsia="Courier New" w:hAnsi="Courier New"/>
          <w:sz w:val="16"/>
          <w:szCs w:val="16"/>
          <w:color w:val="auto"/>
        </w:rPr>
        <w:t>briefly, the conversion rights of the holders of the notes.</w:t>
      </w:r>
    </w:p>
    <w:p>
      <w:pPr>
        <w:spacing w:after="0" w:line="191" w:lineRule="exact"/>
        <w:rPr>
          <w:sz w:val="20"/>
          <w:szCs w:val="20"/>
          <w:color w:val="auto"/>
        </w:rPr>
      </w:pPr>
    </w:p>
    <w:p>
      <w:pPr>
        <w:ind w:right="2659"/>
        <w:spacing w:after="0" w:line="248" w:lineRule="auto"/>
        <w:rPr>
          <w:sz w:val="20"/>
          <w:szCs w:val="20"/>
          <w:color w:val="auto"/>
        </w:rPr>
      </w:pPr>
      <w:r>
        <w:rPr>
          <w:rFonts w:ascii="Courier New" w:cs="Courier New" w:eastAsia="Courier New" w:hAnsi="Courier New"/>
          <w:sz w:val="16"/>
          <w:szCs w:val="16"/>
          <w:color w:val="auto"/>
        </w:rPr>
        <w:t>We will cause a copy of this notice to be published in The Wall Street Journal or another daily newspaper of national circulation.</w:t>
      </w:r>
    </w:p>
    <w:p>
      <w:pPr>
        <w:sectPr>
          <w:pgSz w:w="11900" w:h="16838" w:orient="portrait"/>
          <w:cols w:equalWidth="0" w:num="1">
            <w:col w:w="10219"/>
          </w:cols>
          <w:pgMar w:left="240" w:top="303" w:right="1440" w:bottom="1440" w:gutter="0" w:footer="0" w:header="0"/>
        </w:sectPr>
      </w:pPr>
    </w:p>
    <w:p>
      <w:pPr>
        <w:spacing w:after="0" w:line="371"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26</w:t>
      </w:r>
    </w:p>
    <w:p>
      <w:pPr>
        <w:sectPr>
          <w:pgSz w:w="11900" w:h="16838" w:orient="portrait"/>
          <w:cols w:equalWidth="0" w:num="1">
            <w:col w:w="10219"/>
          </w:cols>
          <w:pgMar w:left="240" w:top="303" w:right="1440" w:bottom="1440" w:gutter="0" w:footer="0" w:header="0"/>
          <w:type w:val="continuous"/>
        </w:sectPr>
      </w:pPr>
    </w:p>
    <w:bookmarkStart w:id="31" w:name="page32"/>
    <w:bookmarkEnd w:id="31"/>
    <w:p>
      <w:pPr>
        <w:ind w:left="300"/>
        <w:spacing w:after="0"/>
        <w:rPr>
          <w:sz w:val="20"/>
          <w:szCs w:val="20"/>
          <w:color w:val="auto"/>
        </w:rPr>
      </w:pPr>
      <w:r>
        <w:rPr>
          <w:rFonts w:ascii="Courier New" w:cs="Courier New" w:eastAsia="Courier New" w:hAnsi="Courier New"/>
          <w:sz w:val="16"/>
          <w:szCs w:val="16"/>
          <w:color w:val="auto"/>
        </w:rPr>
        <w:t>27</w:t>
      </w:r>
    </w:p>
    <w:p>
      <w:pPr>
        <w:spacing w:after="0" w:line="191" w:lineRule="exact"/>
        <w:rPr>
          <w:sz w:val="20"/>
          <w:szCs w:val="20"/>
          <w:color w:val="auto"/>
        </w:rPr>
      </w:pPr>
    </w:p>
    <w:p>
      <w:pPr>
        <w:ind w:right="2459" w:firstLine="872"/>
        <w:spacing w:after="0" w:line="247" w:lineRule="auto"/>
        <w:rPr>
          <w:sz w:val="20"/>
          <w:szCs w:val="20"/>
          <w:color w:val="auto"/>
        </w:rPr>
      </w:pPr>
      <w:r>
        <w:rPr>
          <w:rFonts w:ascii="Courier New" w:cs="Courier New" w:eastAsia="Courier New" w:hAnsi="Courier New"/>
          <w:sz w:val="16"/>
          <w:szCs w:val="16"/>
          <w:color w:val="auto"/>
        </w:rPr>
        <w:t>To exercise the purchase right, the holder must deliver a written change in control purchase notice of the exercise of the right to the paying agent in the Borough of Manhattan, New York, New York, prior to the close of business, on the change in control purchase date. Any change in control purchase notice must provide:</w:t>
      </w:r>
    </w:p>
    <w:p>
      <w:pPr>
        <w:spacing w:after="0" w:line="185" w:lineRule="exact"/>
        <w:rPr>
          <w:sz w:val="20"/>
          <w:szCs w:val="20"/>
          <w:color w:val="auto"/>
        </w:rPr>
      </w:pPr>
    </w:p>
    <w:p>
      <w:pPr>
        <w:ind w:left="1060" w:right="2759" w:hanging="189"/>
        <w:spacing w:after="0" w:line="248" w:lineRule="auto"/>
        <w:tabs>
          <w:tab w:leader="none" w:pos="1060" w:val="left"/>
        </w:tabs>
        <w:numPr>
          <w:ilvl w:val="0"/>
          <w:numId w:val="3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certificate numbers of the notes to be delivered by the holder thereof for purchase by us;</w:t>
      </w:r>
    </w:p>
    <w:p>
      <w:pPr>
        <w:spacing w:after="0" w:line="184" w:lineRule="exact"/>
        <w:rPr>
          <w:rFonts w:ascii="Courier New" w:cs="Courier New" w:eastAsia="Courier New" w:hAnsi="Courier New"/>
          <w:sz w:val="16"/>
          <w:szCs w:val="16"/>
          <w:color w:val="auto"/>
        </w:rPr>
      </w:pPr>
    </w:p>
    <w:p>
      <w:pPr>
        <w:jc w:val="both"/>
        <w:ind w:left="1060" w:right="2859" w:hanging="189"/>
        <w:spacing w:after="0" w:line="248" w:lineRule="auto"/>
        <w:tabs>
          <w:tab w:leader="none" w:pos="1060" w:val="left"/>
        </w:tabs>
        <w:numPr>
          <w:ilvl w:val="0"/>
          <w:numId w:val="3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portion of the principal amount of the notes to be purchased, which portion must be $1,000 or an integral multiple thereof; and</w:t>
      </w:r>
    </w:p>
    <w:p>
      <w:pPr>
        <w:spacing w:after="0" w:line="184" w:lineRule="exact"/>
        <w:rPr>
          <w:rFonts w:ascii="Courier New" w:cs="Courier New" w:eastAsia="Courier New" w:hAnsi="Courier New"/>
          <w:sz w:val="16"/>
          <w:szCs w:val="16"/>
          <w:color w:val="auto"/>
        </w:rPr>
      </w:pPr>
    </w:p>
    <w:p>
      <w:pPr>
        <w:ind w:left="1060" w:right="2659" w:hanging="189"/>
        <w:spacing w:after="0" w:line="248" w:lineRule="auto"/>
        <w:tabs>
          <w:tab w:leader="none" w:pos="1060" w:val="left"/>
        </w:tabs>
        <w:numPr>
          <w:ilvl w:val="0"/>
          <w:numId w:val="3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that the notes are to be purchased by us pursuant to the applicable provisions of the notes.</w:t>
      </w:r>
    </w:p>
    <w:p>
      <w:pPr>
        <w:spacing w:after="0" w:line="184" w:lineRule="exact"/>
        <w:rPr>
          <w:sz w:val="20"/>
          <w:szCs w:val="20"/>
          <w:color w:val="auto"/>
        </w:rPr>
      </w:pPr>
    </w:p>
    <w:p>
      <w:pPr>
        <w:ind w:right="2459" w:firstLine="872"/>
        <w:spacing w:after="0" w:line="247" w:lineRule="auto"/>
        <w:rPr>
          <w:sz w:val="20"/>
          <w:szCs w:val="20"/>
          <w:color w:val="auto"/>
        </w:rPr>
      </w:pPr>
      <w:r>
        <w:rPr>
          <w:rFonts w:ascii="Courier New" w:cs="Courier New" w:eastAsia="Courier New" w:hAnsi="Courier New"/>
          <w:sz w:val="16"/>
          <w:szCs w:val="16"/>
          <w:color w:val="auto"/>
        </w:rPr>
        <w:t>Any change in control purchase notice may be withdrawn by the holder by a written notice of withdrawal delivered to the paying agent prior to the close of business on the change in control purchase date. The notice of withdrawal shall state the principal amount and the certificate numbers of the notes as to which the withdrawal notice relates and the principal amount, if any, which remains subject to a change in control purchase notice.</w:t>
      </w:r>
    </w:p>
    <w:p>
      <w:pPr>
        <w:spacing w:after="0" w:line="185" w:lineRule="exact"/>
        <w:rPr>
          <w:sz w:val="20"/>
          <w:szCs w:val="20"/>
          <w:color w:val="auto"/>
        </w:rPr>
      </w:pPr>
    </w:p>
    <w:p>
      <w:pPr>
        <w:ind w:right="2459" w:firstLine="872"/>
        <w:spacing w:after="0" w:line="246" w:lineRule="auto"/>
        <w:rPr>
          <w:sz w:val="20"/>
          <w:szCs w:val="20"/>
          <w:color w:val="auto"/>
        </w:rPr>
      </w:pPr>
      <w:r>
        <w:rPr>
          <w:rFonts w:ascii="Courier New" w:cs="Courier New" w:eastAsia="Courier New" w:hAnsi="Courier New"/>
          <w:sz w:val="16"/>
          <w:szCs w:val="16"/>
          <w:color w:val="auto"/>
        </w:rPr>
        <w:t>Payment of the change in control purchase price for a note for which a change in control purchase notice has been delivered and not withdrawn is conditioned upon delivery of the note to the paying agent or an office or agency maintained by us for that purpose in the Borough of Manhattan, New York, New York, at anytime after the delivery of a change in control purchase notice. Payment of the change in control purchase price for the note will be made promptly following the later of the business day following the change in control purchase date and the time of delivery of the note. If the paying agent holds, in accordance with the terms of the indenture, money sufficient to pay the change in control purchase price of the note on the business day following the change in control purchase date, then, immediately after the change in control purchase date, the note will cease to be outstanding and interest on the note will cease to accrue and will be deemed paid, whether or not the note is delivered to the paying agent, and all other rights of the holder shall terminate, other than the right to receive the change in control purchase price upon delivery of the note.</w:t>
      </w:r>
    </w:p>
    <w:p>
      <w:pPr>
        <w:spacing w:after="0" w:line="195" w:lineRule="exact"/>
        <w:rPr>
          <w:sz w:val="20"/>
          <w:szCs w:val="20"/>
          <w:color w:val="auto"/>
        </w:rPr>
      </w:pPr>
    </w:p>
    <w:p>
      <w:pPr>
        <w:ind w:right="2659" w:firstLine="872"/>
        <w:spacing w:after="0" w:line="248" w:lineRule="auto"/>
        <w:rPr>
          <w:sz w:val="20"/>
          <w:szCs w:val="20"/>
          <w:color w:val="auto"/>
        </w:rPr>
      </w:pPr>
      <w:r>
        <w:rPr>
          <w:rFonts w:ascii="Courier New" w:cs="Courier New" w:eastAsia="Courier New" w:hAnsi="Courier New"/>
          <w:sz w:val="16"/>
          <w:szCs w:val="16"/>
          <w:color w:val="auto"/>
        </w:rPr>
        <w:t>Under the indenture, a "change in control" is deemed to have occurred upon the occurrence of any of the following events:</w:t>
      </w:r>
    </w:p>
    <w:p>
      <w:pPr>
        <w:spacing w:after="0" w:line="184" w:lineRule="exact"/>
        <w:rPr>
          <w:sz w:val="20"/>
          <w:szCs w:val="20"/>
          <w:color w:val="auto"/>
        </w:rPr>
      </w:pPr>
    </w:p>
    <w:p>
      <w:pPr>
        <w:ind w:left="1060" w:right="2459" w:hanging="189"/>
        <w:spacing w:after="0" w:line="247" w:lineRule="auto"/>
        <w:tabs>
          <w:tab w:leader="none" w:pos="1060" w:val="left"/>
        </w:tabs>
        <w:numPr>
          <w:ilvl w:val="0"/>
          <w:numId w:val="39"/>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"person" or "group," other than permitted holder, is or becomes the beneficial owner, directly or indirectly, of more than 40% of our total outstanding voting stock;</w:t>
      </w:r>
    </w:p>
    <w:p>
      <w:pPr>
        <w:spacing w:after="0" w:line="185" w:lineRule="exact"/>
        <w:rPr>
          <w:rFonts w:ascii="Courier New" w:cs="Courier New" w:eastAsia="Courier New" w:hAnsi="Courier New"/>
          <w:sz w:val="16"/>
          <w:szCs w:val="16"/>
          <w:color w:val="auto"/>
        </w:rPr>
      </w:pPr>
    </w:p>
    <w:p>
      <w:pPr>
        <w:ind w:left="1060" w:right="2559" w:hanging="189"/>
        <w:spacing w:after="0" w:line="247" w:lineRule="auto"/>
        <w:tabs>
          <w:tab w:leader="none" w:pos="1060" w:val="left"/>
        </w:tabs>
        <w:numPr>
          <w:ilvl w:val="0"/>
          <w:numId w:val="3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we consolidate with, or merge with or into another person or convey, transfer, lease or otherwise dispose of all or substantially all of our assets to any person, or any person consolidates with or merges with or into us, in any event pursuant to a transaction in which our outstanding voting stock is converted into or exchanged for cash, securities or other property, other than any transaction where:</w:t>
      </w:r>
    </w:p>
    <w:p>
      <w:pPr>
        <w:spacing w:after="0" w:line="185" w:lineRule="exact"/>
        <w:rPr>
          <w:rFonts w:ascii="Courier New" w:cs="Courier New" w:eastAsia="Courier New" w:hAnsi="Courier New"/>
          <w:sz w:val="16"/>
          <w:szCs w:val="16"/>
          <w:color w:val="auto"/>
        </w:rPr>
      </w:pPr>
    </w:p>
    <w:p>
      <w:pPr>
        <w:ind w:left="1460" w:right="2559" w:hanging="395"/>
        <w:spacing w:after="0" w:line="247" w:lineRule="auto"/>
        <w:tabs>
          <w:tab w:leader="none" w:pos="1460" w:val="left"/>
        </w:tabs>
        <w:numPr>
          <w:ilvl w:val="1"/>
          <w:numId w:val="39"/>
        </w:numPr>
        <w:rPr>
          <w:rFonts w:ascii="Courier New" w:cs="Courier New" w:eastAsia="Courier New" w:hAnsi="Courier New"/>
          <w:sz w:val="16"/>
          <w:szCs w:val="16"/>
          <w:color w:val="auto"/>
        </w:rPr>
      </w:pPr>
      <w:r>
        <w:rPr>
          <w:rFonts w:ascii="Courier New" w:cs="Courier New" w:eastAsia="Courier New" w:hAnsi="Courier New"/>
          <w:sz w:val="16"/>
          <w:szCs w:val="16"/>
          <w:color w:val="auto"/>
        </w:rPr>
        <w:t>our voting stock is not converted or exchanged at all, except to the extent necessary to reflect a change in our jurisdiction of incorporation, or in converted into or exchanged for:</w:t>
      </w:r>
    </w:p>
    <w:p>
      <w:pPr>
        <w:spacing w:after="0" w:line="185" w:lineRule="exact"/>
        <w:rPr>
          <w:rFonts w:ascii="Courier New" w:cs="Courier New" w:eastAsia="Courier New" w:hAnsi="Courier New"/>
          <w:sz w:val="16"/>
          <w:szCs w:val="16"/>
          <w:color w:val="auto"/>
        </w:rPr>
      </w:pPr>
    </w:p>
    <w:p>
      <w:pPr>
        <w:ind w:left="2140" w:right="2559" w:hanging="396"/>
        <w:spacing w:after="0" w:line="248" w:lineRule="auto"/>
        <w:tabs>
          <w:tab w:leader="none" w:pos="2140" w:val="left"/>
        </w:tabs>
        <w:numPr>
          <w:ilvl w:val="2"/>
          <w:numId w:val="39"/>
        </w:numPr>
        <w:rPr>
          <w:rFonts w:ascii="Courier New" w:cs="Courier New" w:eastAsia="Courier New" w:hAnsi="Courier New"/>
          <w:sz w:val="16"/>
          <w:szCs w:val="16"/>
          <w:color w:val="auto"/>
        </w:rPr>
      </w:pPr>
      <w:r>
        <w:rPr>
          <w:rFonts w:ascii="Courier New" w:cs="Courier New" w:eastAsia="Courier New" w:hAnsi="Courier New"/>
          <w:sz w:val="16"/>
          <w:szCs w:val="16"/>
          <w:color w:val="auto"/>
        </w:rPr>
        <w:t>voting stock, other than redeemable capital stock, of the surviving or transferee corporation or</w:t>
      </w:r>
    </w:p>
    <w:p>
      <w:pPr>
        <w:spacing w:after="0" w:line="184" w:lineRule="exact"/>
        <w:rPr>
          <w:rFonts w:ascii="Courier New" w:cs="Courier New" w:eastAsia="Courier New" w:hAnsi="Courier New"/>
          <w:sz w:val="16"/>
          <w:szCs w:val="16"/>
          <w:color w:val="auto"/>
        </w:rPr>
      </w:pPr>
    </w:p>
    <w:p>
      <w:pPr>
        <w:ind w:left="2140" w:right="2559" w:hanging="396"/>
        <w:spacing w:after="0" w:line="248" w:lineRule="auto"/>
        <w:tabs>
          <w:tab w:leader="none" w:pos="2140" w:val="left"/>
        </w:tabs>
        <w:numPr>
          <w:ilvl w:val="2"/>
          <w:numId w:val="39"/>
        </w:numPr>
        <w:rPr>
          <w:rFonts w:ascii="Courier New" w:cs="Courier New" w:eastAsia="Courier New" w:hAnsi="Courier New"/>
          <w:sz w:val="16"/>
          <w:szCs w:val="16"/>
          <w:color w:val="auto"/>
        </w:rPr>
      </w:pPr>
      <w:r>
        <w:rPr>
          <w:rFonts w:ascii="Courier New" w:cs="Courier New" w:eastAsia="Courier New" w:hAnsi="Courier New"/>
          <w:sz w:val="16"/>
          <w:szCs w:val="16"/>
          <w:color w:val="auto"/>
        </w:rPr>
        <w:t>voting stock, other than redeemable capital stock, of the surviving or transferee corporation, and</w:t>
      </w:r>
    </w:p>
    <w:p>
      <w:pPr>
        <w:spacing w:after="0" w:line="184" w:lineRule="exact"/>
        <w:rPr>
          <w:rFonts w:ascii="Courier New" w:cs="Courier New" w:eastAsia="Courier New" w:hAnsi="Courier New"/>
          <w:sz w:val="16"/>
          <w:szCs w:val="16"/>
          <w:color w:val="auto"/>
        </w:rPr>
      </w:pPr>
    </w:p>
    <w:p>
      <w:pPr>
        <w:ind w:left="1460" w:right="2459" w:hanging="395"/>
        <w:spacing w:after="0" w:line="247" w:lineRule="auto"/>
        <w:tabs>
          <w:tab w:leader="none" w:pos="1460" w:val="left"/>
        </w:tabs>
        <w:numPr>
          <w:ilvl w:val="1"/>
          <w:numId w:val="39"/>
        </w:numPr>
        <w:rPr>
          <w:rFonts w:ascii="Courier New" w:cs="Courier New" w:eastAsia="Courier New" w:hAnsi="Courier New"/>
          <w:sz w:val="16"/>
          <w:szCs w:val="16"/>
          <w:color w:val="auto"/>
        </w:rPr>
      </w:pPr>
      <w:r>
        <w:rPr>
          <w:rFonts w:ascii="Courier New" w:cs="Courier New" w:eastAsia="Courier New" w:hAnsi="Courier New"/>
          <w:sz w:val="16"/>
          <w:szCs w:val="16"/>
          <w:color w:val="auto"/>
        </w:rPr>
        <w:t>immediately after the transaction, no "person" or "group" is the beneficial owner, directly or indirectly, of more than 40% of our total outstanding voting stock of the surviving or transferee corporation;</w:t>
      </w:r>
    </w:p>
    <w:p>
      <w:pPr>
        <w:spacing w:after="0" w:line="185" w:lineRule="exact"/>
        <w:rPr>
          <w:rFonts w:ascii="Courier New" w:cs="Courier New" w:eastAsia="Courier New" w:hAnsi="Courier New"/>
          <w:sz w:val="16"/>
          <w:szCs w:val="16"/>
          <w:color w:val="auto"/>
        </w:rPr>
      </w:pPr>
    </w:p>
    <w:p>
      <w:pPr>
        <w:ind w:left="1060" w:right="2459" w:hanging="189"/>
        <w:spacing w:after="0" w:line="246" w:lineRule="auto"/>
        <w:tabs>
          <w:tab w:leader="none" w:pos="1060" w:val="left"/>
        </w:tabs>
        <w:numPr>
          <w:ilvl w:val="0"/>
          <w:numId w:val="39"/>
        </w:numPr>
        <w:rPr>
          <w:rFonts w:ascii="Courier New" w:cs="Courier New" w:eastAsia="Courier New" w:hAnsi="Courier New"/>
          <w:sz w:val="16"/>
          <w:szCs w:val="16"/>
          <w:color w:val="auto"/>
        </w:rPr>
      </w:pPr>
      <w:r>
        <w:rPr>
          <w:rFonts w:ascii="Courier New" w:cs="Courier New" w:eastAsia="Courier New" w:hAnsi="Courier New"/>
          <w:sz w:val="16"/>
          <w:szCs w:val="16"/>
          <w:color w:val="auto"/>
        </w:rPr>
        <w:t>during any consecutive two-year period, individuals who at the beginning of that period constituted our board of directors, together with any new directors whose election to our board of directors, or whose nomination for election by our stockholders, was approved by a vote of 66-2/3% of the directors then still in office who were either directors at the beginning of the period or whose election or nomination for election was previously so approved, cease for any reason to constitute a majority of our board of directors then in office; or</w:t>
      </w:r>
    </w:p>
    <w:p>
      <w:pPr>
        <w:sectPr>
          <w:pgSz w:w="11900" w:h="16838" w:orient="portrait"/>
          <w:cols w:equalWidth="0" w:num="1">
            <w:col w:w="10219"/>
          </w:cols>
          <w:pgMar w:left="240" w:top="303" w:right="1440" w:bottom="695" w:gutter="0" w:footer="0" w:header="0"/>
        </w:sectPr>
      </w:pPr>
    </w:p>
    <w:p>
      <w:pPr>
        <w:spacing w:after="0" w:line="378"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27</w:t>
      </w:r>
    </w:p>
    <w:p>
      <w:pPr>
        <w:sectPr>
          <w:pgSz w:w="11900" w:h="16838" w:orient="portrait"/>
          <w:cols w:equalWidth="0" w:num="1">
            <w:col w:w="10219"/>
          </w:cols>
          <w:pgMar w:left="240" w:top="303" w:right="1440" w:bottom="695" w:gutter="0" w:footer="0" w:header="0"/>
          <w:type w:val="continuous"/>
        </w:sectPr>
      </w:pPr>
    </w:p>
    <w:bookmarkStart w:id="32" w:name="page33"/>
    <w:bookmarkEnd w:id="32"/>
    <w:p>
      <w:pPr>
        <w:ind w:left="300"/>
        <w:spacing w:after="0"/>
        <w:rPr>
          <w:sz w:val="20"/>
          <w:szCs w:val="20"/>
          <w:color w:val="auto"/>
        </w:rPr>
      </w:pPr>
      <w:r>
        <w:rPr>
          <w:rFonts w:ascii="Courier New" w:cs="Courier New" w:eastAsia="Courier New" w:hAnsi="Courier New"/>
          <w:sz w:val="16"/>
          <w:szCs w:val="16"/>
          <w:color w:val="auto"/>
        </w:rPr>
        <w:t>28</w:t>
      </w:r>
    </w:p>
    <w:p>
      <w:pPr>
        <w:spacing w:after="0" w:line="191" w:lineRule="exact"/>
        <w:rPr>
          <w:sz w:val="20"/>
          <w:szCs w:val="20"/>
          <w:color w:val="auto"/>
        </w:rPr>
      </w:pPr>
    </w:p>
    <w:p>
      <w:pPr>
        <w:ind w:left="1060" w:right="2659" w:hanging="189"/>
        <w:spacing w:after="0" w:line="247" w:lineRule="auto"/>
        <w:tabs>
          <w:tab w:leader="none" w:pos="1060" w:val="left"/>
        </w:tabs>
        <w:numPr>
          <w:ilvl w:val="0"/>
          <w:numId w:val="4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we are liquidated or dissolved or a special resolution is passed by our stockholders approving the plan of liquidation or dissolution other than in a transaction that complies with the provisions described in the indenture.</w:t>
      </w:r>
    </w:p>
    <w:p>
      <w:pPr>
        <w:spacing w:after="0" w:line="186" w:lineRule="exact"/>
        <w:rPr>
          <w:sz w:val="20"/>
          <w:szCs w:val="20"/>
          <w:color w:val="auto"/>
        </w:rPr>
      </w:pPr>
    </w:p>
    <w:p>
      <w:pPr>
        <w:ind w:right="2459"/>
        <w:spacing w:after="0" w:line="246" w:lineRule="auto"/>
        <w:rPr>
          <w:sz w:val="20"/>
          <w:szCs w:val="20"/>
          <w:color w:val="auto"/>
        </w:rPr>
      </w:pPr>
      <w:r>
        <w:rPr>
          <w:rFonts w:ascii="Courier New" w:cs="Courier New" w:eastAsia="Courier New" w:hAnsi="Courier New"/>
          <w:sz w:val="16"/>
          <w:szCs w:val="16"/>
          <w:color w:val="auto"/>
        </w:rPr>
        <w:t>"Redeemable capital stock" means any class or series of capital stock that, either by its terms, by the terms of any security into which it is convertible or exchangeable or by contract or otherwise, is, or upon the happening of an event or passage of time would be, required to be redeemed prior to the final stated maturity of the notes or is redeemable at the option of the holder thereof at any time prior to the final stated maturity, or is convertible into or exchangeable for debt securities at anytime prior to the final stated maturity; provided, however, that redeemable capital stock shall not include any of our common stock the holder of which has a right to put to us upon terminations of employment.</w:t>
      </w:r>
    </w:p>
    <w:p>
      <w:pPr>
        <w:spacing w:after="0" w:line="192" w:lineRule="exact"/>
        <w:rPr>
          <w:sz w:val="20"/>
          <w:szCs w:val="20"/>
          <w:color w:val="auto"/>
        </w:rPr>
      </w:pPr>
    </w:p>
    <w:p>
      <w:pPr>
        <w:ind w:right="2859" w:firstLine="872"/>
        <w:spacing w:after="0" w:line="247" w:lineRule="auto"/>
        <w:rPr>
          <w:sz w:val="20"/>
          <w:szCs w:val="20"/>
          <w:color w:val="auto"/>
        </w:rPr>
      </w:pPr>
      <w:r>
        <w:rPr>
          <w:rFonts w:ascii="Courier New" w:cs="Courier New" w:eastAsia="Courier New" w:hAnsi="Courier New"/>
          <w:sz w:val="16"/>
          <w:szCs w:val="16"/>
          <w:color w:val="auto"/>
        </w:rPr>
        <w:t>The indenture does not permit our board of directors to waive our obligation to purchase the notes at the option of a holder in the event of a change in control.</w:t>
      </w:r>
    </w:p>
    <w:p>
      <w:pPr>
        <w:spacing w:after="0" w:line="186" w:lineRule="exact"/>
        <w:rPr>
          <w:sz w:val="20"/>
          <w:szCs w:val="20"/>
          <w:color w:val="auto"/>
        </w:rPr>
      </w:pPr>
    </w:p>
    <w:p>
      <w:pPr>
        <w:ind w:right="2459" w:firstLine="872"/>
        <w:spacing w:after="0" w:line="246" w:lineRule="auto"/>
        <w:rPr>
          <w:sz w:val="20"/>
          <w:szCs w:val="20"/>
          <w:color w:val="auto"/>
        </w:rPr>
      </w:pPr>
      <w:r>
        <w:rPr>
          <w:rFonts w:ascii="Courier New" w:cs="Courier New" w:eastAsia="Courier New" w:hAnsi="Courier New"/>
          <w:sz w:val="16"/>
          <w:szCs w:val="16"/>
          <w:color w:val="auto"/>
        </w:rPr>
        <w:t>We will comply with the tender offer rules under the Securities Exchange Act of 1934 which may then be applicable, and will file Schedule 13E-4 or any other schedule required thereunder in connection with any offer by us to purchase the notes at the option of the holders thereof upon a change in control. In some circumstances, the change in control purchase feature of the notes may make more difficult or discourage a takeover of us and, thus, the removal of incumbent management. The change in control purchase feature, however, is not the result of our knowledge of any specific effort to accumulate shares of our common stock or to obtain control of us by means of a merger, tender offer, solicitation or otherwise, or part of a plan by management to adopt a series of anti-takeover provisions. Instead, the change in control purchase feature is the result from negotiations between us and the initial purchasers.</w:t>
      </w:r>
    </w:p>
    <w:p>
      <w:pPr>
        <w:spacing w:after="0" w:line="194" w:lineRule="exact"/>
        <w:rPr>
          <w:sz w:val="20"/>
          <w:szCs w:val="20"/>
          <w:color w:val="auto"/>
        </w:rPr>
      </w:pPr>
    </w:p>
    <w:p>
      <w:pPr>
        <w:ind w:right="2459" w:firstLine="872"/>
        <w:spacing w:after="0" w:line="246" w:lineRule="auto"/>
        <w:rPr>
          <w:sz w:val="20"/>
          <w:szCs w:val="20"/>
          <w:color w:val="auto"/>
        </w:rPr>
      </w:pPr>
      <w:r>
        <w:rPr>
          <w:rFonts w:ascii="Courier New" w:cs="Courier New" w:eastAsia="Courier New" w:hAnsi="Courier New"/>
          <w:sz w:val="16"/>
          <w:szCs w:val="16"/>
          <w:color w:val="auto"/>
        </w:rPr>
        <w:t>If a change in control were to occur, there can be no assurance that we would have funds sufficient to pay the change in control purchase price for all of the notes that might be delivered by holders seeking to exercise the purchase right, because we or our subsidiaries might also be required to prepay indebtedness or obligations having financial covenants with change of control provisions in favor of the holders thereof. In addition, our other indebtedness may have cross-default provisions that could be triggered by a default under the change in control provisions thereby possibly accelerating the maturity of the indebtedness. In that case, the holders of the notes would be subordinated to the prior claims of the holders of the indebtedness. In addition, our ability to purchase the notes with cash may be limited by the terms of our then-existing borrowing agreements. None of the notes may be purchased pursuant to the provisions described above if there has occurred and is continuing an event of default.</w:t>
      </w:r>
    </w:p>
    <w:p>
      <w:pPr>
        <w:spacing w:after="0" w:line="19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CONSOLIDATION, MERGER AND SALE OR LEASE OF ASSETS</w:t>
      </w:r>
    </w:p>
    <w:p>
      <w:pPr>
        <w:spacing w:after="0" w:line="191" w:lineRule="exact"/>
        <w:rPr>
          <w:sz w:val="20"/>
          <w:szCs w:val="20"/>
          <w:color w:val="auto"/>
        </w:rPr>
      </w:pPr>
    </w:p>
    <w:p>
      <w:pPr>
        <w:ind w:right="2459" w:firstLine="872"/>
        <w:spacing w:after="0" w:line="246" w:lineRule="auto"/>
        <w:rPr>
          <w:sz w:val="20"/>
          <w:szCs w:val="20"/>
          <w:color w:val="auto"/>
        </w:rPr>
      </w:pPr>
      <w:r>
        <w:rPr>
          <w:rFonts w:ascii="Courier New" w:cs="Courier New" w:eastAsia="Courier New" w:hAnsi="Courier New"/>
          <w:sz w:val="16"/>
          <w:szCs w:val="16"/>
          <w:color w:val="auto"/>
        </w:rPr>
        <w:t>We, without the consent of any holders of the outstanding notes, are entitled to consolidate with or merge into or transfer or lease its assets substantially as an entirety to, any individual, corporation, partnership, limited liability company, joint venture, association joint-stock company, trust, unincorporated organization or government or any agency or political subdivision thereof, each a person, and any person is entitled to consolidate with or merge into, or transfer or lease its assets substantially as an entirety to us, provided that:</w:t>
      </w:r>
    </w:p>
    <w:p>
      <w:pPr>
        <w:spacing w:after="0" w:line="191" w:lineRule="exact"/>
        <w:rPr>
          <w:sz w:val="20"/>
          <w:szCs w:val="20"/>
          <w:color w:val="auto"/>
        </w:rPr>
      </w:pPr>
    </w:p>
    <w:p>
      <w:pPr>
        <w:ind w:left="1060" w:right="2459" w:hanging="189"/>
        <w:spacing w:after="0" w:line="247" w:lineRule="auto"/>
        <w:tabs>
          <w:tab w:leader="none" w:pos="1060" w:val="left"/>
        </w:tabs>
        <w:numPr>
          <w:ilvl w:val="0"/>
          <w:numId w:val="4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person formed by the consolidation or into which we are merged or the person which acquires or leases our assets substantially as an entirety is a corporation, partnership, limited liability company or trust organized and existing under the laws of any United States jurisdiction and expressly assumes our obligations on the notes and under the indenture;</w:t>
      </w:r>
    </w:p>
    <w:p>
      <w:pPr>
        <w:spacing w:after="0" w:line="185" w:lineRule="exact"/>
        <w:rPr>
          <w:rFonts w:ascii="Courier New" w:cs="Courier New" w:eastAsia="Courier New" w:hAnsi="Courier New"/>
          <w:sz w:val="16"/>
          <w:szCs w:val="16"/>
          <w:color w:val="auto"/>
        </w:rPr>
      </w:pPr>
    </w:p>
    <w:p>
      <w:pPr>
        <w:ind w:left="1060" w:right="2659" w:hanging="189"/>
        <w:spacing w:after="0" w:line="247" w:lineRule="auto"/>
        <w:tabs>
          <w:tab w:leader="none" w:pos="1060" w:val="left"/>
        </w:tabs>
        <w:numPr>
          <w:ilvl w:val="0"/>
          <w:numId w:val="41"/>
        </w:numPr>
        <w:rPr>
          <w:rFonts w:ascii="Courier New" w:cs="Courier New" w:eastAsia="Courier New" w:hAnsi="Courier New"/>
          <w:sz w:val="16"/>
          <w:szCs w:val="16"/>
          <w:color w:val="auto"/>
        </w:rPr>
      </w:pPr>
      <w:r>
        <w:rPr>
          <w:rFonts w:ascii="Courier New" w:cs="Courier New" w:eastAsia="Courier New" w:hAnsi="Courier New"/>
          <w:sz w:val="16"/>
          <w:szCs w:val="16"/>
          <w:color w:val="auto"/>
        </w:rPr>
        <w:t>immediately after giving effect to the transaction, no event of default, and no event which, after notice or lapse of time or both, would become an event of default, happened and is continuing; and</w:t>
      </w:r>
    </w:p>
    <w:p>
      <w:pPr>
        <w:spacing w:after="0" w:line="185" w:lineRule="exact"/>
        <w:rPr>
          <w:rFonts w:ascii="Courier New" w:cs="Courier New" w:eastAsia="Courier New" w:hAnsi="Courier New"/>
          <w:sz w:val="16"/>
          <w:szCs w:val="16"/>
          <w:color w:val="auto"/>
        </w:rPr>
      </w:pPr>
    </w:p>
    <w:p>
      <w:pPr>
        <w:ind w:left="1060" w:hanging="189"/>
        <w:spacing w:after="0"/>
        <w:tabs>
          <w:tab w:leader="none" w:pos="1060" w:val="left"/>
        </w:tabs>
        <w:numPr>
          <w:ilvl w:val="0"/>
          <w:numId w:val="41"/>
        </w:numPr>
        <w:rPr>
          <w:rFonts w:ascii="Courier New" w:cs="Courier New" w:eastAsia="Courier New" w:hAnsi="Courier New"/>
          <w:sz w:val="16"/>
          <w:szCs w:val="16"/>
          <w:color w:val="auto"/>
        </w:rPr>
      </w:pPr>
      <w:r>
        <w:rPr>
          <w:rFonts w:ascii="Courier New" w:cs="Courier New" w:eastAsia="Courier New" w:hAnsi="Courier New"/>
          <w:sz w:val="16"/>
          <w:szCs w:val="16"/>
          <w:color w:val="auto"/>
        </w:rPr>
        <w:t>other conditions described in the indenture are met.</w:t>
      </w:r>
    </w:p>
    <w:p>
      <w:pPr>
        <w:spacing w:after="0" w:line="19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EVENTS OF DEFAULT; NOTICE AND WAIVER</w:t>
      </w:r>
    </w:p>
    <w:p>
      <w:pPr>
        <w:spacing w:after="0" w:line="191" w:lineRule="exact"/>
        <w:rPr>
          <w:sz w:val="20"/>
          <w:szCs w:val="20"/>
          <w:color w:val="auto"/>
        </w:rPr>
      </w:pPr>
    </w:p>
    <w:p>
      <w:pPr>
        <w:jc w:val="both"/>
        <w:ind w:right="2759" w:firstLine="872"/>
        <w:spacing w:after="0" w:line="247" w:lineRule="auto"/>
        <w:rPr>
          <w:sz w:val="20"/>
          <w:szCs w:val="20"/>
          <w:color w:val="auto"/>
        </w:rPr>
      </w:pPr>
      <w:r>
        <w:rPr>
          <w:rFonts w:ascii="Courier New" w:cs="Courier New" w:eastAsia="Courier New" w:hAnsi="Courier New"/>
          <w:sz w:val="16"/>
          <w:szCs w:val="16"/>
          <w:color w:val="auto"/>
        </w:rPr>
        <w:t>The indenture provides that, if an event of default specified in the indenture occurs and is continuing, either the trustee or the holders of not less than 25% in aggregate principal amount of the notes then outstanding may declare the</w:t>
      </w:r>
    </w:p>
    <w:p>
      <w:pPr>
        <w:spacing w:after="0" w:line="372"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28</w:t>
      </w:r>
    </w:p>
    <w:p>
      <w:pPr>
        <w:sectPr>
          <w:pgSz w:w="11900" w:h="16838" w:orient="portrait"/>
          <w:cols w:equalWidth="0" w:num="1">
            <w:col w:w="10219"/>
          </w:cols>
          <w:pgMar w:left="240" w:top="303" w:right="1440" w:bottom="322" w:gutter="0" w:footer="0" w:header="0"/>
        </w:sectPr>
      </w:pPr>
    </w:p>
    <w:bookmarkStart w:id="33" w:name="page34"/>
    <w:bookmarkEnd w:id="33"/>
    <w:p>
      <w:pPr>
        <w:ind w:left="300"/>
        <w:spacing w:after="0"/>
        <w:rPr>
          <w:sz w:val="20"/>
          <w:szCs w:val="20"/>
          <w:color w:val="auto"/>
        </w:rPr>
      </w:pPr>
      <w:r>
        <w:rPr>
          <w:rFonts w:ascii="Courier New" w:cs="Courier New" w:eastAsia="Courier New" w:hAnsi="Courier New"/>
          <w:sz w:val="16"/>
          <w:szCs w:val="16"/>
          <w:color w:val="auto"/>
        </w:rPr>
        <w:t>29</w:t>
      </w:r>
    </w:p>
    <w:p>
      <w:pPr>
        <w:spacing w:after="0" w:line="191" w:lineRule="exact"/>
        <w:rPr>
          <w:sz w:val="20"/>
          <w:szCs w:val="20"/>
          <w:color w:val="auto"/>
        </w:rPr>
      </w:pPr>
    </w:p>
    <w:p>
      <w:pPr>
        <w:ind w:right="2559"/>
        <w:spacing w:after="0" w:line="247" w:lineRule="auto"/>
        <w:rPr>
          <w:sz w:val="20"/>
          <w:szCs w:val="20"/>
          <w:color w:val="auto"/>
        </w:rPr>
      </w:pPr>
      <w:r>
        <w:rPr>
          <w:rFonts w:ascii="Courier New" w:cs="Courier New" w:eastAsia="Courier New" w:hAnsi="Courier New"/>
          <w:sz w:val="16"/>
          <w:szCs w:val="16"/>
          <w:color w:val="auto"/>
        </w:rPr>
        <w:t>principal amount of and accrued interest to the date of the declaration of all the notes to be immediately due and payable. In the case of some events of bankruptcy or insolvency, the principal amount of and accrued interest on all the notes to the date of the occurrence of the event shall automatically become and be immediately due and payable. Upon any acceleration, the subordination provisions of the Indenture preclude any payment being made to holders of the notes until the earlier of:</w:t>
      </w:r>
    </w:p>
    <w:p>
      <w:pPr>
        <w:spacing w:after="0" w:line="185" w:lineRule="exact"/>
        <w:rPr>
          <w:sz w:val="20"/>
          <w:szCs w:val="20"/>
          <w:color w:val="auto"/>
        </w:rPr>
      </w:pPr>
    </w:p>
    <w:p>
      <w:pPr>
        <w:ind w:left="1060" w:hanging="189"/>
        <w:spacing w:after="0"/>
        <w:tabs>
          <w:tab w:leader="none" w:pos="1060" w:val="left"/>
        </w:tabs>
        <w:numPr>
          <w:ilvl w:val="0"/>
          <w:numId w:val="42"/>
        </w:numPr>
        <w:rPr>
          <w:rFonts w:ascii="Courier New" w:cs="Courier New" w:eastAsia="Courier New" w:hAnsi="Courier New"/>
          <w:sz w:val="16"/>
          <w:szCs w:val="16"/>
          <w:color w:val="auto"/>
        </w:rPr>
      </w:pPr>
      <w:r>
        <w:rPr>
          <w:rFonts w:ascii="Courier New" w:cs="Courier New" w:eastAsia="Courier New" w:hAnsi="Courier New"/>
          <w:sz w:val="16"/>
          <w:szCs w:val="16"/>
          <w:color w:val="auto"/>
        </w:rPr>
        <w:t>120 days or more after the date of the acceleration; and</w:t>
      </w:r>
    </w:p>
    <w:p>
      <w:pPr>
        <w:spacing w:after="0" w:line="191" w:lineRule="exact"/>
        <w:rPr>
          <w:rFonts w:ascii="Courier New" w:cs="Courier New" w:eastAsia="Courier New" w:hAnsi="Courier New"/>
          <w:sz w:val="16"/>
          <w:szCs w:val="16"/>
          <w:color w:val="auto"/>
        </w:rPr>
      </w:pPr>
    </w:p>
    <w:p>
      <w:pPr>
        <w:ind w:left="1060" w:right="2459" w:hanging="189"/>
        <w:spacing w:after="0" w:line="248" w:lineRule="auto"/>
        <w:tabs>
          <w:tab w:leader="none" w:pos="1060" w:val="left"/>
        </w:tabs>
        <w:numPr>
          <w:ilvl w:val="0"/>
          <w:numId w:val="4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payment in full of all senior indebtedness, but only if the payment is then otherwise permitted under the terms of the indenture.</w:t>
      </w:r>
    </w:p>
    <w:p>
      <w:pPr>
        <w:spacing w:after="0" w:line="184" w:lineRule="exact"/>
        <w:rPr>
          <w:sz w:val="20"/>
          <w:szCs w:val="20"/>
          <w:color w:val="auto"/>
        </w:rPr>
      </w:pPr>
    </w:p>
    <w:p>
      <w:pPr>
        <w:ind w:right="2459"/>
        <w:spacing w:after="0" w:line="247" w:lineRule="auto"/>
        <w:rPr>
          <w:sz w:val="20"/>
          <w:szCs w:val="20"/>
          <w:color w:val="auto"/>
        </w:rPr>
      </w:pPr>
      <w:r>
        <w:rPr>
          <w:rFonts w:ascii="Courier New" w:cs="Courier New" w:eastAsia="Courier New" w:hAnsi="Courier New"/>
          <w:sz w:val="16"/>
          <w:szCs w:val="16"/>
          <w:color w:val="auto"/>
        </w:rPr>
        <w:t>Under some circumstances, the holders of a majority in aggregate principal amount of the outstanding notes may rescind any acceleration with respect to the notes and its consequences. Interest shall accrue and be payable on demand upon a default in the payment of principal interest when due, redemption price, change in control purchase price or shares of our common stock, or cash in lieu of fractional shares to be delivered on conversion of the notes, in each case to the extent that the payment of the interest shall be legally enforceable.</w:t>
      </w:r>
    </w:p>
    <w:p>
      <w:pPr>
        <w:spacing w:after="0" w:line="185" w:lineRule="exact"/>
        <w:rPr>
          <w:sz w:val="20"/>
          <w:szCs w:val="20"/>
          <w:color w:val="auto"/>
        </w:rPr>
      </w:pPr>
    </w:p>
    <w:p>
      <w:pPr>
        <w:ind w:left="880"/>
        <w:spacing w:after="0"/>
        <w:rPr>
          <w:sz w:val="20"/>
          <w:szCs w:val="20"/>
          <w:color w:val="auto"/>
        </w:rPr>
      </w:pPr>
      <w:r>
        <w:rPr>
          <w:rFonts w:ascii="Courier New" w:cs="Courier New" w:eastAsia="Courier New" w:hAnsi="Courier New"/>
          <w:sz w:val="16"/>
          <w:szCs w:val="16"/>
          <w:color w:val="auto"/>
        </w:rPr>
        <w:t>Under the indenture, events of default include:</w:t>
      </w:r>
    </w:p>
    <w:p>
      <w:pPr>
        <w:spacing w:after="0" w:line="191" w:lineRule="exact"/>
        <w:rPr>
          <w:sz w:val="20"/>
          <w:szCs w:val="20"/>
          <w:color w:val="auto"/>
        </w:rPr>
      </w:pPr>
    </w:p>
    <w:p>
      <w:pPr>
        <w:ind w:left="1060" w:right="2459" w:hanging="189"/>
        <w:spacing w:after="0" w:line="247" w:lineRule="auto"/>
        <w:tabs>
          <w:tab w:leader="none" w:pos="1060" w:val="left"/>
        </w:tabs>
        <w:numPr>
          <w:ilvl w:val="0"/>
          <w:numId w:val="43"/>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default in payment of the principal amount, interest when due, if the default in payment of interest shall continue for 31 days, redemption price, or change in control purchase price with respect to any note, when the same becomes due and payable;</w:t>
      </w:r>
    </w:p>
    <w:p>
      <w:pPr>
        <w:spacing w:after="0" w:line="185" w:lineRule="exact"/>
        <w:rPr>
          <w:rFonts w:ascii="Courier New" w:cs="Courier New" w:eastAsia="Courier New" w:hAnsi="Courier New"/>
          <w:sz w:val="16"/>
          <w:szCs w:val="16"/>
          <w:color w:val="auto"/>
        </w:rPr>
      </w:pPr>
    </w:p>
    <w:p>
      <w:pPr>
        <w:ind w:left="1060" w:right="2559" w:hanging="189"/>
        <w:spacing w:after="0" w:line="247" w:lineRule="auto"/>
        <w:tabs>
          <w:tab w:leader="none" w:pos="1060" w:val="left"/>
        </w:tabs>
        <w:numPr>
          <w:ilvl w:val="0"/>
          <w:numId w:val="43"/>
        </w:numPr>
        <w:rPr>
          <w:rFonts w:ascii="Courier New" w:cs="Courier New" w:eastAsia="Courier New" w:hAnsi="Courier New"/>
          <w:sz w:val="16"/>
          <w:szCs w:val="16"/>
          <w:color w:val="auto"/>
        </w:rPr>
      </w:pPr>
      <w:r>
        <w:rPr>
          <w:rFonts w:ascii="Courier New" w:cs="Courier New" w:eastAsia="Courier New" w:hAnsi="Courier New"/>
          <w:sz w:val="16"/>
          <w:szCs w:val="16"/>
          <w:color w:val="auto"/>
        </w:rPr>
        <w:t>failure by us to deliver shares of our common stock when our common stock is required to be delivered following the conversion of a note and continuation of the default for 10 days;</w:t>
      </w:r>
    </w:p>
    <w:p>
      <w:pPr>
        <w:spacing w:after="0" w:line="185" w:lineRule="exact"/>
        <w:rPr>
          <w:rFonts w:ascii="Courier New" w:cs="Courier New" w:eastAsia="Courier New" w:hAnsi="Courier New"/>
          <w:sz w:val="16"/>
          <w:szCs w:val="16"/>
          <w:color w:val="auto"/>
        </w:rPr>
      </w:pPr>
    </w:p>
    <w:p>
      <w:pPr>
        <w:ind w:left="1060" w:right="2459" w:hanging="189"/>
        <w:spacing w:after="0" w:line="247" w:lineRule="auto"/>
        <w:tabs>
          <w:tab w:leader="none" w:pos="1060" w:val="left"/>
        </w:tabs>
        <w:numPr>
          <w:ilvl w:val="0"/>
          <w:numId w:val="43"/>
        </w:numPr>
        <w:rPr>
          <w:rFonts w:ascii="Courier New" w:cs="Courier New" w:eastAsia="Courier New" w:hAnsi="Courier New"/>
          <w:sz w:val="16"/>
          <w:szCs w:val="16"/>
          <w:color w:val="auto"/>
        </w:rPr>
      </w:pPr>
      <w:r>
        <w:rPr>
          <w:rFonts w:ascii="Courier New" w:cs="Courier New" w:eastAsia="Courier New" w:hAnsi="Courier New"/>
          <w:sz w:val="16"/>
          <w:szCs w:val="16"/>
          <w:color w:val="auto"/>
        </w:rPr>
        <w:t>failure by us to comply with any of our other agreements in the notes or the indenture upon our receipt of notice of our default from the trustee or from holders of not less than 25% in aggregate principal amount of the notes then outstanding and our failure to cure the default within 90 days after our receipt of the notice;</w:t>
      </w:r>
    </w:p>
    <w:p>
      <w:pPr>
        <w:spacing w:after="0" w:line="185" w:lineRule="exact"/>
        <w:rPr>
          <w:rFonts w:ascii="Courier New" w:cs="Courier New" w:eastAsia="Courier New" w:hAnsi="Courier New"/>
          <w:sz w:val="16"/>
          <w:szCs w:val="16"/>
          <w:color w:val="auto"/>
        </w:rPr>
      </w:pPr>
    </w:p>
    <w:p>
      <w:pPr>
        <w:ind w:left="1060" w:right="2459" w:hanging="189"/>
        <w:spacing w:after="0" w:line="246" w:lineRule="auto"/>
        <w:tabs>
          <w:tab w:leader="none" w:pos="1060" w:val="left"/>
        </w:tabs>
        <w:numPr>
          <w:ilvl w:val="0"/>
          <w:numId w:val="43"/>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default under any bond, note or other evidence of indebtedness for money borrowed by us having an aggregate outstanding principal amount of in excess $10 million, which default shall have resulted in the indebtedness being accelerated, without the indebtedness being discharged or the acceleration having been rescinded or annulled within 20 days after receipt of notice thereof by us from the trustee or us and the trustee from the holders of not less than 25% in aggregate principal amount of the notes then outstanding; or</w:t>
      </w:r>
    </w:p>
    <w:p>
      <w:pPr>
        <w:spacing w:after="0" w:line="190" w:lineRule="exact"/>
        <w:rPr>
          <w:rFonts w:ascii="Courier New" w:cs="Courier New" w:eastAsia="Courier New" w:hAnsi="Courier New"/>
          <w:sz w:val="16"/>
          <w:szCs w:val="16"/>
          <w:color w:val="auto"/>
        </w:rPr>
      </w:pPr>
    </w:p>
    <w:p>
      <w:pPr>
        <w:ind w:left="1060" w:hanging="189"/>
        <w:spacing w:after="0"/>
        <w:tabs>
          <w:tab w:leader="none" w:pos="1060" w:val="left"/>
        </w:tabs>
        <w:numPr>
          <w:ilvl w:val="0"/>
          <w:numId w:val="43"/>
        </w:numPr>
        <w:rPr>
          <w:rFonts w:ascii="Courier New" w:cs="Courier New" w:eastAsia="Courier New" w:hAnsi="Courier New"/>
          <w:sz w:val="16"/>
          <w:szCs w:val="16"/>
          <w:color w:val="auto"/>
        </w:rPr>
      </w:pPr>
      <w:r>
        <w:rPr>
          <w:rFonts w:ascii="Courier New" w:cs="Courier New" w:eastAsia="Courier New" w:hAnsi="Courier New"/>
          <w:sz w:val="16"/>
          <w:szCs w:val="16"/>
          <w:color w:val="auto"/>
        </w:rPr>
        <w:t>some events of bankruptcy or insolvency.</w:t>
      </w:r>
    </w:p>
    <w:p>
      <w:pPr>
        <w:spacing w:after="0" w:line="191" w:lineRule="exact"/>
        <w:rPr>
          <w:sz w:val="20"/>
          <w:szCs w:val="20"/>
          <w:color w:val="auto"/>
        </w:rPr>
      </w:pPr>
    </w:p>
    <w:p>
      <w:pPr>
        <w:ind w:right="2559" w:firstLine="872"/>
        <w:spacing w:after="0" w:line="247" w:lineRule="auto"/>
        <w:rPr>
          <w:sz w:val="20"/>
          <w:szCs w:val="20"/>
          <w:color w:val="auto"/>
        </w:rPr>
      </w:pPr>
      <w:r>
        <w:rPr>
          <w:rFonts w:ascii="Courier New" w:cs="Courier New" w:eastAsia="Courier New" w:hAnsi="Courier New"/>
          <w:sz w:val="16"/>
          <w:szCs w:val="16"/>
          <w:color w:val="auto"/>
        </w:rPr>
        <w:t>The trustee will, within 90 days after the occurrence of any default, mail to all holders of the notes notice of all defaults of which the trustee is aware, unless the defaults have been cured or waived before the giving of the notice; provided that the trustee may withhold the notice as to any default other than the payment default, if it determines in good faith that withholding the notice is in the interests of the holders.</w:t>
      </w:r>
    </w:p>
    <w:p>
      <w:pPr>
        <w:spacing w:after="0" w:line="185" w:lineRule="exact"/>
        <w:rPr>
          <w:sz w:val="20"/>
          <w:szCs w:val="20"/>
          <w:color w:val="auto"/>
        </w:rPr>
      </w:pPr>
    </w:p>
    <w:p>
      <w:pPr>
        <w:ind w:right="2459" w:firstLine="872"/>
        <w:spacing w:after="0" w:line="246" w:lineRule="auto"/>
        <w:rPr>
          <w:sz w:val="20"/>
          <w:szCs w:val="20"/>
          <w:color w:val="auto"/>
        </w:rPr>
      </w:pPr>
      <w:r>
        <w:rPr>
          <w:rFonts w:ascii="Courier New" w:cs="Courier New" w:eastAsia="Courier New" w:hAnsi="Courier New"/>
          <w:sz w:val="16"/>
          <w:szCs w:val="16"/>
          <w:color w:val="auto"/>
        </w:rPr>
        <w:t>The holders of a majority in aggregate principal amount of the outstanding notes may direct the time, method and place of conducting any proceeding for any remedy available to the trustee or exercising any trust or power conferred on the trustee, provided that the direction shall not be in conflict with any law or the indenture and subject to some other limitations. The trustee may refuse to perform any duty or exercise any right of power or extend or risk its own funds or otherwise incur any financial liability unless it receives indemnity satisfactory to it against any loss, liability or expense. No holder of any note will have any right to pursue any remedy with respect to the Indenture or the notes, unless:</w:t>
      </w:r>
    </w:p>
    <w:p>
      <w:pPr>
        <w:spacing w:after="0" w:line="192" w:lineRule="exact"/>
        <w:rPr>
          <w:sz w:val="20"/>
          <w:szCs w:val="20"/>
          <w:color w:val="auto"/>
        </w:rPr>
      </w:pPr>
    </w:p>
    <w:p>
      <w:pPr>
        <w:ind w:left="1060" w:right="2559" w:hanging="189"/>
        <w:spacing w:after="0" w:line="248" w:lineRule="auto"/>
        <w:tabs>
          <w:tab w:leader="none" w:pos="1060" w:val="left"/>
        </w:tabs>
        <w:numPr>
          <w:ilvl w:val="0"/>
          <w:numId w:val="4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holder shall have previously given the trustee written notice of a continuing event of default;</w:t>
      </w:r>
    </w:p>
    <w:p>
      <w:pPr>
        <w:sectPr>
          <w:pgSz w:w="11900" w:h="16838" w:orient="portrait"/>
          <w:cols w:equalWidth="0" w:num="1">
            <w:col w:w="10219"/>
          </w:cols>
          <w:pgMar w:left="240" w:top="303" w:right="1440" w:bottom="1440" w:gutter="0" w:footer="0" w:header="0"/>
        </w:sectPr>
      </w:pPr>
    </w:p>
    <w:p>
      <w:pPr>
        <w:spacing w:after="0" w:line="371"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29</w:t>
      </w:r>
    </w:p>
    <w:p>
      <w:pPr>
        <w:sectPr>
          <w:pgSz w:w="11900" w:h="16838" w:orient="portrait"/>
          <w:cols w:equalWidth="0" w:num="1">
            <w:col w:w="10219"/>
          </w:cols>
          <w:pgMar w:left="240" w:top="303" w:right="1440" w:bottom="1440" w:gutter="0" w:footer="0" w:header="0"/>
          <w:type w:val="continuous"/>
        </w:sectPr>
      </w:pPr>
    </w:p>
    <w:bookmarkStart w:id="34" w:name="page35"/>
    <w:bookmarkEnd w:id="34"/>
    <w:p>
      <w:pPr>
        <w:ind w:left="300"/>
        <w:spacing w:after="0"/>
        <w:rPr>
          <w:sz w:val="20"/>
          <w:szCs w:val="20"/>
          <w:color w:val="auto"/>
        </w:rPr>
      </w:pPr>
      <w:r>
        <w:rPr>
          <w:rFonts w:ascii="Courier New" w:cs="Courier New" w:eastAsia="Courier New" w:hAnsi="Courier New"/>
          <w:sz w:val="16"/>
          <w:szCs w:val="16"/>
          <w:color w:val="auto"/>
        </w:rPr>
        <w:t>30</w:t>
      </w:r>
    </w:p>
    <w:p>
      <w:pPr>
        <w:spacing w:after="0" w:line="191" w:lineRule="exact"/>
        <w:rPr>
          <w:sz w:val="20"/>
          <w:szCs w:val="20"/>
          <w:color w:val="auto"/>
        </w:rPr>
      </w:pPr>
    </w:p>
    <w:p>
      <w:pPr>
        <w:ind w:left="1060" w:right="2659" w:hanging="189"/>
        <w:spacing w:after="0" w:line="247" w:lineRule="auto"/>
        <w:tabs>
          <w:tab w:leader="none" w:pos="1060" w:val="left"/>
        </w:tabs>
        <w:numPr>
          <w:ilvl w:val="0"/>
          <w:numId w:val="4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holders of at least 25% in aggregate principal amount of the outstanding notes shall have made written request to the trustee to pursue the remedy;</w:t>
      </w:r>
    </w:p>
    <w:p>
      <w:pPr>
        <w:spacing w:after="0" w:line="185" w:lineRule="exact"/>
        <w:rPr>
          <w:rFonts w:ascii="Courier New" w:cs="Courier New" w:eastAsia="Courier New" w:hAnsi="Courier New"/>
          <w:sz w:val="16"/>
          <w:szCs w:val="16"/>
          <w:color w:val="auto"/>
        </w:rPr>
      </w:pPr>
    </w:p>
    <w:p>
      <w:pPr>
        <w:ind w:left="1060" w:right="2759" w:hanging="189"/>
        <w:spacing w:after="0" w:line="247" w:lineRule="auto"/>
        <w:tabs>
          <w:tab w:leader="none" w:pos="1060" w:val="left"/>
        </w:tabs>
        <w:numPr>
          <w:ilvl w:val="0"/>
          <w:numId w:val="4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holder or holders shall have offered to the trustee reasonable security or indemnity against any loss, liability or expense satisfactory to it;</w:t>
      </w:r>
    </w:p>
    <w:p>
      <w:pPr>
        <w:spacing w:after="0" w:line="185" w:lineRule="exact"/>
        <w:rPr>
          <w:rFonts w:ascii="Courier New" w:cs="Courier New" w:eastAsia="Courier New" w:hAnsi="Courier New"/>
          <w:sz w:val="16"/>
          <w:szCs w:val="16"/>
          <w:color w:val="auto"/>
        </w:rPr>
      </w:pPr>
    </w:p>
    <w:p>
      <w:pPr>
        <w:jc w:val="both"/>
        <w:ind w:left="1060" w:right="2759" w:hanging="189"/>
        <w:spacing w:after="0" w:line="247" w:lineRule="auto"/>
        <w:tabs>
          <w:tab w:leader="none" w:pos="1060" w:val="left"/>
        </w:tabs>
        <w:numPr>
          <w:ilvl w:val="0"/>
          <w:numId w:val="4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trustee shall have failed to comply with the request within 60 days after receipt of the notice, request and offer of security or indemnity; and</w:t>
      </w:r>
    </w:p>
    <w:p>
      <w:pPr>
        <w:spacing w:after="0" w:line="185" w:lineRule="exact"/>
        <w:rPr>
          <w:rFonts w:ascii="Courier New" w:cs="Courier New" w:eastAsia="Courier New" w:hAnsi="Courier New"/>
          <w:sz w:val="16"/>
          <w:szCs w:val="16"/>
          <w:color w:val="auto"/>
        </w:rPr>
      </w:pPr>
    </w:p>
    <w:p>
      <w:pPr>
        <w:ind w:left="1060" w:right="2859" w:hanging="189"/>
        <w:spacing w:after="0" w:line="247" w:lineRule="auto"/>
        <w:tabs>
          <w:tab w:leader="none" w:pos="1060" w:val="left"/>
        </w:tabs>
        <w:numPr>
          <w:ilvl w:val="0"/>
          <w:numId w:val="4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holders of a majority in aggregate principal amount of the outstanding notes shall not have given the trustee a direction inconsistent with the request within 60 days after receipt of the request.</w:t>
      </w:r>
    </w:p>
    <w:p>
      <w:pPr>
        <w:spacing w:after="0" w:line="186" w:lineRule="exact"/>
        <w:rPr>
          <w:sz w:val="20"/>
          <w:szCs w:val="20"/>
          <w:color w:val="auto"/>
        </w:rPr>
      </w:pPr>
    </w:p>
    <w:p>
      <w:pPr>
        <w:ind w:left="880"/>
        <w:spacing w:after="0"/>
        <w:rPr>
          <w:sz w:val="20"/>
          <w:szCs w:val="20"/>
          <w:color w:val="auto"/>
        </w:rPr>
      </w:pPr>
      <w:r>
        <w:rPr>
          <w:rFonts w:ascii="Courier New" w:cs="Courier New" w:eastAsia="Courier New" w:hAnsi="Courier New"/>
          <w:sz w:val="16"/>
          <w:szCs w:val="16"/>
          <w:color w:val="auto"/>
        </w:rPr>
        <w:t>The right of any holder:</w:t>
      </w:r>
    </w:p>
    <w:p>
      <w:pPr>
        <w:spacing w:after="0" w:line="191" w:lineRule="exact"/>
        <w:rPr>
          <w:sz w:val="20"/>
          <w:szCs w:val="20"/>
          <w:color w:val="auto"/>
        </w:rPr>
      </w:pPr>
    </w:p>
    <w:p>
      <w:pPr>
        <w:ind w:left="1060" w:right="2759" w:hanging="189"/>
        <w:spacing w:after="0" w:line="247" w:lineRule="auto"/>
        <w:tabs>
          <w:tab w:leader="none" w:pos="1060" w:val="left"/>
        </w:tabs>
        <w:numPr>
          <w:ilvl w:val="0"/>
          <w:numId w:val="4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receive payment of principal, the redemption price, change in control purchase price or interest in respect of the notes held by the holder on or after the respective due dates expressed in the notes,</w:t>
      </w:r>
    </w:p>
    <w:p>
      <w:pPr>
        <w:spacing w:after="0" w:line="185" w:lineRule="exact"/>
        <w:rPr>
          <w:rFonts w:ascii="Courier New" w:cs="Courier New" w:eastAsia="Courier New" w:hAnsi="Courier New"/>
          <w:sz w:val="16"/>
          <w:szCs w:val="16"/>
          <w:color w:val="auto"/>
        </w:rPr>
      </w:pPr>
    </w:p>
    <w:p>
      <w:pPr>
        <w:ind w:left="1060" w:hanging="189"/>
        <w:spacing w:after="0"/>
        <w:tabs>
          <w:tab w:leader="none" w:pos="1060" w:val="left"/>
        </w:tabs>
        <w:numPr>
          <w:ilvl w:val="0"/>
          <w:numId w:val="4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convert the notes, or</w:t>
      </w:r>
    </w:p>
    <w:p>
      <w:pPr>
        <w:spacing w:after="0" w:line="191" w:lineRule="exact"/>
        <w:rPr>
          <w:rFonts w:ascii="Courier New" w:cs="Courier New" w:eastAsia="Courier New" w:hAnsi="Courier New"/>
          <w:sz w:val="16"/>
          <w:szCs w:val="16"/>
          <w:color w:val="auto"/>
        </w:rPr>
      </w:pPr>
    </w:p>
    <w:p>
      <w:pPr>
        <w:ind w:left="1060" w:right="2959" w:hanging="189"/>
        <w:spacing w:after="0" w:line="248" w:lineRule="auto"/>
        <w:tabs>
          <w:tab w:leader="none" w:pos="1060" w:val="left"/>
        </w:tabs>
        <w:numPr>
          <w:ilvl w:val="0"/>
          <w:numId w:val="4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bring suit for the enforcement of any payment on or after the respective dates or the right to convert,</w:t>
      </w:r>
    </w:p>
    <w:p>
      <w:pPr>
        <w:spacing w:after="0" w:line="18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shall not be impaired or adversely affected without the holder's consent.</w:t>
      </w:r>
    </w:p>
    <w:p>
      <w:pPr>
        <w:spacing w:after="0" w:line="191" w:lineRule="exact"/>
        <w:rPr>
          <w:sz w:val="20"/>
          <w:szCs w:val="20"/>
          <w:color w:val="auto"/>
        </w:rPr>
      </w:pPr>
    </w:p>
    <w:p>
      <w:pPr>
        <w:jc w:val="both"/>
        <w:ind w:right="2459" w:firstLine="872"/>
        <w:spacing w:after="0" w:line="248" w:lineRule="auto"/>
        <w:rPr>
          <w:sz w:val="20"/>
          <w:szCs w:val="20"/>
          <w:color w:val="auto"/>
        </w:rPr>
      </w:pPr>
      <w:r>
        <w:rPr>
          <w:rFonts w:ascii="Courier New" w:cs="Courier New" w:eastAsia="Courier New" w:hAnsi="Courier New"/>
          <w:sz w:val="16"/>
          <w:szCs w:val="16"/>
          <w:color w:val="auto"/>
        </w:rPr>
        <w:t>The holders of a majority in aggregate principal amount of the notes at the time outstanding may waive any existing default and its consequences except:</w:t>
      </w:r>
    </w:p>
    <w:p>
      <w:pPr>
        <w:spacing w:after="0" w:line="184" w:lineRule="exact"/>
        <w:rPr>
          <w:sz w:val="20"/>
          <w:szCs w:val="20"/>
          <w:color w:val="auto"/>
        </w:rPr>
      </w:pPr>
    </w:p>
    <w:p>
      <w:pPr>
        <w:ind w:left="1060" w:hanging="189"/>
        <w:spacing w:after="0"/>
        <w:tabs>
          <w:tab w:leader="none" w:pos="1060" w:val="left"/>
        </w:tabs>
        <w:numPr>
          <w:ilvl w:val="0"/>
          <w:numId w:val="47"/>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default in any payment on the notes;</w:t>
      </w:r>
    </w:p>
    <w:p>
      <w:pPr>
        <w:spacing w:after="0" w:line="191" w:lineRule="exact"/>
        <w:rPr>
          <w:rFonts w:ascii="Courier New" w:cs="Courier New" w:eastAsia="Courier New" w:hAnsi="Courier New"/>
          <w:sz w:val="16"/>
          <w:szCs w:val="16"/>
          <w:color w:val="auto"/>
        </w:rPr>
      </w:pPr>
    </w:p>
    <w:p>
      <w:pPr>
        <w:ind w:left="1060" w:hanging="189"/>
        <w:spacing w:after="0"/>
        <w:tabs>
          <w:tab w:leader="none" w:pos="1060" w:val="left"/>
        </w:tabs>
        <w:numPr>
          <w:ilvl w:val="0"/>
          <w:numId w:val="47"/>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default with respect to the conversion of the notes; or</w:t>
      </w:r>
    </w:p>
    <w:p>
      <w:pPr>
        <w:spacing w:after="0" w:line="191" w:lineRule="exact"/>
        <w:rPr>
          <w:rFonts w:ascii="Courier New" w:cs="Courier New" w:eastAsia="Courier New" w:hAnsi="Courier New"/>
          <w:sz w:val="16"/>
          <w:szCs w:val="16"/>
          <w:color w:val="auto"/>
        </w:rPr>
      </w:pPr>
    </w:p>
    <w:p>
      <w:pPr>
        <w:ind w:left="1060" w:right="2559" w:hanging="189"/>
        <w:spacing w:after="0" w:line="247" w:lineRule="auto"/>
        <w:tabs>
          <w:tab w:leader="none" w:pos="1060" w:val="left"/>
        </w:tabs>
        <w:numPr>
          <w:ilvl w:val="0"/>
          <w:numId w:val="47"/>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default in respect of some covenants or provisions in the indenture that may not be modified without the consent of the holder of each note.</w:t>
      </w:r>
    </w:p>
    <w:p>
      <w:pPr>
        <w:spacing w:after="0" w:line="186" w:lineRule="exact"/>
        <w:rPr>
          <w:sz w:val="20"/>
          <w:szCs w:val="20"/>
          <w:color w:val="auto"/>
        </w:rPr>
      </w:pPr>
    </w:p>
    <w:p>
      <w:pPr>
        <w:ind w:right="2559"/>
        <w:spacing w:after="0" w:line="247" w:lineRule="auto"/>
        <w:rPr>
          <w:sz w:val="20"/>
          <w:szCs w:val="20"/>
          <w:color w:val="auto"/>
        </w:rPr>
      </w:pPr>
      <w:r>
        <w:rPr>
          <w:rFonts w:ascii="Courier New" w:cs="Courier New" w:eastAsia="Courier New" w:hAnsi="Courier New"/>
          <w:sz w:val="16"/>
          <w:szCs w:val="16"/>
          <w:color w:val="auto"/>
        </w:rPr>
        <w:t>When a default is waived, it is deemed cured and will cease to exist, but no waiver shall extend to any subsequent or other default or impair any consequent right.</w:t>
      </w:r>
    </w:p>
    <w:p>
      <w:pPr>
        <w:spacing w:after="0" w:line="186" w:lineRule="exact"/>
        <w:rPr>
          <w:sz w:val="20"/>
          <w:szCs w:val="20"/>
          <w:color w:val="auto"/>
        </w:rPr>
      </w:pPr>
    </w:p>
    <w:p>
      <w:pPr>
        <w:ind w:right="2459" w:firstLine="872"/>
        <w:spacing w:after="0" w:line="247" w:lineRule="auto"/>
        <w:rPr>
          <w:sz w:val="20"/>
          <w:szCs w:val="20"/>
          <w:color w:val="auto"/>
        </w:rPr>
      </w:pPr>
      <w:r>
        <w:rPr>
          <w:rFonts w:ascii="Courier New" w:cs="Courier New" w:eastAsia="Courier New" w:hAnsi="Courier New"/>
          <w:sz w:val="16"/>
          <w:szCs w:val="16"/>
          <w:color w:val="auto"/>
        </w:rPr>
        <w:t>We will be required to furnish to the trustee annually a statement as to any default by us in the performance and observance of our obligations under the Indenture. In addition, we will be required to file with the trustee written notice of the occurrence of any default or event of default within five business days of our becoming aware of the default or event of default.</w:t>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MODIFICATION</w:t>
      </w:r>
    </w:p>
    <w:p>
      <w:pPr>
        <w:spacing w:after="0" w:line="191" w:lineRule="exact"/>
        <w:rPr>
          <w:sz w:val="20"/>
          <w:szCs w:val="20"/>
          <w:color w:val="auto"/>
        </w:rPr>
      </w:pPr>
    </w:p>
    <w:p>
      <w:pPr>
        <w:ind w:right="2459" w:firstLine="872"/>
        <w:spacing w:after="0" w:line="247" w:lineRule="auto"/>
        <w:rPr>
          <w:sz w:val="20"/>
          <w:szCs w:val="20"/>
          <w:color w:val="auto"/>
        </w:rPr>
      </w:pPr>
      <w:r>
        <w:rPr>
          <w:rFonts w:ascii="Courier New" w:cs="Courier New" w:eastAsia="Courier New" w:hAnsi="Courier New"/>
          <w:sz w:val="16"/>
          <w:szCs w:val="16"/>
          <w:color w:val="auto"/>
        </w:rPr>
        <w:t>The indenture or the notes may be modified or amended by us and the trustee with the consent of the holders of not less than a majority in aggregate principal amount of the notes then outstanding. Without the consent of each holder affected thereby, however, no amendment may, among other things:</w:t>
      </w:r>
    </w:p>
    <w:p>
      <w:pPr>
        <w:spacing w:after="0" w:line="186" w:lineRule="exact"/>
        <w:rPr>
          <w:sz w:val="20"/>
          <w:szCs w:val="20"/>
          <w:color w:val="auto"/>
        </w:rPr>
      </w:pPr>
    </w:p>
    <w:p>
      <w:pPr>
        <w:ind w:left="1060" w:right="2559" w:hanging="189"/>
        <w:spacing w:after="0" w:line="247" w:lineRule="auto"/>
        <w:tabs>
          <w:tab w:leader="none" w:pos="1060" w:val="left"/>
        </w:tabs>
        <w:numPr>
          <w:ilvl w:val="0"/>
          <w:numId w:val="48"/>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reduce the principal amount, change in control purchase price or redemption price with respect to any note, or extend the stated maturity of any note or alter the manner of payment or rate of interest or any note or make any note payable in money or securities other than that stated in the note;</w:t>
      </w:r>
    </w:p>
    <w:p>
      <w:pPr>
        <w:spacing w:after="0" w:line="185" w:lineRule="exact"/>
        <w:rPr>
          <w:rFonts w:ascii="Courier New" w:cs="Courier New" w:eastAsia="Courier New" w:hAnsi="Courier New"/>
          <w:sz w:val="16"/>
          <w:szCs w:val="16"/>
          <w:color w:val="auto"/>
        </w:rPr>
      </w:pPr>
    </w:p>
    <w:p>
      <w:pPr>
        <w:ind w:left="1060" w:right="2859" w:hanging="189"/>
        <w:spacing w:after="0" w:line="247" w:lineRule="auto"/>
        <w:tabs>
          <w:tab w:leader="none" w:pos="1060" w:val="left"/>
        </w:tabs>
        <w:numPr>
          <w:ilvl w:val="0"/>
          <w:numId w:val="48"/>
        </w:numPr>
        <w:rPr>
          <w:rFonts w:ascii="Courier New" w:cs="Courier New" w:eastAsia="Courier New" w:hAnsi="Courier New"/>
          <w:sz w:val="16"/>
          <w:szCs w:val="16"/>
          <w:color w:val="auto"/>
        </w:rPr>
      </w:pPr>
      <w:r>
        <w:rPr>
          <w:rFonts w:ascii="Courier New" w:cs="Courier New" w:eastAsia="Courier New" w:hAnsi="Courier New"/>
          <w:sz w:val="16"/>
          <w:szCs w:val="16"/>
          <w:color w:val="auto"/>
        </w:rPr>
        <w:t>make any reduction in the principal amount of notes whose holders must consent to an amendment or any waiver under the indenture or modify the Indenture provisions relating to the amendments or waivers;</w:t>
      </w:r>
    </w:p>
    <w:p>
      <w:pPr>
        <w:sectPr>
          <w:pgSz w:w="11900" w:h="16838" w:orient="portrait"/>
          <w:cols w:equalWidth="0" w:num="1">
            <w:col w:w="10219"/>
          </w:cols>
          <w:pgMar w:left="240" w:top="303" w:right="1440" w:bottom="1440" w:gutter="0" w:footer="0" w:header="0"/>
        </w:sectPr>
      </w:pPr>
    </w:p>
    <w:p>
      <w:pPr>
        <w:spacing w:after="0" w:line="372"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30</w:t>
      </w:r>
    </w:p>
    <w:p>
      <w:pPr>
        <w:sectPr>
          <w:pgSz w:w="11900" w:h="16838" w:orient="portrait"/>
          <w:cols w:equalWidth="0" w:num="1">
            <w:col w:w="10219"/>
          </w:cols>
          <w:pgMar w:left="240" w:top="303" w:right="1440" w:bottom="1440" w:gutter="0" w:footer="0" w:header="0"/>
          <w:type w:val="continuous"/>
        </w:sectPr>
      </w:pPr>
    </w:p>
    <w:bookmarkStart w:id="35" w:name="page36"/>
    <w:bookmarkEnd w:id="35"/>
    <w:p>
      <w:pPr>
        <w:ind w:left="300"/>
        <w:spacing w:after="0"/>
        <w:rPr>
          <w:sz w:val="20"/>
          <w:szCs w:val="20"/>
          <w:color w:val="auto"/>
        </w:rPr>
      </w:pPr>
      <w:r>
        <w:rPr>
          <w:rFonts w:ascii="Courier New" w:cs="Courier New" w:eastAsia="Courier New" w:hAnsi="Courier New"/>
          <w:sz w:val="16"/>
          <w:szCs w:val="16"/>
          <w:color w:val="auto"/>
        </w:rPr>
        <w:t>31</w:t>
      </w:r>
    </w:p>
    <w:p>
      <w:pPr>
        <w:spacing w:after="0" w:line="191" w:lineRule="exact"/>
        <w:rPr>
          <w:sz w:val="20"/>
          <w:szCs w:val="20"/>
          <w:color w:val="auto"/>
        </w:rPr>
      </w:pPr>
    </w:p>
    <w:p>
      <w:pPr>
        <w:ind w:left="1060" w:right="3039" w:hanging="189"/>
        <w:spacing w:after="0" w:line="248" w:lineRule="auto"/>
        <w:tabs>
          <w:tab w:leader="none" w:pos="1060" w:val="left"/>
        </w:tabs>
        <w:numPr>
          <w:ilvl w:val="0"/>
          <w:numId w:val="49"/>
        </w:numPr>
        <w:rPr>
          <w:rFonts w:ascii="Courier New" w:cs="Courier New" w:eastAsia="Courier New" w:hAnsi="Courier New"/>
          <w:sz w:val="16"/>
          <w:szCs w:val="16"/>
          <w:color w:val="auto"/>
        </w:rPr>
      </w:pPr>
      <w:r>
        <w:rPr>
          <w:rFonts w:ascii="Courier New" w:cs="Courier New" w:eastAsia="Courier New" w:hAnsi="Courier New"/>
          <w:sz w:val="16"/>
          <w:szCs w:val="16"/>
          <w:color w:val="auto"/>
        </w:rPr>
        <w:t>make any change that adversely affects the right of a holder to convert any note;</w:t>
      </w:r>
    </w:p>
    <w:p>
      <w:pPr>
        <w:spacing w:after="0" w:line="184" w:lineRule="exact"/>
        <w:rPr>
          <w:rFonts w:ascii="Courier New" w:cs="Courier New" w:eastAsia="Courier New" w:hAnsi="Courier New"/>
          <w:sz w:val="16"/>
          <w:szCs w:val="16"/>
          <w:color w:val="auto"/>
        </w:rPr>
      </w:pPr>
    </w:p>
    <w:p>
      <w:pPr>
        <w:ind w:left="1060" w:right="2459" w:hanging="189"/>
        <w:spacing w:after="0" w:line="248" w:lineRule="auto"/>
        <w:tabs>
          <w:tab w:leader="none" w:pos="1060" w:val="left"/>
        </w:tabs>
        <w:numPr>
          <w:ilvl w:val="0"/>
          <w:numId w:val="49"/>
        </w:numPr>
        <w:rPr>
          <w:rFonts w:ascii="Courier New" w:cs="Courier New" w:eastAsia="Courier New" w:hAnsi="Courier New"/>
          <w:sz w:val="16"/>
          <w:szCs w:val="16"/>
          <w:color w:val="auto"/>
        </w:rPr>
      </w:pPr>
      <w:r>
        <w:rPr>
          <w:rFonts w:ascii="Courier New" w:cs="Courier New" w:eastAsia="Courier New" w:hAnsi="Courier New"/>
          <w:sz w:val="16"/>
          <w:szCs w:val="16"/>
          <w:color w:val="auto"/>
        </w:rPr>
        <w:t>modify the provisions of the Indenture relating to the ranking of the notes in a manner adverse to the holders of the notes; or</w:t>
      </w:r>
    </w:p>
    <w:p>
      <w:pPr>
        <w:spacing w:after="0" w:line="184" w:lineRule="exact"/>
        <w:rPr>
          <w:rFonts w:ascii="Courier New" w:cs="Courier New" w:eastAsia="Courier New" w:hAnsi="Courier New"/>
          <w:sz w:val="16"/>
          <w:szCs w:val="16"/>
          <w:color w:val="auto"/>
        </w:rPr>
      </w:pPr>
    </w:p>
    <w:p>
      <w:pPr>
        <w:ind w:left="1060" w:right="2859" w:hanging="189"/>
        <w:spacing w:after="0" w:line="248" w:lineRule="auto"/>
        <w:tabs>
          <w:tab w:leader="none" w:pos="1060" w:val="left"/>
        </w:tabs>
        <w:numPr>
          <w:ilvl w:val="0"/>
          <w:numId w:val="49"/>
        </w:numPr>
        <w:rPr>
          <w:rFonts w:ascii="Courier New" w:cs="Courier New" w:eastAsia="Courier New" w:hAnsi="Courier New"/>
          <w:sz w:val="16"/>
          <w:szCs w:val="16"/>
          <w:color w:val="auto"/>
        </w:rPr>
      </w:pPr>
      <w:r>
        <w:rPr>
          <w:rFonts w:ascii="Courier New" w:cs="Courier New" w:eastAsia="Courier New" w:hAnsi="Courier New"/>
          <w:sz w:val="16"/>
          <w:szCs w:val="16"/>
          <w:color w:val="auto"/>
        </w:rPr>
        <w:t>impair the right to institute suit for enforcement of any payment with respect to, or conversion of, the notes.</w:t>
      </w:r>
    </w:p>
    <w:p>
      <w:pPr>
        <w:spacing w:after="0" w:line="184" w:lineRule="exact"/>
        <w:rPr>
          <w:sz w:val="20"/>
          <w:szCs w:val="20"/>
          <w:color w:val="auto"/>
        </w:rPr>
      </w:pPr>
    </w:p>
    <w:p>
      <w:pPr>
        <w:ind w:right="2959" w:firstLine="872"/>
        <w:spacing w:after="0" w:line="248" w:lineRule="auto"/>
        <w:rPr>
          <w:sz w:val="20"/>
          <w:szCs w:val="20"/>
          <w:color w:val="auto"/>
        </w:rPr>
      </w:pPr>
      <w:r>
        <w:rPr>
          <w:rFonts w:ascii="Courier New" w:cs="Courier New" w:eastAsia="Courier New" w:hAnsi="Courier New"/>
          <w:sz w:val="16"/>
          <w:szCs w:val="16"/>
          <w:color w:val="auto"/>
        </w:rPr>
        <w:t>Without the consent of any holder of notes, we and the trustee may amend the indenture to:</w:t>
      </w:r>
    </w:p>
    <w:p>
      <w:pPr>
        <w:spacing w:after="0" w:line="184" w:lineRule="exact"/>
        <w:rPr>
          <w:sz w:val="20"/>
          <w:szCs w:val="20"/>
          <w:color w:val="auto"/>
        </w:rPr>
      </w:pPr>
    </w:p>
    <w:p>
      <w:pPr>
        <w:jc w:val="both"/>
        <w:ind w:left="1060" w:right="2559" w:hanging="189"/>
        <w:spacing w:after="0" w:line="247" w:lineRule="auto"/>
        <w:tabs>
          <w:tab w:leader="none" w:pos="1060" w:val="left"/>
        </w:tabs>
        <w:numPr>
          <w:ilvl w:val="0"/>
          <w:numId w:val="50"/>
        </w:numPr>
        <w:rPr>
          <w:rFonts w:ascii="Courier New" w:cs="Courier New" w:eastAsia="Courier New" w:hAnsi="Courier New"/>
          <w:sz w:val="16"/>
          <w:szCs w:val="16"/>
          <w:color w:val="auto"/>
        </w:rPr>
      </w:pPr>
      <w:r>
        <w:rPr>
          <w:rFonts w:ascii="Courier New" w:cs="Courier New" w:eastAsia="Courier New" w:hAnsi="Courier New"/>
          <w:sz w:val="16"/>
          <w:szCs w:val="16"/>
          <w:color w:val="auto"/>
        </w:rPr>
        <w:t>cure any ambiguity, defect or inconsistency; provided, however, that the amendment does not materially adversely affect the rights of any holder of the notes;</w:t>
      </w:r>
    </w:p>
    <w:p>
      <w:pPr>
        <w:spacing w:after="0" w:line="185" w:lineRule="exact"/>
        <w:rPr>
          <w:rFonts w:ascii="Courier New" w:cs="Courier New" w:eastAsia="Courier New" w:hAnsi="Courier New"/>
          <w:sz w:val="16"/>
          <w:szCs w:val="16"/>
          <w:color w:val="auto"/>
        </w:rPr>
      </w:pPr>
    </w:p>
    <w:p>
      <w:pPr>
        <w:ind w:left="1060" w:right="2759" w:hanging="189"/>
        <w:spacing w:after="0" w:line="248" w:lineRule="auto"/>
        <w:tabs>
          <w:tab w:leader="none" w:pos="1060" w:val="left"/>
        </w:tabs>
        <w:numPr>
          <w:ilvl w:val="0"/>
          <w:numId w:val="50"/>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provide for the assumption by a successor to us of our obligations under the indenture;</w:t>
      </w:r>
    </w:p>
    <w:p>
      <w:pPr>
        <w:spacing w:after="0" w:line="184" w:lineRule="exact"/>
        <w:rPr>
          <w:rFonts w:ascii="Courier New" w:cs="Courier New" w:eastAsia="Courier New" w:hAnsi="Courier New"/>
          <w:sz w:val="16"/>
          <w:szCs w:val="16"/>
          <w:color w:val="auto"/>
        </w:rPr>
      </w:pPr>
    </w:p>
    <w:p>
      <w:pPr>
        <w:ind w:left="1060" w:right="2659" w:hanging="189"/>
        <w:spacing w:after="0" w:line="247" w:lineRule="auto"/>
        <w:tabs>
          <w:tab w:leader="none" w:pos="1060" w:val="left"/>
        </w:tabs>
        <w:numPr>
          <w:ilvl w:val="0"/>
          <w:numId w:val="50"/>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provide for uncertificated notes in addition to certificated notes, as long as these uncertificated notes are in registered form for United States Federal income tax purposes;</w:t>
      </w:r>
    </w:p>
    <w:p>
      <w:pPr>
        <w:spacing w:after="0" w:line="185" w:lineRule="exact"/>
        <w:rPr>
          <w:rFonts w:ascii="Courier New" w:cs="Courier New" w:eastAsia="Courier New" w:hAnsi="Courier New"/>
          <w:sz w:val="16"/>
          <w:szCs w:val="16"/>
          <w:color w:val="auto"/>
        </w:rPr>
      </w:pPr>
    </w:p>
    <w:p>
      <w:pPr>
        <w:ind w:left="1060" w:right="2959" w:hanging="189"/>
        <w:spacing w:after="0" w:line="248" w:lineRule="auto"/>
        <w:tabs>
          <w:tab w:leader="none" w:pos="1060" w:val="left"/>
        </w:tabs>
        <w:numPr>
          <w:ilvl w:val="0"/>
          <w:numId w:val="50"/>
        </w:numPr>
        <w:rPr>
          <w:rFonts w:ascii="Courier New" w:cs="Courier New" w:eastAsia="Courier New" w:hAnsi="Courier New"/>
          <w:sz w:val="16"/>
          <w:szCs w:val="16"/>
          <w:color w:val="auto"/>
        </w:rPr>
      </w:pPr>
      <w:r>
        <w:rPr>
          <w:rFonts w:ascii="Courier New" w:cs="Courier New" w:eastAsia="Courier New" w:hAnsi="Courier New"/>
          <w:sz w:val="16"/>
          <w:szCs w:val="16"/>
          <w:color w:val="auto"/>
        </w:rPr>
        <w:t>make any change that does not adversely affect the rights of any holder of the notes;</w:t>
      </w:r>
    </w:p>
    <w:p>
      <w:pPr>
        <w:spacing w:after="0" w:line="184" w:lineRule="exact"/>
        <w:rPr>
          <w:rFonts w:ascii="Courier New" w:cs="Courier New" w:eastAsia="Courier New" w:hAnsi="Courier New"/>
          <w:sz w:val="16"/>
          <w:szCs w:val="16"/>
          <w:color w:val="auto"/>
        </w:rPr>
      </w:pPr>
    </w:p>
    <w:p>
      <w:pPr>
        <w:ind w:left="1060" w:right="2659" w:hanging="189"/>
        <w:spacing w:after="0" w:line="247" w:lineRule="auto"/>
        <w:tabs>
          <w:tab w:leader="none" w:pos="1060" w:val="left"/>
        </w:tabs>
        <w:numPr>
          <w:ilvl w:val="0"/>
          <w:numId w:val="50"/>
        </w:numPr>
        <w:rPr>
          <w:rFonts w:ascii="Courier New" w:cs="Courier New" w:eastAsia="Courier New" w:hAnsi="Courier New"/>
          <w:sz w:val="16"/>
          <w:szCs w:val="16"/>
          <w:color w:val="auto"/>
        </w:rPr>
      </w:pPr>
      <w:r>
        <w:rPr>
          <w:rFonts w:ascii="Courier New" w:cs="Courier New" w:eastAsia="Courier New" w:hAnsi="Courier New"/>
          <w:sz w:val="16"/>
          <w:szCs w:val="16"/>
          <w:color w:val="auto"/>
        </w:rPr>
        <w:t>make any change to comply with any requirement of the Commission in connection with the qualification of the indenture under the Trust Indenture Act of 1939; or</w:t>
      </w:r>
    </w:p>
    <w:p>
      <w:pPr>
        <w:spacing w:after="0" w:line="185" w:lineRule="exact"/>
        <w:rPr>
          <w:rFonts w:ascii="Courier New" w:cs="Courier New" w:eastAsia="Courier New" w:hAnsi="Courier New"/>
          <w:sz w:val="16"/>
          <w:szCs w:val="16"/>
          <w:color w:val="auto"/>
        </w:rPr>
      </w:pPr>
    </w:p>
    <w:p>
      <w:pPr>
        <w:ind w:left="1060" w:right="2559" w:hanging="189"/>
        <w:spacing w:after="0" w:line="247" w:lineRule="auto"/>
        <w:tabs>
          <w:tab w:leader="none" w:pos="1060" w:val="left"/>
        </w:tabs>
        <w:numPr>
          <w:ilvl w:val="0"/>
          <w:numId w:val="50"/>
        </w:numPr>
        <w:rPr>
          <w:rFonts w:ascii="Courier New" w:cs="Courier New" w:eastAsia="Courier New" w:hAnsi="Courier New"/>
          <w:sz w:val="16"/>
          <w:szCs w:val="16"/>
          <w:color w:val="auto"/>
        </w:rPr>
      </w:pPr>
      <w:r>
        <w:rPr>
          <w:rFonts w:ascii="Courier New" w:cs="Courier New" w:eastAsia="Courier New" w:hAnsi="Courier New"/>
          <w:sz w:val="16"/>
          <w:szCs w:val="16"/>
          <w:color w:val="auto"/>
        </w:rPr>
        <w:t>add to our covenants or obligations under the indenture for the protection of the holders of the notes or surrender any right, power or option conferred by the indenture on us.</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DISCHARGE OF THE INDENTURE</w:t>
      </w:r>
    </w:p>
    <w:p>
      <w:pPr>
        <w:spacing w:after="0" w:line="191" w:lineRule="exact"/>
        <w:rPr>
          <w:sz w:val="20"/>
          <w:szCs w:val="20"/>
          <w:color w:val="auto"/>
        </w:rPr>
      </w:pPr>
    </w:p>
    <w:p>
      <w:pPr>
        <w:ind w:right="2659" w:firstLine="872"/>
        <w:spacing w:after="0" w:line="246" w:lineRule="auto"/>
        <w:rPr>
          <w:sz w:val="20"/>
          <w:szCs w:val="20"/>
          <w:color w:val="auto"/>
        </w:rPr>
      </w:pPr>
      <w:r>
        <w:rPr>
          <w:rFonts w:ascii="Courier New" w:cs="Courier New" w:eastAsia="Courier New" w:hAnsi="Courier New"/>
          <w:sz w:val="16"/>
          <w:szCs w:val="16"/>
          <w:color w:val="auto"/>
        </w:rPr>
        <w:t>We may satisfy and discharge our obligations under the indenture by delivering to the trustee for cancellation all of the outstanding notes or by depositing with the trustee, the paying agent or the conversion agent, if applicable, after the notes have become due and payable, whether at stated maturity, or any redemption date, or any purchase date, or a change in control purchase date, or upon conversion or otherwise, cash sufficient to pay all of the outstanding notes and paying all other sums payable under the indenture by us.</w:t>
      </w:r>
    </w:p>
    <w:p>
      <w:pPr>
        <w:spacing w:after="0" w:line="19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 RECOURSE AGAINST OTHERS</w:t>
      </w:r>
    </w:p>
    <w:p>
      <w:pPr>
        <w:spacing w:after="0" w:line="191" w:lineRule="exact"/>
        <w:rPr>
          <w:sz w:val="20"/>
          <w:szCs w:val="20"/>
          <w:color w:val="auto"/>
        </w:rPr>
      </w:pPr>
    </w:p>
    <w:p>
      <w:pPr>
        <w:ind w:right="2659" w:firstLine="872"/>
        <w:spacing w:after="0" w:line="247" w:lineRule="auto"/>
        <w:rPr>
          <w:sz w:val="20"/>
          <w:szCs w:val="20"/>
          <w:color w:val="auto"/>
        </w:rPr>
      </w:pPr>
      <w:r>
        <w:rPr>
          <w:rFonts w:ascii="Courier New" w:cs="Courier New" w:eastAsia="Courier New" w:hAnsi="Courier New"/>
          <w:sz w:val="16"/>
          <w:szCs w:val="16"/>
          <w:color w:val="auto"/>
        </w:rPr>
        <w:t>The indenture provides that our directors, officers, employees, representatives, advisors or stockholders shall not have any liability for any of our obligations under the notes or the indenture or for any claim based on, in respect of or by reason of the obligations or their creation.</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REGISTRATION RIGHTS</w:t>
      </w:r>
    </w:p>
    <w:p>
      <w:pPr>
        <w:spacing w:after="0" w:line="191" w:lineRule="exact"/>
        <w:rPr>
          <w:sz w:val="20"/>
          <w:szCs w:val="20"/>
          <w:color w:val="auto"/>
        </w:rPr>
      </w:pPr>
    </w:p>
    <w:p>
      <w:pPr>
        <w:ind w:right="2959" w:firstLine="872"/>
        <w:spacing w:after="0" w:line="247" w:lineRule="auto"/>
        <w:rPr>
          <w:sz w:val="20"/>
          <w:szCs w:val="20"/>
          <w:color w:val="auto"/>
        </w:rPr>
      </w:pPr>
      <w:r>
        <w:rPr>
          <w:rFonts w:ascii="Courier New" w:cs="Courier New" w:eastAsia="Courier New" w:hAnsi="Courier New"/>
          <w:sz w:val="16"/>
          <w:szCs w:val="16"/>
          <w:color w:val="auto"/>
        </w:rPr>
        <w:t>We and our subsidiaries have entered into a registration rights agreement with the initial purchasers for the benefit of the holders of the notes and our common stock issuable upon their conversion. The registration rights agreement obligates us, at our sole expense, as follows:</w:t>
      </w:r>
    </w:p>
    <w:p>
      <w:pPr>
        <w:spacing w:after="0" w:line="186" w:lineRule="exact"/>
        <w:rPr>
          <w:sz w:val="20"/>
          <w:szCs w:val="20"/>
          <w:color w:val="auto"/>
        </w:rPr>
      </w:pPr>
    </w:p>
    <w:p>
      <w:pPr>
        <w:ind w:left="1060" w:right="2459" w:hanging="189"/>
        <w:spacing w:after="0" w:line="246" w:lineRule="auto"/>
        <w:tabs>
          <w:tab w:leader="none" w:pos="1060" w:val="left"/>
        </w:tabs>
        <w:numPr>
          <w:ilvl w:val="0"/>
          <w:numId w:val="5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file a shelf registration statement as soon as practicable, but in no event more than 60 days after the closing of the issue of the notes, covering resales of our registerable securities. We use the term "registerable securities" to refer to all outstanding notes, and our common stock issuable upon conversion of the notes, that have not been registered and sold pursuant to the shelf registration statement, that have not been distributed to the public pursuant to Rule 144 under the Securities Act of 1933 or that are not saleable pursuant to Rule 144(k) under the Securities Act of 1933 or successor provisions;</w:t>
      </w:r>
    </w:p>
    <w:p>
      <w:pPr>
        <w:spacing w:after="0" w:line="191" w:lineRule="exact"/>
        <w:rPr>
          <w:rFonts w:ascii="Courier New" w:cs="Courier New" w:eastAsia="Courier New" w:hAnsi="Courier New"/>
          <w:sz w:val="16"/>
          <w:szCs w:val="16"/>
          <w:color w:val="auto"/>
        </w:rPr>
      </w:pPr>
    </w:p>
    <w:p>
      <w:pPr>
        <w:ind w:left="1060" w:right="2659" w:hanging="189"/>
        <w:spacing w:after="0" w:line="247" w:lineRule="auto"/>
        <w:tabs>
          <w:tab w:leader="none" w:pos="1060" w:val="left"/>
        </w:tabs>
        <w:numPr>
          <w:ilvl w:val="0"/>
          <w:numId w:val="5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use our reasonable best efforts to cause the shelf registration statement to be declared effective under the Securities Act of 1933 within 120 days after the closing; and</w:t>
      </w:r>
    </w:p>
    <w:p>
      <w:pPr>
        <w:sectPr>
          <w:pgSz w:w="11900" w:h="16838" w:orient="portrait"/>
          <w:cols w:equalWidth="0" w:num="1">
            <w:col w:w="10219"/>
          </w:cols>
          <w:pgMar w:left="240" w:top="303" w:right="1440" w:bottom="1440" w:gutter="0" w:footer="0" w:header="0"/>
        </w:sectPr>
      </w:pPr>
    </w:p>
    <w:p>
      <w:pPr>
        <w:spacing w:after="0" w:line="372"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31</w:t>
      </w:r>
    </w:p>
    <w:p>
      <w:pPr>
        <w:sectPr>
          <w:pgSz w:w="11900" w:h="16838" w:orient="portrait"/>
          <w:cols w:equalWidth="0" w:num="1">
            <w:col w:w="10219"/>
          </w:cols>
          <w:pgMar w:left="240" w:top="303" w:right="1440" w:bottom="1440" w:gutter="0" w:footer="0" w:header="0"/>
          <w:type w:val="continuous"/>
        </w:sectPr>
      </w:pPr>
    </w:p>
    <w:bookmarkStart w:id="36" w:name="page37"/>
    <w:bookmarkEnd w:id="36"/>
    <w:p>
      <w:pPr>
        <w:ind w:left="300"/>
        <w:spacing w:after="0"/>
        <w:rPr>
          <w:sz w:val="20"/>
          <w:szCs w:val="20"/>
          <w:color w:val="auto"/>
        </w:rPr>
      </w:pPr>
      <w:r>
        <w:rPr>
          <w:rFonts w:ascii="Courier New" w:cs="Courier New" w:eastAsia="Courier New" w:hAnsi="Courier New"/>
          <w:sz w:val="16"/>
          <w:szCs w:val="16"/>
          <w:color w:val="auto"/>
        </w:rPr>
        <w:t>32</w:t>
      </w:r>
    </w:p>
    <w:p>
      <w:pPr>
        <w:spacing w:after="0" w:line="191" w:lineRule="exact"/>
        <w:rPr>
          <w:sz w:val="20"/>
          <w:szCs w:val="20"/>
          <w:color w:val="auto"/>
        </w:rPr>
      </w:pPr>
    </w:p>
    <w:p>
      <w:pPr>
        <w:ind w:left="1060" w:right="2459" w:hanging="189"/>
        <w:spacing w:after="0" w:line="247" w:lineRule="auto"/>
        <w:tabs>
          <w:tab w:leader="none" w:pos="1060" w:val="left"/>
        </w:tabs>
        <w:numPr>
          <w:ilvl w:val="0"/>
          <w:numId w:val="5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use our reasonable best efforts to keep the shelf registration statement effective and usable until the time that all the notes, and our common stock issuable upon conversion of the notes, shall no longer qualify as registerable securities. We will be permitted to suspend the use of the shelf registration statement for limited periods of time under some circumstances if we provide the holders of the registerable securities with written notice of the suspension.</w:t>
      </w:r>
    </w:p>
    <w:p>
      <w:pPr>
        <w:spacing w:after="0" w:line="185" w:lineRule="exact"/>
        <w:rPr>
          <w:sz w:val="20"/>
          <w:szCs w:val="20"/>
          <w:color w:val="auto"/>
        </w:rPr>
      </w:pPr>
    </w:p>
    <w:p>
      <w:pPr>
        <w:ind w:left="880"/>
        <w:spacing w:after="0"/>
        <w:rPr>
          <w:sz w:val="20"/>
          <w:szCs w:val="20"/>
          <w:color w:val="auto"/>
        </w:rPr>
      </w:pPr>
      <w:r>
        <w:rPr>
          <w:rFonts w:ascii="Courier New" w:cs="Courier New" w:eastAsia="Courier New" w:hAnsi="Courier New"/>
          <w:sz w:val="16"/>
          <w:szCs w:val="16"/>
          <w:color w:val="auto"/>
        </w:rPr>
        <w:t>We will, when the shelf registration is filed:</w:t>
      </w:r>
    </w:p>
    <w:p>
      <w:pPr>
        <w:spacing w:after="0" w:line="191" w:lineRule="exact"/>
        <w:rPr>
          <w:sz w:val="20"/>
          <w:szCs w:val="20"/>
          <w:color w:val="auto"/>
        </w:rPr>
      </w:pPr>
    </w:p>
    <w:p>
      <w:pPr>
        <w:ind w:left="1060" w:right="2859" w:hanging="189"/>
        <w:spacing w:after="0" w:line="248" w:lineRule="auto"/>
        <w:tabs>
          <w:tab w:leader="none" w:pos="1060" w:val="left"/>
        </w:tabs>
        <w:numPr>
          <w:ilvl w:val="0"/>
          <w:numId w:val="53"/>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provide each holder of registerable securities with copies of the prospectus that is part of the shelf registration statement;</w:t>
      </w:r>
    </w:p>
    <w:p>
      <w:pPr>
        <w:spacing w:after="0" w:line="184" w:lineRule="exact"/>
        <w:rPr>
          <w:rFonts w:ascii="Courier New" w:cs="Courier New" w:eastAsia="Courier New" w:hAnsi="Courier New"/>
          <w:sz w:val="16"/>
          <w:szCs w:val="16"/>
          <w:color w:val="auto"/>
        </w:rPr>
      </w:pPr>
    </w:p>
    <w:p>
      <w:pPr>
        <w:ind w:left="1060" w:right="2959" w:hanging="189"/>
        <w:spacing w:after="0" w:line="248" w:lineRule="auto"/>
        <w:tabs>
          <w:tab w:leader="none" w:pos="1060" w:val="left"/>
        </w:tabs>
        <w:numPr>
          <w:ilvl w:val="0"/>
          <w:numId w:val="53"/>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notify each holder when the shelf registration statement for the registerable securities has become effective; and</w:t>
      </w:r>
    </w:p>
    <w:p>
      <w:pPr>
        <w:spacing w:after="0" w:line="184" w:lineRule="exact"/>
        <w:rPr>
          <w:rFonts w:ascii="Courier New" w:cs="Courier New" w:eastAsia="Courier New" w:hAnsi="Courier New"/>
          <w:sz w:val="16"/>
          <w:szCs w:val="16"/>
          <w:color w:val="auto"/>
        </w:rPr>
      </w:pPr>
    </w:p>
    <w:p>
      <w:pPr>
        <w:ind w:left="1060" w:right="2559" w:hanging="189"/>
        <w:spacing w:after="0" w:line="248" w:lineRule="auto"/>
        <w:tabs>
          <w:tab w:leader="none" w:pos="1060" w:val="left"/>
        </w:tabs>
        <w:numPr>
          <w:ilvl w:val="0"/>
          <w:numId w:val="5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take other actions as are required to permit unrestricted resales of the registerable securities.</w:t>
      </w:r>
    </w:p>
    <w:p>
      <w:pPr>
        <w:spacing w:after="0" w:line="184" w:lineRule="exact"/>
        <w:rPr>
          <w:sz w:val="20"/>
          <w:szCs w:val="20"/>
          <w:color w:val="auto"/>
        </w:rPr>
      </w:pPr>
    </w:p>
    <w:p>
      <w:pPr>
        <w:ind w:right="3239" w:firstLine="872"/>
        <w:spacing w:after="0" w:line="248" w:lineRule="auto"/>
        <w:rPr>
          <w:sz w:val="20"/>
          <w:szCs w:val="20"/>
          <w:color w:val="auto"/>
        </w:rPr>
      </w:pPr>
      <w:r>
        <w:rPr>
          <w:rFonts w:ascii="Courier New" w:cs="Courier New" w:eastAsia="Courier New" w:hAnsi="Courier New"/>
          <w:sz w:val="16"/>
          <w:szCs w:val="16"/>
          <w:color w:val="auto"/>
        </w:rPr>
        <w:t>A holder that sells registerable securities pursuant to a shelf registration statement:</w:t>
      </w:r>
    </w:p>
    <w:p>
      <w:pPr>
        <w:spacing w:after="0" w:line="184" w:lineRule="exact"/>
        <w:rPr>
          <w:sz w:val="20"/>
          <w:szCs w:val="20"/>
          <w:color w:val="auto"/>
        </w:rPr>
      </w:pPr>
    </w:p>
    <w:p>
      <w:pPr>
        <w:ind w:left="1060" w:right="2559" w:hanging="189"/>
        <w:spacing w:after="0" w:line="247" w:lineRule="auto"/>
        <w:tabs>
          <w:tab w:leader="none" w:pos="1060" w:val="left"/>
        </w:tabs>
        <w:numPr>
          <w:ilvl w:val="0"/>
          <w:numId w:val="5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will usually be required to be named as a selling security holder in the related prospectus and to deliver the prospectus to the purchasers;</w:t>
      </w:r>
    </w:p>
    <w:p>
      <w:pPr>
        <w:spacing w:after="0" w:line="185" w:lineRule="exact"/>
        <w:rPr>
          <w:rFonts w:ascii="Courier New" w:cs="Courier New" w:eastAsia="Courier New" w:hAnsi="Courier New"/>
          <w:sz w:val="16"/>
          <w:szCs w:val="16"/>
          <w:color w:val="auto"/>
        </w:rPr>
      </w:pPr>
    </w:p>
    <w:p>
      <w:pPr>
        <w:ind w:left="1060" w:right="2959" w:hanging="189"/>
        <w:spacing w:after="0" w:line="248" w:lineRule="auto"/>
        <w:tabs>
          <w:tab w:leader="none" w:pos="1060" w:val="left"/>
        </w:tabs>
        <w:numPr>
          <w:ilvl w:val="0"/>
          <w:numId w:val="5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will be subject to some of the civil liability provisions of the Securities Act of 1933 in connection with those sales; and</w:t>
      </w:r>
    </w:p>
    <w:p>
      <w:pPr>
        <w:spacing w:after="0" w:line="184" w:lineRule="exact"/>
        <w:rPr>
          <w:rFonts w:ascii="Courier New" w:cs="Courier New" w:eastAsia="Courier New" w:hAnsi="Courier New"/>
          <w:sz w:val="16"/>
          <w:szCs w:val="16"/>
          <w:color w:val="auto"/>
        </w:rPr>
      </w:pPr>
    </w:p>
    <w:p>
      <w:pPr>
        <w:ind w:left="1060" w:right="2459" w:hanging="189"/>
        <w:spacing w:after="0" w:line="247" w:lineRule="auto"/>
        <w:tabs>
          <w:tab w:leader="none" w:pos="1060" w:val="left"/>
        </w:tabs>
        <w:numPr>
          <w:ilvl w:val="0"/>
          <w:numId w:val="5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will be bound by the provisions of the registration rights agreement that are applicable to a holder, including indemnification rights and obligations.</w:t>
      </w:r>
    </w:p>
    <w:p>
      <w:pPr>
        <w:spacing w:after="0" w:line="186" w:lineRule="exact"/>
        <w:rPr>
          <w:sz w:val="20"/>
          <w:szCs w:val="20"/>
          <w:color w:val="auto"/>
        </w:rPr>
      </w:pPr>
    </w:p>
    <w:p>
      <w:pPr>
        <w:ind w:right="3039"/>
        <w:spacing w:after="0" w:line="247" w:lineRule="auto"/>
        <w:rPr>
          <w:sz w:val="20"/>
          <w:szCs w:val="20"/>
          <w:color w:val="auto"/>
        </w:rPr>
      </w:pPr>
      <w:r>
        <w:rPr>
          <w:rFonts w:ascii="Courier New" w:cs="Courier New" w:eastAsia="Courier New" w:hAnsi="Courier New"/>
          <w:sz w:val="16"/>
          <w:szCs w:val="16"/>
          <w:color w:val="auto"/>
        </w:rPr>
        <w:t>Holders who wish to sell registerable securities will be required to make representations and to provide some information to us, as described in the registration rights agreement.</w:t>
      </w:r>
    </w:p>
    <w:p>
      <w:pPr>
        <w:spacing w:after="0" w:line="186" w:lineRule="exact"/>
        <w:rPr>
          <w:sz w:val="20"/>
          <w:szCs w:val="20"/>
          <w:color w:val="auto"/>
        </w:rPr>
      </w:pPr>
    </w:p>
    <w:p>
      <w:pPr>
        <w:ind w:right="2459" w:firstLine="872"/>
        <w:spacing w:after="0" w:line="246" w:lineRule="auto"/>
        <w:rPr>
          <w:sz w:val="20"/>
          <w:szCs w:val="20"/>
          <w:color w:val="auto"/>
        </w:rPr>
      </w:pPr>
      <w:r>
        <w:rPr>
          <w:rFonts w:ascii="Courier New" w:cs="Courier New" w:eastAsia="Courier New" w:hAnsi="Courier New"/>
          <w:sz w:val="16"/>
          <w:szCs w:val="16"/>
          <w:color w:val="auto"/>
        </w:rPr>
        <w:t>If a registration default occurs, then additional cash interest will accrue and become payable on the notes at a rate equal to 0.50% per annum, which rate will be increased by an additional 0.25% per annum for each 90-day period that the registration default has not been cured. The aggregate additional cash interest shall in no event exceed one percent per annum. All additional interest payments shall be paid to the holders of the registerable securities in the same manner as regular interest payments on the notes on semi-annual payment dates which correspond to interest payment dates on the notes. Following the cure of a registration default, additional interest will no longer accrue in connection with that registration default. We use the term "registration default" to mean if:</w:t>
      </w:r>
    </w:p>
    <w:p>
      <w:pPr>
        <w:spacing w:after="0" w:line="193" w:lineRule="exact"/>
        <w:rPr>
          <w:sz w:val="20"/>
          <w:szCs w:val="20"/>
          <w:color w:val="auto"/>
        </w:rPr>
      </w:pPr>
    </w:p>
    <w:p>
      <w:pPr>
        <w:ind w:left="1060" w:right="2959" w:hanging="189"/>
        <w:spacing w:after="0" w:line="248" w:lineRule="auto"/>
        <w:tabs>
          <w:tab w:leader="none" w:pos="1060" w:val="left"/>
        </w:tabs>
        <w:numPr>
          <w:ilvl w:val="0"/>
          <w:numId w:val="5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Commission has not declared the shelf registration statement effective within 120 days of closing; or</w:t>
      </w:r>
    </w:p>
    <w:p>
      <w:pPr>
        <w:spacing w:after="0" w:line="184" w:lineRule="exact"/>
        <w:rPr>
          <w:rFonts w:ascii="Courier New" w:cs="Courier New" w:eastAsia="Courier New" w:hAnsi="Courier New"/>
          <w:sz w:val="16"/>
          <w:szCs w:val="16"/>
          <w:color w:val="auto"/>
        </w:rPr>
      </w:pPr>
    </w:p>
    <w:p>
      <w:pPr>
        <w:ind w:left="1060" w:right="2459" w:hanging="189"/>
        <w:spacing w:after="0" w:line="247" w:lineRule="auto"/>
        <w:tabs>
          <w:tab w:leader="none" w:pos="1060" w:val="left"/>
        </w:tabs>
        <w:numPr>
          <w:ilvl w:val="0"/>
          <w:numId w:val="55"/>
        </w:numPr>
        <w:rPr>
          <w:rFonts w:ascii="Courier New" w:cs="Courier New" w:eastAsia="Courier New" w:hAnsi="Courier New"/>
          <w:sz w:val="16"/>
          <w:szCs w:val="16"/>
          <w:color w:val="auto"/>
        </w:rPr>
      </w:pPr>
      <w:r>
        <w:rPr>
          <w:rFonts w:ascii="Courier New" w:cs="Courier New" w:eastAsia="Courier New" w:hAnsi="Courier New"/>
          <w:sz w:val="16"/>
          <w:szCs w:val="16"/>
          <w:color w:val="auto"/>
        </w:rPr>
        <w:t>during the specified period, we fail to keep the shelf registration statement that has been declared effective continuously effective and usable, for more than 30 days during any three-month period or 60 days during any twelve-month period.</w:t>
      </w:r>
    </w:p>
    <w:p>
      <w:pPr>
        <w:spacing w:after="0" w:line="186" w:lineRule="exact"/>
        <w:rPr>
          <w:sz w:val="20"/>
          <w:szCs w:val="20"/>
          <w:color w:val="auto"/>
        </w:rPr>
      </w:pPr>
    </w:p>
    <w:p>
      <w:pPr>
        <w:ind w:right="2459" w:firstLine="872"/>
        <w:spacing w:after="0" w:line="247" w:lineRule="auto"/>
        <w:rPr>
          <w:sz w:val="20"/>
          <w:szCs w:val="20"/>
          <w:color w:val="auto"/>
        </w:rPr>
      </w:pPr>
      <w:r>
        <w:rPr>
          <w:rFonts w:ascii="Courier New" w:cs="Courier New" w:eastAsia="Courier New" w:hAnsi="Courier New"/>
          <w:sz w:val="16"/>
          <w:szCs w:val="16"/>
          <w:color w:val="auto"/>
        </w:rPr>
        <w:t>Each registerable security will contain a legend to the effect that the holder will be deemed to have agreed to be bound by the provisions of the registration rights agreement.</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INFORMATION CONCERNING THE TRUSTEE</w:t>
      </w:r>
    </w:p>
    <w:p>
      <w:pPr>
        <w:spacing w:after="0" w:line="378" w:lineRule="exact"/>
        <w:rPr>
          <w:sz w:val="20"/>
          <w:szCs w:val="20"/>
          <w:color w:val="auto"/>
        </w:rPr>
      </w:pPr>
    </w:p>
    <w:p>
      <w:pPr>
        <w:ind w:right="2459" w:firstLine="872"/>
        <w:spacing w:after="0" w:line="248" w:lineRule="auto"/>
        <w:rPr>
          <w:sz w:val="20"/>
          <w:szCs w:val="20"/>
          <w:color w:val="auto"/>
        </w:rPr>
      </w:pPr>
      <w:r>
        <w:rPr>
          <w:rFonts w:ascii="Courier New" w:cs="Courier New" w:eastAsia="Courier New" w:hAnsi="Courier New"/>
          <w:sz w:val="16"/>
          <w:szCs w:val="16"/>
          <w:color w:val="auto"/>
        </w:rPr>
        <w:t>Fifth Third Bank is the trustee, registrar, paying agent and conversion agent under the indenture.</w:t>
      </w:r>
    </w:p>
    <w:p>
      <w:pPr>
        <w:sectPr>
          <w:pgSz w:w="11900" w:h="16838" w:orient="portrait"/>
          <w:cols w:equalWidth="0" w:num="1">
            <w:col w:w="10219"/>
          </w:cols>
          <w:pgMar w:left="240" w:top="303" w:right="1440" w:bottom="1440" w:gutter="0" w:footer="0" w:header="0"/>
        </w:sectPr>
      </w:pPr>
    </w:p>
    <w:p>
      <w:pPr>
        <w:spacing w:after="0" w:line="371"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32</w:t>
      </w:r>
    </w:p>
    <w:p>
      <w:pPr>
        <w:sectPr>
          <w:pgSz w:w="11900" w:h="16838" w:orient="portrait"/>
          <w:cols w:equalWidth="0" w:num="1">
            <w:col w:w="10219"/>
          </w:cols>
          <w:pgMar w:left="240" w:top="303" w:right="1440" w:bottom="1440" w:gutter="0" w:footer="0" w:header="0"/>
          <w:type w:val="continuous"/>
        </w:sectPr>
      </w:pPr>
    </w:p>
    <w:bookmarkStart w:id="37" w:name="page38"/>
    <w:bookmarkEnd w:id="37"/>
    <w:p>
      <w:pPr>
        <w:ind w:left="300"/>
        <w:spacing w:after="0"/>
        <w:rPr>
          <w:sz w:val="20"/>
          <w:szCs w:val="20"/>
          <w:color w:val="auto"/>
        </w:rPr>
      </w:pPr>
      <w:r>
        <w:rPr>
          <w:rFonts w:ascii="Courier New" w:cs="Courier New" w:eastAsia="Courier New" w:hAnsi="Courier New"/>
          <w:sz w:val="16"/>
          <w:szCs w:val="16"/>
          <w:color w:val="auto"/>
        </w:rPr>
        <w:t>33</w:t>
      </w:r>
    </w:p>
    <w:p>
      <w:pPr>
        <w:spacing w:after="0" w:line="5" w:lineRule="exact"/>
        <w:rPr>
          <w:sz w:val="20"/>
          <w:szCs w:val="20"/>
          <w:color w:val="auto"/>
        </w:rPr>
      </w:pPr>
    </w:p>
    <w:p>
      <w:pPr>
        <w:ind w:left="2140"/>
        <w:spacing w:after="0"/>
        <w:rPr>
          <w:sz w:val="20"/>
          <w:szCs w:val="20"/>
          <w:color w:val="auto"/>
        </w:rPr>
      </w:pPr>
      <w:r>
        <w:rPr>
          <w:rFonts w:ascii="Courier New" w:cs="Courier New" w:eastAsia="Courier New" w:hAnsi="Courier New"/>
          <w:sz w:val="16"/>
          <w:szCs w:val="16"/>
          <w:color w:val="auto"/>
        </w:rPr>
        <w:t>DESCRIPTION OF CERTAIN INDEBTEDNESS</w:t>
      </w:r>
    </w:p>
    <w:p>
      <w:pPr>
        <w:spacing w:after="0" w:line="378" w:lineRule="exact"/>
        <w:rPr>
          <w:sz w:val="20"/>
          <w:szCs w:val="20"/>
          <w:color w:val="auto"/>
        </w:rPr>
      </w:pPr>
    </w:p>
    <w:p>
      <w:pPr>
        <w:ind w:right="2559" w:firstLine="872"/>
        <w:spacing w:after="0" w:line="247" w:lineRule="auto"/>
        <w:rPr>
          <w:sz w:val="20"/>
          <w:szCs w:val="20"/>
          <w:color w:val="auto"/>
        </w:rPr>
      </w:pPr>
      <w:r>
        <w:rPr>
          <w:rFonts w:ascii="Courier New" w:cs="Courier New" w:eastAsia="Courier New" w:hAnsi="Courier New"/>
          <w:sz w:val="16"/>
          <w:szCs w:val="16"/>
          <w:color w:val="auto"/>
        </w:rPr>
        <w:t>The description below summarizes the more important terms of our bank borrowing arrangement with KeyBank, NA. Those arrangements primarily consist of a loan agreement by our principal operating subsidiary, CheckFree Services Corporation. We referred to loan agreement as the "credit facility."</w:t>
      </w:r>
    </w:p>
    <w:p>
      <w:pPr>
        <w:spacing w:after="0" w:line="372" w:lineRule="exact"/>
        <w:rPr>
          <w:sz w:val="20"/>
          <w:szCs w:val="20"/>
          <w:color w:val="auto"/>
        </w:rPr>
      </w:pPr>
    </w:p>
    <w:p>
      <w:pPr>
        <w:ind w:right="2459" w:firstLine="872"/>
        <w:spacing w:after="0" w:line="246" w:lineRule="auto"/>
        <w:rPr>
          <w:sz w:val="20"/>
          <w:szCs w:val="20"/>
          <w:color w:val="auto"/>
        </w:rPr>
      </w:pPr>
      <w:r>
        <w:rPr>
          <w:rFonts w:ascii="Courier New" w:cs="Courier New" w:eastAsia="Courier New" w:hAnsi="Courier New"/>
          <w:sz w:val="16"/>
          <w:szCs w:val="16"/>
          <w:color w:val="auto"/>
        </w:rPr>
        <w:t>The credit facility and its associated documents contain the full legal text of the matters described in this section. The credit facility and its associated documents are governed by Ohio law. The following statements are subject to the detailed provisions of the loan agreement and are qualified in their entirety by reference to the loan agreement, copies of the forms of which are on file and available at our principal executive offices. Wherever particular provisions of the loan agreements are referred to, those provisions are incorporated by reference as part of the statement made and the statements are qualified in their entirety by that reference.</w:t>
      </w:r>
    </w:p>
    <w:p>
      <w:pPr>
        <w:spacing w:after="0" w:line="378" w:lineRule="exact"/>
        <w:rPr>
          <w:sz w:val="20"/>
          <w:szCs w:val="20"/>
          <w:color w:val="auto"/>
        </w:rPr>
      </w:pPr>
    </w:p>
    <w:p>
      <w:pPr>
        <w:ind w:right="2559" w:firstLine="872"/>
        <w:spacing w:after="0" w:line="247" w:lineRule="auto"/>
        <w:rPr>
          <w:sz w:val="20"/>
          <w:szCs w:val="20"/>
          <w:color w:val="auto"/>
        </w:rPr>
      </w:pPr>
      <w:r>
        <w:rPr>
          <w:rFonts w:ascii="Courier New" w:cs="Courier New" w:eastAsia="Courier New" w:hAnsi="Courier New"/>
          <w:sz w:val="16"/>
          <w:szCs w:val="16"/>
          <w:color w:val="auto"/>
        </w:rPr>
        <w:t>In order to provide additional working capital and funds for general corporate purposes, CheckFree Corporation has entered into a revolving loan credit facility for an amount up to $30 million that matures on December 30, 2002. Currently, we have no indebtedness under the credit facility. The credit facility provides for interest rates determined, at our option, at either LIBOR rate or the prime rate.</w:t>
      </w:r>
    </w:p>
    <w:p>
      <w:pPr>
        <w:spacing w:after="0" w:line="185" w:lineRule="exact"/>
        <w:rPr>
          <w:sz w:val="20"/>
          <w:szCs w:val="20"/>
          <w:color w:val="auto"/>
        </w:rPr>
      </w:pPr>
    </w:p>
    <w:p>
      <w:pPr>
        <w:ind w:right="2459" w:firstLine="872"/>
        <w:spacing w:after="0" w:line="247" w:lineRule="auto"/>
        <w:rPr>
          <w:sz w:val="20"/>
          <w:szCs w:val="20"/>
          <w:color w:val="auto"/>
        </w:rPr>
      </w:pPr>
      <w:r>
        <w:rPr>
          <w:rFonts w:ascii="Courier New" w:cs="Courier New" w:eastAsia="Courier New" w:hAnsi="Courier New"/>
          <w:sz w:val="16"/>
          <w:szCs w:val="16"/>
          <w:color w:val="auto"/>
        </w:rPr>
        <w:t>CheckFree Services Corporation may borrow for working capital and general corporate purposes. We are required to maintain the following financial ratio: debt to capitalization ratio of less than or equal to 50% for each fiscal quarter ended March 31, 2000 and thereafter.</w:t>
      </w:r>
    </w:p>
    <w:p>
      <w:pPr>
        <w:spacing w:after="0" w:line="372" w:lineRule="exact"/>
        <w:rPr>
          <w:sz w:val="20"/>
          <w:szCs w:val="20"/>
          <w:color w:val="auto"/>
        </w:rPr>
      </w:pPr>
    </w:p>
    <w:p>
      <w:pPr>
        <w:jc w:val="both"/>
        <w:ind w:right="2559" w:firstLine="872"/>
        <w:spacing w:after="0" w:line="247" w:lineRule="auto"/>
        <w:rPr>
          <w:sz w:val="20"/>
          <w:szCs w:val="20"/>
          <w:color w:val="auto"/>
        </w:rPr>
      </w:pPr>
      <w:r>
        <w:rPr>
          <w:rFonts w:ascii="Courier New" w:cs="Courier New" w:eastAsia="Courier New" w:hAnsi="Courier New"/>
          <w:sz w:val="16"/>
          <w:szCs w:val="16"/>
          <w:color w:val="auto"/>
        </w:rPr>
        <w:t>The credit facility contains certain financial and operating covenants and other restrictions with which we must comply, whether or not any borrowings are outstanding. These include restrictions on:</w:t>
      </w:r>
    </w:p>
    <w:p>
      <w:pPr>
        <w:spacing w:after="0" w:line="372" w:lineRule="exact"/>
        <w:rPr>
          <w:sz w:val="20"/>
          <w:szCs w:val="20"/>
          <w:color w:val="auto"/>
        </w:rPr>
      </w:pPr>
    </w:p>
    <w:p>
      <w:pPr>
        <w:ind w:left="780" w:hanging="296"/>
        <w:spacing w:after="0"/>
        <w:tabs>
          <w:tab w:leader="none" w:pos="780" w:val="left"/>
        </w:tabs>
        <w:numPr>
          <w:ilvl w:val="0"/>
          <w:numId w:val="56"/>
        </w:numPr>
        <w:rPr>
          <w:rFonts w:ascii="Courier New" w:cs="Courier New" w:eastAsia="Courier New" w:hAnsi="Courier New"/>
          <w:sz w:val="16"/>
          <w:szCs w:val="16"/>
          <w:color w:val="auto"/>
        </w:rPr>
      </w:pPr>
      <w:r>
        <w:rPr>
          <w:rFonts w:ascii="Courier New" w:cs="Courier New" w:eastAsia="Courier New" w:hAnsi="Courier New"/>
          <w:sz w:val="16"/>
          <w:szCs w:val="16"/>
          <w:color w:val="auto"/>
        </w:rPr>
        <w:t>acquisitions;</w:t>
      </w:r>
    </w:p>
    <w:p>
      <w:pPr>
        <w:spacing w:after="0" w:line="5" w:lineRule="exact"/>
        <w:rPr>
          <w:rFonts w:ascii="Courier New" w:cs="Courier New" w:eastAsia="Courier New" w:hAnsi="Courier New"/>
          <w:sz w:val="16"/>
          <w:szCs w:val="16"/>
          <w:color w:val="auto"/>
        </w:rPr>
      </w:pPr>
    </w:p>
    <w:p>
      <w:pPr>
        <w:ind w:left="780" w:hanging="296"/>
        <w:spacing w:after="0"/>
        <w:tabs>
          <w:tab w:leader="none" w:pos="780" w:val="left"/>
        </w:tabs>
        <w:numPr>
          <w:ilvl w:val="0"/>
          <w:numId w:val="56"/>
        </w:numPr>
        <w:rPr>
          <w:rFonts w:ascii="Courier New" w:cs="Courier New" w:eastAsia="Courier New" w:hAnsi="Courier New"/>
          <w:sz w:val="16"/>
          <w:szCs w:val="16"/>
          <w:color w:val="auto"/>
        </w:rPr>
      </w:pPr>
      <w:r>
        <w:rPr>
          <w:rFonts w:ascii="Courier New" w:cs="Courier New" w:eastAsia="Courier New" w:hAnsi="Courier New"/>
          <w:sz w:val="16"/>
          <w:szCs w:val="16"/>
          <w:color w:val="auto"/>
        </w:rPr>
        <w:t>additional indebtedness;</w:t>
      </w:r>
    </w:p>
    <w:p>
      <w:pPr>
        <w:spacing w:after="0" w:line="5" w:lineRule="exact"/>
        <w:rPr>
          <w:rFonts w:ascii="Courier New" w:cs="Courier New" w:eastAsia="Courier New" w:hAnsi="Courier New"/>
          <w:sz w:val="16"/>
          <w:szCs w:val="16"/>
          <w:color w:val="auto"/>
        </w:rPr>
      </w:pPr>
    </w:p>
    <w:p>
      <w:pPr>
        <w:ind w:left="780" w:hanging="296"/>
        <w:spacing w:after="0"/>
        <w:tabs>
          <w:tab w:leader="none" w:pos="780" w:val="left"/>
        </w:tabs>
        <w:numPr>
          <w:ilvl w:val="0"/>
          <w:numId w:val="56"/>
        </w:numPr>
        <w:rPr>
          <w:rFonts w:ascii="Courier New" w:cs="Courier New" w:eastAsia="Courier New" w:hAnsi="Courier New"/>
          <w:sz w:val="16"/>
          <w:szCs w:val="16"/>
          <w:color w:val="auto"/>
        </w:rPr>
      </w:pPr>
      <w:r>
        <w:rPr>
          <w:rFonts w:ascii="Courier New" w:cs="Courier New" w:eastAsia="Courier New" w:hAnsi="Courier New"/>
          <w:sz w:val="16"/>
          <w:szCs w:val="16"/>
          <w:color w:val="auto"/>
        </w:rPr>
        <w:t>EBITDA; and</w:t>
      </w:r>
    </w:p>
    <w:p>
      <w:pPr>
        <w:spacing w:after="0" w:line="5" w:lineRule="exact"/>
        <w:rPr>
          <w:rFonts w:ascii="Courier New" w:cs="Courier New" w:eastAsia="Courier New" w:hAnsi="Courier New"/>
          <w:sz w:val="16"/>
          <w:szCs w:val="16"/>
          <w:color w:val="auto"/>
        </w:rPr>
      </w:pPr>
    </w:p>
    <w:p>
      <w:pPr>
        <w:ind w:left="780" w:hanging="296"/>
        <w:spacing w:after="0"/>
        <w:tabs>
          <w:tab w:leader="none" w:pos="780" w:val="left"/>
        </w:tabs>
        <w:numPr>
          <w:ilvl w:val="0"/>
          <w:numId w:val="56"/>
        </w:numPr>
        <w:rPr>
          <w:rFonts w:ascii="Courier New" w:cs="Courier New" w:eastAsia="Courier New" w:hAnsi="Courier New"/>
          <w:sz w:val="16"/>
          <w:szCs w:val="16"/>
          <w:color w:val="auto"/>
        </w:rPr>
      </w:pPr>
      <w:r>
        <w:rPr>
          <w:rFonts w:ascii="Courier New" w:cs="Courier New" w:eastAsia="Courier New" w:hAnsi="Courier New"/>
          <w:sz w:val="16"/>
          <w:szCs w:val="16"/>
          <w:color w:val="auto"/>
        </w:rPr>
        <w:t>capital expenditures and capitalized software.</w:t>
      </w:r>
    </w:p>
    <w:p>
      <w:pPr>
        <w:spacing w:after="0" w:line="191" w:lineRule="exact"/>
        <w:rPr>
          <w:sz w:val="20"/>
          <w:szCs w:val="20"/>
          <w:color w:val="auto"/>
        </w:rPr>
      </w:pPr>
    </w:p>
    <w:p>
      <w:pPr>
        <w:ind w:right="2459" w:firstLine="872"/>
        <w:spacing w:after="0" w:line="247" w:lineRule="auto"/>
        <w:rPr>
          <w:sz w:val="20"/>
          <w:szCs w:val="20"/>
          <w:color w:val="auto"/>
        </w:rPr>
      </w:pPr>
      <w:r>
        <w:rPr>
          <w:rFonts w:ascii="Courier New" w:cs="Courier New" w:eastAsia="Courier New" w:hAnsi="Courier New"/>
          <w:sz w:val="16"/>
          <w:szCs w:val="16"/>
          <w:color w:val="auto"/>
        </w:rPr>
        <w:t>We and CheckFree Investment Corporation guarantee the credit facility. The credit facility is collateralized by liens on CheckFree Services Corporation's cash, accountants receivable, our building in Dublin Ohio, and all books and records relating to accounts receivable in the proceeds on all the foregoing.</w:t>
      </w:r>
    </w:p>
    <w:p>
      <w:pPr>
        <w:spacing w:after="0" w:line="372"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33</w:t>
      </w:r>
    </w:p>
    <w:p>
      <w:pPr>
        <w:sectPr>
          <w:pgSz w:w="11900" w:h="16838" w:orient="portrait"/>
          <w:cols w:equalWidth="0" w:num="1">
            <w:col w:w="10219"/>
          </w:cols>
          <w:pgMar w:left="240" w:top="303" w:right="1440" w:bottom="1440" w:gutter="0" w:footer="0" w:header="0"/>
        </w:sectPr>
      </w:pPr>
    </w:p>
    <w:bookmarkStart w:id="38" w:name="page39"/>
    <w:bookmarkEnd w:id="38"/>
    <w:p>
      <w:pPr>
        <w:spacing w:after="0" w:line="65" w:lineRule="exact"/>
        <w:rPr>
          <w:sz w:val="20"/>
          <w:szCs w:val="20"/>
          <w:color w:val="auto"/>
        </w:rPr>
      </w:pPr>
    </w:p>
    <w:p>
      <w:pPr>
        <w:ind w:left="300"/>
        <w:spacing w:after="0"/>
        <w:rPr>
          <w:sz w:val="20"/>
          <w:szCs w:val="20"/>
          <w:color w:val="auto"/>
        </w:rPr>
      </w:pPr>
      <w:r>
        <w:rPr>
          <w:rFonts w:ascii="Courier New" w:cs="Courier New" w:eastAsia="Courier New" w:hAnsi="Courier New"/>
          <w:sz w:val="16"/>
          <w:szCs w:val="16"/>
          <w:color w:val="auto"/>
        </w:rPr>
        <w:t>34</w:t>
      </w:r>
    </w:p>
    <w:p>
      <w:pPr>
        <w:spacing w:after="0" w:line="5" w:lineRule="exact"/>
        <w:rPr>
          <w:sz w:val="20"/>
          <w:szCs w:val="20"/>
          <w:color w:val="auto"/>
        </w:rPr>
      </w:pPr>
    </w:p>
    <w:p>
      <w:pPr>
        <w:ind w:left="2040"/>
        <w:spacing w:after="0"/>
        <w:rPr>
          <w:sz w:val="20"/>
          <w:szCs w:val="20"/>
          <w:color w:val="auto"/>
        </w:rPr>
      </w:pPr>
      <w:r>
        <w:rPr>
          <w:rFonts w:ascii="Courier New" w:cs="Courier New" w:eastAsia="Courier New" w:hAnsi="Courier New"/>
          <w:sz w:val="16"/>
          <w:szCs w:val="16"/>
          <w:color w:val="auto"/>
        </w:rPr>
        <w:t>CERTAIN FEDERAL INCOME TAX CONSEQUENCES</w:t>
      </w:r>
    </w:p>
    <w:p>
      <w:pPr>
        <w:spacing w:after="0" w:line="378" w:lineRule="exact"/>
        <w:rPr>
          <w:sz w:val="20"/>
          <w:szCs w:val="20"/>
          <w:color w:val="auto"/>
        </w:rPr>
      </w:pPr>
    </w:p>
    <w:p>
      <w:pPr>
        <w:ind w:right="2459" w:firstLine="872"/>
        <w:spacing w:after="0" w:line="246" w:lineRule="auto"/>
        <w:rPr>
          <w:sz w:val="20"/>
          <w:szCs w:val="20"/>
          <w:color w:val="auto"/>
        </w:rPr>
      </w:pPr>
      <w:r>
        <w:rPr>
          <w:rFonts w:ascii="Courier New" w:cs="Courier New" w:eastAsia="Courier New" w:hAnsi="Courier New"/>
          <w:sz w:val="16"/>
          <w:szCs w:val="16"/>
          <w:color w:val="auto"/>
        </w:rPr>
        <w:t>The following discussions summarizes certain United States federal income tax considerations that may be relevant to the purchase, ownership and disposition of the notes and our common stock into which the notes may be converted, but does not purport to be a complete analysis of the potential tax considerations relating thereto. This summary deals only with holders that are United States Persons (as defined below) that will hold the notes and our common stock as capital assets and does not address tax considerations applicable to investors that may be subject to special tax rules such as dealers in securities or currencies, financial institutions, real estate investment trusts, regulated investment companies, banks, insurance companies, tax-exempt entities, persons holding the notes as part of a hedging or conversion transaction, a straddle or a constructive sale, persons whose functional currency is not the U.S. dollar, and holders of the notes that did not acquire the notes in the initial distribution thereof at their original issue price. In addition, this discussion does not consider the effect of any alternative minimum, estate, gift, foreign, state, local or other tax laws.</w:t>
      </w:r>
    </w:p>
    <w:p>
      <w:pPr>
        <w:spacing w:after="0" w:line="382" w:lineRule="exact"/>
        <w:rPr>
          <w:sz w:val="20"/>
          <w:szCs w:val="20"/>
          <w:color w:val="auto"/>
        </w:rPr>
      </w:pPr>
    </w:p>
    <w:p>
      <w:pPr>
        <w:ind w:right="2459" w:firstLine="872"/>
        <w:spacing w:after="0" w:line="248" w:lineRule="auto"/>
        <w:rPr>
          <w:sz w:val="20"/>
          <w:szCs w:val="20"/>
          <w:color w:val="auto"/>
        </w:rPr>
      </w:pPr>
      <w:r>
        <w:rPr>
          <w:rFonts w:ascii="Courier New" w:cs="Courier New" w:eastAsia="Courier New" w:hAnsi="Courier New"/>
          <w:sz w:val="16"/>
          <w:szCs w:val="16"/>
          <w:color w:val="auto"/>
        </w:rPr>
        <w:t>As used herein, "United States Person" means a beneficial owner of the notes or our common stock into which the notes may be converted, who or that is:</w:t>
      </w:r>
    </w:p>
    <w:p>
      <w:pPr>
        <w:spacing w:after="0" w:line="371" w:lineRule="exact"/>
        <w:rPr>
          <w:sz w:val="20"/>
          <w:szCs w:val="20"/>
          <w:color w:val="auto"/>
        </w:rPr>
      </w:pPr>
    </w:p>
    <w:p>
      <w:pPr>
        <w:ind w:left="1060" w:right="2859" w:hanging="189"/>
        <w:spacing w:after="0" w:line="248" w:lineRule="auto"/>
        <w:tabs>
          <w:tab w:leader="none" w:pos="1060" w:val="left"/>
        </w:tabs>
        <w:numPr>
          <w:ilvl w:val="0"/>
          <w:numId w:val="57"/>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citizen or resident of the United States for federal income tax purposes;</w:t>
      </w:r>
    </w:p>
    <w:p>
      <w:pPr>
        <w:spacing w:after="0" w:line="184" w:lineRule="exact"/>
        <w:rPr>
          <w:rFonts w:ascii="Courier New" w:cs="Courier New" w:eastAsia="Courier New" w:hAnsi="Courier New"/>
          <w:sz w:val="16"/>
          <w:szCs w:val="16"/>
          <w:color w:val="auto"/>
        </w:rPr>
      </w:pPr>
    </w:p>
    <w:p>
      <w:pPr>
        <w:ind w:left="1060" w:right="2859" w:hanging="189"/>
        <w:spacing w:after="0" w:line="247" w:lineRule="auto"/>
        <w:tabs>
          <w:tab w:leader="none" w:pos="1060" w:val="left"/>
        </w:tabs>
        <w:numPr>
          <w:ilvl w:val="0"/>
          <w:numId w:val="57"/>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corporation or other entity taxable as a corporation created or organized in or under the laws of the United States or political subdivision thereof;</w:t>
      </w:r>
    </w:p>
    <w:p>
      <w:pPr>
        <w:spacing w:after="0" w:line="185" w:lineRule="exact"/>
        <w:rPr>
          <w:rFonts w:ascii="Courier New" w:cs="Courier New" w:eastAsia="Courier New" w:hAnsi="Courier New"/>
          <w:sz w:val="16"/>
          <w:szCs w:val="16"/>
          <w:color w:val="auto"/>
        </w:rPr>
      </w:pPr>
    </w:p>
    <w:p>
      <w:pPr>
        <w:ind w:left="1060" w:right="3039" w:hanging="189"/>
        <w:spacing w:after="0" w:line="248" w:lineRule="auto"/>
        <w:tabs>
          <w:tab w:leader="none" w:pos="1060" w:val="left"/>
        </w:tabs>
        <w:numPr>
          <w:ilvl w:val="0"/>
          <w:numId w:val="57"/>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 estate the income of which is subject to U.S. federal income taxation regardless of its source; or</w:t>
      </w:r>
    </w:p>
    <w:p>
      <w:pPr>
        <w:spacing w:after="0" w:line="184" w:lineRule="exact"/>
        <w:rPr>
          <w:rFonts w:ascii="Courier New" w:cs="Courier New" w:eastAsia="Courier New" w:hAnsi="Courier New"/>
          <w:sz w:val="16"/>
          <w:szCs w:val="16"/>
          <w:color w:val="auto"/>
        </w:rPr>
      </w:pPr>
    </w:p>
    <w:p>
      <w:pPr>
        <w:ind w:left="1060" w:right="2659" w:hanging="189"/>
        <w:spacing w:after="0" w:line="247" w:lineRule="auto"/>
        <w:tabs>
          <w:tab w:leader="none" w:pos="1060" w:val="left"/>
        </w:tabs>
        <w:numPr>
          <w:ilvl w:val="0"/>
          <w:numId w:val="57"/>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trust if (1) a U.S. court is able to exercise primary supervision over the administration of the trust and (2) one or more U.S. fiduciaries have authority to control all substantial decisions of the trust.</w:t>
      </w:r>
    </w:p>
    <w:p>
      <w:pPr>
        <w:spacing w:after="0" w:line="186" w:lineRule="exact"/>
        <w:rPr>
          <w:sz w:val="20"/>
          <w:szCs w:val="20"/>
          <w:color w:val="auto"/>
        </w:rPr>
      </w:pPr>
    </w:p>
    <w:p>
      <w:pPr>
        <w:ind w:right="2559" w:firstLine="872"/>
        <w:spacing w:after="0" w:line="246" w:lineRule="auto"/>
        <w:rPr>
          <w:sz w:val="20"/>
          <w:szCs w:val="20"/>
          <w:color w:val="auto"/>
        </w:rPr>
      </w:pPr>
      <w:r>
        <w:rPr>
          <w:rFonts w:ascii="Courier New" w:cs="Courier New" w:eastAsia="Courier New" w:hAnsi="Courier New"/>
          <w:sz w:val="16"/>
          <w:szCs w:val="16"/>
          <w:color w:val="auto"/>
        </w:rPr>
        <w:t>THE DISCUSSION OF THE UNITED STATES FEDERAL INCOME TAX CONSIDERATIONS BELOW IS BASED ON CURRENTLY EXISTING PROVISIONS OF THE INTERNAL REVENUE CODE OF 1986, AS AMENDED, THE APPLICABLE TREASURY REGULATIONS PROMULGATED AND PROPOSED UNDER THE INTERNAL REVENUE CODE, JUDICIAL DECISIONS AND ADMINISTRATIVE INTERPRETATIONS, ALL OF WHICH ARE SUBJECT TO CHANGE, POSSIBLY ON A RETROACTIVE BASIS. BECAUSE INDIVIDUAL CIRCUMSTANCES MAY DIFFER YOU ARE STRONGLY URGED TO CONSULT YOUR TAX ADVISOR WITH RESPECT TO YOUR PARTICULAR TAX SITUATION AND THE PARTICULAR TAX EFFECTS OF ANY STATE, LOCAL, NON-UNITED STATES OR OTHER TAX LAWS AND POSSIBLE CHANGES IN THE TAX LAWS.</w:t>
      </w:r>
    </w:p>
    <w:p>
      <w:pPr>
        <w:spacing w:after="0" w:line="37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NOTES</w:t>
      </w:r>
    </w:p>
    <w:p>
      <w:pPr>
        <w:spacing w:after="0" w:line="378" w:lineRule="exact"/>
        <w:rPr>
          <w:sz w:val="20"/>
          <w:szCs w:val="20"/>
          <w:color w:val="auto"/>
        </w:rPr>
      </w:pPr>
    </w:p>
    <w:p>
      <w:pPr>
        <w:ind w:right="2459" w:firstLine="872"/>
        <w:spacing w:after="0" w:line="247" w:lineRule="auto"/>
        <w:rPr>
          <w:sz w:val="20"/>
          <w:szCs w:val="20"/>
          <w:color w:val="auto"/>
        </w:rPr>
      </w:pPr>
      <w:r>
        <w:rPr>
          <w:rFonts w:ascii="Courier New" w:cs="Courier New" w:eastAsia="Courier New" w:hAnsi="Courier New"/>
          <w:sz w:val="16"/>
          <w:szCs w:val="16"/>
          <w:color w:val="auto"/>
        </w:rPr>
        <w:t>Stated Interest. Generally, a holder will be required to include in gross income, as ordinary income, the stated interest on a note at the time that the interest accrues or is received, in accordance with the holder's regular method of accounting for federal income tax purposes.</w:t>
      </w:r>
    </w:p>
    <w:p>
      <w:pPr>
        <w:spacing w:after="0" w:line="186" w:lineRule="exact"/>
        <w:rPr>
          <w:sz w:val="20"/>
          <w:szCs w:val="20"/>
          <w:color w:val="auto"/>
        </w:rPr>
      </w:pPr>
    </w:p>
    <w:p>
      <w:pPr>
        <w:jc w:val="both"/>
        <w:ind w:right="3139" w:firstLine="872"/>
        <w:spacing w:after="0" w:line="247" w:lineRule="auto"/>
        <w:rPr>
          <w:sz w:val="20"/>
          <w:szCs w:val="20"/>
          <w:color w:val="auto"/>
        </w:rPr>
      </w:pPr>
      <w:r>
        <w:rPr>
          <w:rFonts w:ascii="Courier New" w:cs="Courier New" w:eastAsia="Courier New" w:hAnsi="Courier New"/>
          <w:sz w:val="16"/>
          <w:szCs w:val="16"/>
          <w:color w:val="auto"/>
        </w:rPr>
        <w:t>Interest Deduction on the Notes. The Taxpayer Relief Act of 1997 enacted Section 163(1) of the Internal Revenue Code, which disallows any interest paid or accrued on indebtedness payable in equity of the issuer. Indebtedness is treated as payable in equity of the issuer if:</w:t>
      </w:r>
    </w:p>
    <w:p>
      <w:pPr>
        <w:spacing w:after="0" w:line="186" w:lineRule="exact"/>
        <w:rPr>
          <w:sz w:val="20"/>
          <w:szCs w:val="20"/>
          <w:color w:val="auto"/>
        </w:rPr>
      </w:pPr>
    </w:p>
    <w:p>
      <w:pPr>
        <w:ind w:left="1460" w:right="2459" w:hanging="589"/>
        <w:spacing w:after="0" w:line="248" w:lineRule="auto"/>
        <w:tabs>
          <w:tab w:leader="none" w:pos="1460" w:val="left"/>
        </w:tabs>
        <w:numPr>
          <w:ilvl w:val="0"/>
          <w:numId w:val="58"/>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substantial portion of the principal or interest is required to be paid or converted into the equity,</w:t>
      </w:r>
    </w:p>
    <w:p>
      <w:pPr>
        <w:spacing w:after="0" w:line="184" w:lineRule="exact"/>
        <w:rPr>
          <w:rFonts w:ascii="Courier New" w:cs="Courier New" w:eastAsia="Courier New" w:hAnsi="Courier New"/>
          <w:sz w:val="16"/>
          <w:szCs w:val="16"/>
          <w:color w:val="auto"/>
        </w:rPr>
      </w:pPr>
    </w:p>
    <w:p>
      <w:pPr>
        <w:ind w:left="1460" w:right="2559" w:hanging="589"/>
        <w:spacing w:after="0" w:line="248" w:lineRule="auto"/>
        <w:tabs>
          <w:tab w:leader="none" w:pos="1460" w:val="left"/>
        </w:tabs>
        <w:numPr>
          <w:ilvl w:val="0"/>
          <w:numId w:val="58"/>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substantial amount of the principal or interest is required to be determined by reference to the value of the equity, or</w:t>
      </w:r>
    </w:p>
    <w:p>
      <w:pPr>
        <w:spacing w:after="0" w:line="184" w:lineRule="exact"/>
        <w:rPr>
          <w:rFonts w:ascii="Courier New" w:cs="Courier New" w:eastAsia="Courier New" w:hAnsi="Courier New"/>
          <w:sz w:val="16"/>
          <w:szCs w:val="16"/>
          <w:color w:val="auto"/>
        </w:rPr>
      </w:pPr>
    </w:p>
    <w:p>
      <w:pPr>
        <w:ind w:left="1460" w:right="2759" w:hanging="589"/>
        <w:spacing w:after="0" w:line="248" w:lineRule="auto"/>
        <w:tabs>
          <w:tab w:leader="none" w:pos="1460" w:val="left"/>
        </w:tabs>
        <w:numPr>
          <w:ilvl w:val="0"/>
          <w:numId w:val="5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indebtedness is part of an arrangement which is reasonably expected to result in a transaction in (1) or (2).</w:t>
      </w:r>
    </w:p>
    <w:p>
      <w:pPr>
        <w:spacing w:after="0" w:line="184" w:lineRule="exact"/>
        <w:rPr>
          <w:sz w:val="20"/>
          <w:szCs w:val="20"/>
          <w:color w:val="auto"/>
        </w:rPr>
      </w:pPr>
    </w:p>
    <w:p>
      <w:pPr>
        <w:ind w:right="2459"/>
        <w:spacing w:after="0" w:line="247" w:lineRule="auto"/>
        <w:rPr>
          <w:sz w:val="20"/>
          <w:szCs w:val="20"/>
          <w:color w:val="auto"/>
        </w:rPr>
      </w:pPr>
      <w:r>
        <w:rPr>
          <w:rFonts w:ascii="Courier New" w:cs="Courier New" w:eastAsia="Courier New" w:hAnsi="Courier New"/>
          <w:sz w:val="16"/>
          <w:szCs w:val="16"/>
          <w:color w:val="auto"/>
        </w:rPr>
        <w:t>Principal or interest is treated as required to be so paid, converted or determined if it may be required at the option of the holder of the debt instrument and there is a substantial certainty that the option will be exercised. We do not believe that deductions for interest paid or accrued on the notes should be disallowed under Section 163(l) but there can be no assurance that such position will not be challenged successfully by the Internal Revenue Service.</w:t>
      </w:r>
    </w:p>
    <w:p>
      <w:pPr>
        <w:spacing w:after="0" w:line="371" w:lineRule="exact"/>
        <w:rPr>
          <w:sz w:val="20"/>
          <w:szCs w:val="20"/>
          <w:color w:val="auto"/>
        </w:rPr>
      </w:pPr>
    </w:p>
    <w:p>
      <w:pPr>
        <w:ind w:right="2759" w:firstLine="872"/>
        <w:spacing w:after="0" w:line="247" w:lineRule="auto"/>
        <w:rPr>
          <w:sz w:val="20"/>
          <w:szCs w:val="20"/>
          <w:color w:val="auto"/>
        </w:rPr>
      </w:pPr>
      <w:r>
        <w:rPr>
          <w:rFonts w:ascii="Courier New" w:cs="Courier New" w:eastAsia="Courier New" w:hAnsi="Courier New"/>
          <w:sz w:val="16"/>
          <w:szCs w:val="16"/>
          <w:color w:val="auto"/>
        </w:rPr>
        <w:t>Sale, Exchange or Retirement of the Notes. A holder's tax basis in a note will be its cost. A holder generally will recognize gain or loss on the sale, exchange or retirement (including a redemption by us) of a note in an amount equal to the difference between the amount of cash plus the net fair market value of any property received, other than any such amount received in</w:t>
      </w:r>
    </w:p>
    <w:p>
      <w:pPr>
        <w:sectPr>
          <w:pgSz w:w="11900" w:h="16903" w:orient="portrait"/>
          <w:cols w:equalWidth="0" w:num="1">
            <w:col w:w="10219"/>
          </w:cols>
          <w:pgMar w:left="240" w:top="303" w:right="1440" w:bottom="0" w:gutter="0" w:footer="0" w:header="0"/>
        </w:sectPr>
      </w:pPr>
    </w:p>
    <w:bookmarkStart w:id="39" w:name="page40"/>
    <w:bookmarkEnd w:id="39"/>
    <w:p>
      <w:pPr>
        <w:jc w:val="both"/>
        <w:ind w:right="2759"/>
        <w:spacing w:after="0" w:line="247" w:lineRule="auto"/>
        <w:rPr>
          <w:sz w:val="20"/>
          <w:szCs w:val="20"/>
          <w:color w:val="auto"/>
        </w:rPr>
      </w:pPr>
      <w:r>
        <w:rPr>
          <w:rFonts w:ascii="Courier New" w:cs="Courier New" w:eastAsia="Courier New" w:hAnsi="Courier New"/>
          <w:sz w:val="16"/>
          <w:szCs w:val="16"/>
          <w:color w:val="auto"/>
        </w:rPr>
        <w:t>respect of accrued interest (which will be taxable as such if not previously included in income), and the holder's adjusted tax basis in the note. Gain or loss recognized on the sale, exchange or retirement of a</w:t>
      </w:r>
    </w:p>
    <w:p>
      <w:pPr>
        <w:spacing w:after="0" w:line="186"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34</w:t>
      </w:r>
    </w:p>
    <w:p>
      <w:pPr>
        <w:sectPr>
          <w:pgSz w:w="11900" w:h="16838" w:orient="portrait"/>
          <w:cols w:equalWidth="0" w:num="1">
            <w:col w:w="10219"/>
          </w:cols>
          <w:pgMar w:left="240" w:top="142" w:right="1440" w:bottom="1440" w:gutter="0" w:footer="0" w:header="0"/>
        </w:sectPr>
      </w:pPr>
    </w:p>
    <w:bookmarkStart w:id="40" w:name="page41"/>
    <w:bookmarkEnd w:id="40"/>
    <w:p>
      <w:pPr>
        <w:ind w:left="300"/>
        <w:spacing w:after="0"/>
        <w:rPr>
          <w:sz w:val="20"/>
          <w:szCs w:val="20"/>
          <w:color w:val="auto"/>
        </w:rPr>
      </w:pPr>
      <w:r>
        <w:rPr>
          <w:rFonts w:ascii="Courier New" w:cs="Courier New" w:eastAsia="Courier New" w:hAnsi="Courier New"/>
          <w:sz w:val="16"/>
          <w:szCs w:val="16"/>
          <w:color w:val="auto"/>
        </w:rPr>
        <w:t>35</w:t>
      </w:r>
    </w:p>
    <w:p>
      <w:pPr>
        <w:spacing w:after="0" w:line="191" w:lineRule="exact"/>
        <w:rPr>
          <w:sz w:val="20"/>
          <w:szCs w:val="20"/>
          <w:color w:val="auto"/>
        </w:rPr>
      </w:pPr>
    </w:p>
    <w:p>
      <w:pPr>
        <w:ind w:right="2559"/>
        <w:spacing w:after="0" w:line="247" w:lineRule="auto"/>
        <w:rPr>
          <w:sz w:val="20"/>
          <w:szCs w:val="20"/>
          <w:color w:val="auto"/>
        </w:rPr>
      </w:pPr>
      <w:r>
        <w:rPr>
          <w:rFonts w:ascii="Courier New" w:cs="Courier New" w:eastAsia="Courier New" w:hAnsi="Courier New"/>
          <w:sz w:val="16"/>
          <w:szCs w:val="16"/>
          <w:color w:val="auto"/>
        </w:rPr>
        <w:t>note generally will be a capital gain or loss. In the case of a non-corporate holder, the federal tax rate applicable to capital gains will depend upon the holder's holding period for the notes, with a preferential rate available for the notes held for more than twelve months. The deductibility of capital losses is subject to limitations.</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CONVERSION OF THE NOTES</w:t>
      </w:r>
    </w:p>
    <w:p>
      <w:pPr>
        <w:spacing w:after="0" w:line="378" w:lineRule="exact"/>
        <w:rPr>
          <w:sz w:val="20"/>
          <w:szCs w:val="20"/>
          <w:color w:val="auto"/>
        </w:rPr>
      </w:pPr>
    </w:p>
    <w:p>
      <w:pPr>
        <w:ind w:right="2459" w:firstLine="872"/>
        <w:spacing w:after="0" w:line="246" w:lineRule="auto"/>
        <w:rPr>
          <w:sz w:val="20"/>
          <w:szCs w:val="20"/>
          <w:color w:val="auto"/>
        </w:rPr>
      </w:pPr>
      <w:r>
        <w:rPr>
          <w:rFonts w:ascii="Courier New" w:cs="Courier New" w:eastAsia="Courier New" w:hAnsi="Courier New"/>
          <w:sz w:val="16"/>
          <w:szCs w:val="16"/>
          <w:color w:val="auto"/>
        </w:rPr>
        <w:t>A holder generally will not recognize any income, gain, or loss upon conversion of a note into our common stock, except with respect to cash received in lieu of a fractional share of our common stock. The holder's basis in our common stock received on conversion of a note will be the same as the holder's adjusted tax basis in the note at the time of conversion, reduced by any basis allocable to a fractional share interest as described below, and the holding period for our common stock received on conversion will generally include the holding period of the note converted.</w:t>
      </w:r>
    </w:p>
    <w:p>
      <w:pPr>
        <w:spacing w:after="0" w:line="191" w:lineRule="exact"/>
        <w:rPr>
          <w:sz w:val="20"/>
          <w:szCs w:val="20"/>
          <w:color w:val="auto"/>
        </w:rPr>
      </w:pPr>
    </w:p>
    <w:p>
      <w:pPr>
        <w:ind w:right="2459" w:firstLine="872"/>
        <w:spacing w:after="0" w:line="247" w:lineRule="auto"/>
        <w:rPr>
          <w:sz w:val="20"/>
          <w:szCs w:val="20"/>
          <w:color w:val="auto"/>
        </w:rPr>
      </w:pPr>
      <w:r>
        <w:rPr>
          <w:rFonts w:ascii="Courier New" w:cs="Courier New" w:eastAsia="Courier New" w:hAnsi="Courier New"/>
          <w:sz w:val="16"/>
          <w:szCs w:val="16"/>
          <w:color w:val="auto"/>
        </w:rPr>
        <w:t>Cash received in lieu of a fractional share of our common stock will be treated as a payment in exchange for the fractional share interest in our common stock. Accordingly, the receipt of cash in lieu of a fractional share of our common stock will generally result in capital gain or loss, measured by the difference between the cash received for the fractional share and the holder's adjusted tax basis in the fractional share.</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CONSTRUCTIVE DIVIDENDS</w:t>
      </w:r>
    </w:p>
    <w:p>
      <w:pPr>
        <w:spacing w:after="0" w:line="378" w:lineRule="exact"/>
        <w:rPr>
          <w:sz w:val="20"/>
          <w:szCs w:val="20"/>
          <w:color w:val="auto"/>
        </w:rPr>
      </w:pPr>
    </w:p>
    <w:p>
      <w:pPr>
        <w:ind w:right="2459" w:firstLine="872"/>
        <w:spacing w:after="0" w:line="246" w:lineRule="auto"/>
        <w:rPr>
          <w:sz w:val="20"/>
          <w:szCs w:val="20"/>
          <w:color w:val="auto"/>
        </w:rPr>
      </w:pPr>
      <w:r>
        <w:rPr>
          <w:rFonts w:ascii="Courier New" w:cs="Courier New" w:eastAsia="Courier New" w:hAnsi="Courier New"/>
          <w:sz w:val="16"/>
          <w:szCs w:val="16"/>
          <w:color w:val="auto"/>
        </w:rPr>
        <w:t>The conversion price of the notes is subject to adjustment under certain circumstances. See "Description of Notes--Conversion Rights." Under Section 305 of the Internal Revenue Code and the Treasury Regulations issued thereunder, certain adjustments to the conversion price may be treated as a taxable distribution resulting in ordinary income, subject to a possible dividends-received deduction for corporate holders, to the extent of our current and accumulated earnings and profits if, and to the extent that, adjustments in the conversion price increase such holder's proportionate interest in our earnings, profits and assets. Such adjustments may occur in limited circumstances, particularly adjustments to reflect taxable dividends to holders of our common stock and in such a case a constructive distribution would arise, whether or not the holders ever convert the notes. Holders of the notes, therefore, could have taxable income as a result of an event in which they received no cash or property. A holder's tax basis in a note, however, generally will be increased by the amount of any constructive dividend included in taxable income. Similarly, a failure to adjust the Conversion Rate to reflect a stock dividend or other event increasing the proportionate interest of the holders of our outstanding common stock could, in some circumstances, give rise to deemed dividend income to holders of our common stock.</w:t>
      </w:r>
    </w:p>
    <w:p>
      <w:pPr>
        <w:spacing w:after="0" w:line="38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DIVIDENDS ON COMMON STOCK</w:t>
      </w:r>
    </w:p>
    <w:p>
      <w:pPr>
        <w:spacing w:after="0" w:line="378" w:lineRule="exact"/>
        <w:rPr>
          <w:sz w:val="20"/>
          <w:szCs w:val="20"/>
          <w:color w:val="auto"/>
        </w:rPr>
      </w:pPr>
    </w:p>
    <w:p>
      <w:pPr>
        <w:ind w:right="2559" w:firstLine="872"/>
        <w:spacing w:after="0" w:line="246" w:lineRule="auto"/>
        <w:rPr>
          <w:sz w:val="20"/>
          <w:szCs w:val="20"/>
          <w:color w:val="auto"/>
        </w:rPr>
      </w:pPr>
      <w:r>
        <w:rPr>
          <w:rFonts w:ascii="Courier New" w:cs="Courier New" w:eastAsia="Courier New" w:hAnsi="Courier New"/>
          <w:sz w:val="16"/>
          <w:szCs w:val="16"/>
          <w:color w:val="auto"/>
        </w:rPr>
        <w:t>Dividends paid on our common stock generally will be includable in the income of a holder as ordinary income to the extent of our current or accumulated earnings and profits. Subject to certain limitations, a corporate taxpayer holding common stock that receives dividends thereon generally will be eligible for a dividends-received deduction equal to 70% of the dividends received. The dividends-received deduction is subject, however, to certain holding period, taxable income and other limitations. In addition, corporate holders should consider the rules under Section 1059 of the Internal Revenue Code that may reduce their basis in our common stock.</w:t>
      </w:r>
    </w:p>
    <w:p>
      <w:pPr>
        <w:spacing w:after="0" w:line="37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SALE, EXCHANGE OR REDEMPTION OF COMMON STOCK</w:t>
      </w:r>
    </w:p>
    <w:p>
      <w:pPr>
        <w:spacing w:after="0" w:line="191" w:lineRule="exact"/>
        <w:rPr>
          <w:sz w:val="20"/>
          <w:szCs w:val="20"/>
          <w:color w:val="auto"/>
        </w:rPr>
      </w:pPr>
    </w:p>
    <w:p>
      <w:pPr>
        <w:ind w:right="2559" w:firstLine="872"/>
        <w:spacing w:after="0" w:line="246" w:lineRule="auto"/>
        <w:rPr>
          <w:sz w:val="20"/>
          <w:szCs w:val="20"/>
          <w:color w:val="auto"/>
        </w:rPr>
      </w:pPr>
      <w:r>
        <w:rPr>
          <w:rFonts w:ascii="Courier New" w:cs="Courier New" w:eastAsia="Courier New" w:hAnsi="Courier New"/>
          <w:sz w:val="16"/>
          <w:szCs w:val="16"/>
          <w:color w:val="auto"/>
        </w:rPr>
        <w:t>Upon the sale, exchange or redemption of our common stock, a holder generally will recognize capital gain or loss equal to the difference between the amount realized on the sale, exchange or redemption and the holder's adjusted tax basis in our common stock. In the case of a non-corporate holder, the Federal tax rate applicable to capital gains will depend upon the holder's holding period for our common stock, with a preferential rate available for our common stock held for more than twelve months. The deductibility of capital losses is subject to limitations.</w:t>
      </w:r>
    </w:p>
    <w:p>
      <w:pPr>
        <w:spacing w:after="0" w:line="19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INFORMATION REPORTING AND BACKUP WITHHOLDING TAX</w:t>
      </w:r>
    </w:p>
    <w:p>
      <w:pPr>
        <w:spacing w:after="0" w:line="191" w:lineRule="exact"/>
        <w:rPr>
          <w:sz w:val="20"/>
          <w:szCs w:val="20"/>
          <w:color w:val="auto"/>
        </w:rPr>
      </w:pPr>
    </w:p>
    <w:p>
      <w:pPr>
        <w:ind w:right="2659" w:firstLine="872"/>
        <w:spacing w:after="0" w:line="247" w:lineRule="auto"/>
        <w:rPr>
          <w:sz w:val="20"/>
          <w:szCs w:val="20"/>
          <w:color w:val="auto"/>
        </w:rPr>
      </w:pPr>
      <w:r>
        <w:rPr>
          <w:rFonts w:ascii="Courier New" w:cs="Courier New" w:eastAsia="Courier New" w:hAnsi="Courier New"/>
          <w:sz w:val="16"/>
          <w:szCs w:val="16"/>
          <w:color w:val="auto"/>
        </w:rPr>
        <w:t>In general, information reporting requirements will apply to payments of principal, premium, if any, and interest on a note, payments of actual or constructive dividends on our common stock, and payment of the proceeds of</w:t>
      </w:r>
    </w:p>
    <w:p>
      <w:pPr>
        <w:sectPr>
          <w:pgSz w:w="11900" w:h="16838" w:orient="portrait"/>
          <w:cols w:equalWidth="0" w:num="1">
            <w:col w:w="10219"/>
          </w:cols>
          <w:pgMar w:left="240" w:top="303" w:right="1440" w:bottom="136" w:gutter="0" w:footer="0" w:header="0"/>
        </w:sectPr>
      </w:pPr>
    </w:p>
    <w:p>
      <w:pPr>
        <w:spacing w:after="0" w:line="186"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35</w:t>
      </w:r>
    </w:p>
    <w:p>
      <w:pPr>
        <w:sectPr>
          <w:pgSz w:w="11900" w:h="16838" w:orient="portrait"/>
          <w:cols w:equalWidth="0" w:num="1">
            <w:col w:w="10219"/>
          </w:cols>
          <w:pgMar w:left="240" w:top="303" w:right="1440" w:bottom="136" w:gutter="0" w:footer="0" w:header="0"/>
          <w:type w:val="continuous"/>
        </w:sectPr>
      </w:pPr>
    </w:p>
    <w:bookmarkStart w:id="41" w:name="page42"/>
    <w:bookmarkEnd w:id="41"/>
    <w:p>
      <w:pPr>
        <w:ind w:left="300"/>
        <w:spacing w:after="0"/>
        <w:rPr>
          <w:sz w:val="20"/>
          <w:szCs w:val="20"/>
          <w:color w:val="auto"/>
        </w:rPr>
      </w:pPr>
      <w:r>
        <w:rPr>
          <w:rFonts w:ascii="Courier New" w:cs="Courier New" w:eastAsia="Courier New" w:hAnsi="Courier New"/>
          <w:sz w:val="16"/>
          <w:szCs w:val="16"/>
          <w:color w:val="auto"/>
        </w:rPr>
        <w:t>36</w:t>
      </w:r>
    </w:p>
    <w:p>
      <w:pPr>
        <w:spacing w:after="0" w:line="191" w:lineRule="exact"/>
        <w:rPr>
          <w:sz w:val="20"/>
          <w:szCs w:val="20"/>
          <w:color w:val="auto"/>
        </w:rPr>
      </w:pPr>
    </w:p>
    <w:p>
      <w:pPr>
        <w:ind w:right="2659"/>
        <w:spacing w:after="0" w:line="247" w:lineRule="auto"/>
        <w:rPr>
          <w:sz w:val="20"/>
          <w:szCs w:val="20"/>
          <w:color w:val="auto"/>
        </w:rPr>
      </w:pPr>
      <w:r>
        <w:rPr>
          <w:rFonts w:ascii="Courier New" w:cs="Courier New" w:eastAsia="Courier New" w:hAnsi="Courier New"/>
          <w:sz w:val="16"/>
          <w:szCs w:val="16"/>
          <w:color w:val="auto"/>
        </w:rPr>
        <w:t>the sale of a note or our common stock to certain non-corporate, not otherwise exempt holders, and a 31% backup withholding tax may apply to the payments if such non-corporate holder:</w:t>
      </w:r>
    </w:p>
    <w:p>
      <w:pPr>
        <w:spacing w:after="0" w:line="186" w:lineRule="exact"/>
        <w:rPr>
          <w:sz w:val="20"/>
          <w:szCs w:val="20"/>
          <w:color w:val="auto"/>
        </w:rPr>
      </w:pPr>
    </w:p>
    <w:p>
      <w:pPr>
        <w:ind w:left="1460" w:right="2659" w:hanging="589"/>
        <w:spacing w:after="0" w:line="247" w:lineRule="auto"/>
        <w:tabs>
          <w:tab w:leader="none" w:pos="1460" w:val="left"/>
        </w:tabs>
        <w:numPr>
          <w:ilvl w:val="0"/>
          <w:numId w:val="59"/>
        </w:numPr>
        <w:rPr>
          <w:rFonts w:ascii="Courier New" w:cs="Courier New" w:eastAsia="Courier New" w:hAnsi="Courier New"/>
          <w:sz w:val="16"/>
          <w:szCs w:val="16"/>
          <w:color w:val="auto"/>
        </w:rPr>
      </w:pPr>
      <w:r>
        <w:rPr>
          <w:rFonts w:ascii="Courier New" w:cs="Courier New" w:eastAsia="Courier New" w:hAnsi="Courier New"/>
          <w:sz w:val="16"/>
          <w:szCs w:val="16"/>
          <w:color w:val="auto"/>
        </w:rPr>
        <w:t>fails to furnish or certify its correct taxpayer identification number to the payor in the manner required or establish an exemption from backup withholding,</w:t>
      </w:r>
    </w:p>
    <w:p>
      <w:pPr>
        <w:spacing w:after="0" w:line="185" w:lineRule="exact"/>
        <w:rPr>
          <w:rFonts w:ascii="Courier New" w:cs="Courier New" w:eastAsia="Courier New" w:hAnsi="Courier New"/>
          <w:sz w:val="16"/>
          <w:szCs w:val="16"/>
          <w:color w:val="auto"/>
        </w:rPr>
      </w:pPr>
    </w:p>
    <w:p>
      <w:pPr>
        <w:ind w:left="1460" w:right="2459" w:hanging="589"/>
        <w:spacing w:after="0" w:line="248" w:lineRule="auto"/>
        <w:tabs>
          <w:tab w:leader="none" w:pos="1460" w:val="left"/>
        </w:tabs>
        <w:numPr>
          <w:ilvl w:val="0"/>
          <w:numId w:val="59"/>
        </w:numPr>
        <w:rPr>
          <w:rFonts w:ascii="Courier New" w:cs="Courier New" w:eastAsia="Courier New" w:hAnsi="Courier New"/>
          <w:sz w:val="16"/>
          <w:szCs w:val="16"/>
          <w:color w:val="auto"/>
        </w:rPr>
      </w:pPr>
      <w:r>
        <w:rPr>
          <w:rFonts w:ascii="Courier New" w:cs="Courier New" w:eastAsia="Courier New" w:hAnsi="Courier New"/>
          <w:sz w:val="16"/>
          <w:szCs w:val="16"/>
          <w:color w:val="auto"/>
        </w:rPr>
        <w:t>is notified by the Internal Revenue Service that it has failed to report payments of interest and dividends properly, or</w:t>
      </w:r>
    </w:p>
    <w:p>
      <w:pPr>
        <w:spacing w:after="0" w:line="184" w:lineRule="exact"/>
        <w:rPr>
          <w:rFonts w:ascii="Courier New" w:cs="Courier New" w:eastAsia="Courier New" w:hAnsi="Courier New"/>
          <w:sz w:val="16"/>
          <w:szCs w:val="16"/>
          <w:color w:val="auto"/>
        </w:rPr>
      </w:pPr>
    </w:p>
    <w:p>
      <w:pPr>
        <w:ind w:left="1460" w:right="2459" w:hanging="589"/>
        <w:spacing w:after="0" w:line="247" w:lineRule="auto"/>
        <w:tabs>
          <w:tab w:leader="none" w:pos="1460" w:val="left"/>
        </w:tabs>
        <w:numPr>
          <w:ilvl w:val="0"/>
          <w:numId w:val="59"/>
        </w:numPr>
        <w:rPr>
          <w:rFonts w:ascii="Courier New" w:cs="Courier New" w:eastAsia="Courier New" w:hAnsi="Courier New"/>
          <w:sz w:val="16"/>
          <w:szCs w:val="16"/>
          <w:color w:val="auto"/>
        </w:rPr>
      </w:pPr>
      <w:r>
        <w:rPr>
          <w:rFonts w:ascii="Courier New" w:cs="Courier New" w:eastAsia="Courier New" w:hAnsi="Courier New"/>
          <w:sz w:val="16"/>
          <w:szCs w:val="16"/>
          <w:color w:val="auto"/>
        </w:rPr>
        <w:t>under certain circumstances, fails to certify under penalties of perjury, that it has not been notified by the Internal Revenue Service that it is subject to backup withholding for failure to report interest and dividend payments. Any amounts withheld under the backup withholding rules from a payment to a holder will be allowed as a credit against the holder's United States federal income tax liability and may entitle the holder to a refund.</w:t>
      </w:r>
    </w:p>
    <w:p>
      <w:pPr>
        <w:spacing w:after="0" w:line="371" w:lineRule="exact"/>
        <w:rPr>
          <w:sz w:val="20"/>
          <w:szCs w:val="20"/>
          <w:color w:val="auto"/>
        </w:rPr>
      </w:pPr>
    </w:p>
    <w:p>
      <w:pPr>
        <w:ind w:right="2459" w:firstLine="872"/>
        <w:spacing w:after="0" w:line="247" w:lineRule="auto"/>
        <w:rPr>
          <w:sz w:val="20"/>
          <w:szCs w:val="20"/>
          <w:color w:val="auto"/>
        </w:rPr>
      </w:pPr>
      <w:r>
        <w:rPr>
          <w:rFonts w:ascii="Courier New" w:cs="Courier New" w:eastAsia="Courier New" w:hAnsi="Courier New"/>
          <w:sz w:val="16"/>
          <w:szCs w:val="16"/>
          <w:color w:val="auto"/>
        </w:rPr>
        <w:t>THE ABOVE SUMMARY DOES NOT DISCUSS ALL ASPECTS OF FEDERAL INCOME TAXATION THAT MAY BE RELEVANT TO A PARTICULAR HOLDER IN LIGHT OF ITS PARTICULAR CIRCUMSTANCES AND INCOME TAX SITUATION. EACH HOLDER SHOULD CONSULT ITS TAX ADVISOR AS TO THE SPECIFIC TAX CONSEQUENCES TO THE HOLDER, INCLUDING THE APPLICATION AND EFFECT OF STATE, LOCAL, FOREIGN AND OTHER TAX LAWS AND TREATIES, OR SUBSEQUENT REVISIONS OF THESE TAX LAWS.</w:t>
      </w:r>
    </w:p>
    <w:p>
      <w:pPr>
        <w:spacing w:after="0" w:line="185"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36</w:t>
      </w:r>
    </w:p>
    <w:p>
      <w:pPr>
        <w:sectPr>
          <w:pgSz w:w="11900" w:h="16838" w:orient="portrait"/>
          <w:cols w:equalWidth="0" w:num="1">
            <w:col w:w="10219"/>
          </w:cols>
          <w:pgMar w:left="240" w:top="303" w:right="1440" w:bottom="1440" w:gutter="0" w:footer="0" w:header="0"/>
        </w:sectPr>
      </w:pPr>
    </w:p>
    <w:bookmarkStart w:id="42" w:name="page43"/>
    <w:bookmarkEnd w:id="42"/>
    <w:p>
      <w:pPr>
        <w:ind w:left="300"/>
        <w:spacing w:after="0"/>
        <w:rPr>
          <w:sz w:val="20"/>
          <w:szCs w:val="20"/>
          <w:color w:val="auto"/>
        </w:rPr>
      </w:pPr>
      <w:r>
        <w:rPr>
          <w:rFonts w:ascii="Courier New" w:cs="Courier New" w:eastAsia="Courier New" w:hAnsi="Courier New"/>
          <w:sz w:val="16"/>
          <w:szCs w:val="16"/>
          <w:color w:val="auto"/>
        </w:rPr>
        <w:t>37</w:t>
      </w:r>
    </w:p>
    <w:p>
      <w:pPr>
        <w:spacing w:after="0" w:line="5" w:lineRule="exact"/>
        <w:rPr>
          <w:sz w:val="20"/>
          <w:szCs w:val="20"/>
          <w:color w:val="auto"/>
        </w:rPr>
      </w:pPr>
    </w:p>
    <w:p>
      <w:pPr>
        <w:ind w:left="2800"/>
        <w:spacing w:after="0"/>
        <w:rPr>
          <w:sz w:val="20"/>
          <w:szCs w:val="20"/>
          <w:color w:val="auto"/>
        </w:rPr>
      </w:pPr>
      <w:r>
        <w:rPr>
          <w:rFonts w:ascii="Courier New" w:cs="Courier New" w:eastAsia="Courier New" w:hAnsi="Courier New"/>
          <w:sz w:val="16"/>
          <w:szCs w:val="16"/>
          <w:color w:val="auto"/>
        </w:rPr>
        <w:t>SELLING SECURITYHOLDERS</w:t>
      </w:r>
    </w:p>
    <w:p>
      <w:pPr>
        <w:spacing w:after="0" w:line="378" w:lineRule="exact"/>
        <w:rPr>
          <w:sz w:val="20"/>
          <w:szCs w:val="20"/>
          <w:color w:val="auto"/>
        </w:rPr>
      </w:pPr>
    </w:p>
    <w:p>
      <w:pPr>
        <w:ind w:right="3860" w:firstLine="872"/>
        <w:spacing w:after="0" w:line="247" w:lineRule="auto"/>
        <w:rPr>
          <w:sz w:val="20"/>
          <w:szCs w:val="20"/>
          <w:color w:val="auto"/>
        </w:rPr>
      </w:pPr>
      <w:r>
        <w:rPr>
          <w:rFonts w:ascii="Courier New" w:cs="Courier New" w:eastAsia="Courier New" w:hAnsi="Courier New"/>
          <w:sz w:val="16"/>
          <w:szCs w:val="16"/>
          <w:color w:val="auto"/>
        </w:rPr>
        <w:t>The notes were originally issued by us and sold by the initial purchasers in private transactions exempt from the registration requirements of the Securities Act of 1933 to "qualified institutional buyers" (as defined in Rule 144A under the Securities Act of 1933). The selling securityholders, which term includes their transferees, pledgees, donees or their successors, may from time to time offer and sell pursuant to this prospectus any or all of the notes and common stock issuable upon conversion of the notes.</w:t>
      </w:r>
    </w:p>
    <w:p>
      <w:pPr>
        <w:spacing w:after="0" w:line="185" w:lineRule="exact"/>
        <w:rPr>
          <w:sz w:val="20"/>
          <w:szCs w:val="20"/>
          <w:color w:val="auto"/>
        </w:rPr>
      </w:pPr>
    </w:p>
    <w:p>
      <w:pPr>
        <w:ind w:right="3860" w:firstLine="872"/>
        <w:spacing w:after="0" w:line="247" w:lineRule="auto"/>
        <w:rPr>
          <w:sz w:val="20"/>
          <w:szCs w:val="20"/>
          <w:color w:val="auto"/>
        </w:rPr>
      </w:pPr>
      <w:r>
        <w:rPr>
          <w:rFonts w:ascii="Courier New" w:cs="Courier New" w:eastAsia="Courier New" w:hAnsi="Courier New"/>
          <w:sz w:val="16"/>
          <w:szCs w:val="16"/>
          <w:color w:val="auto"/>
        </w:rPr>
        <w:t>The following table provides information as of April 6, 2000 regarding the record ownership of the notes including the principal amount and the percentage outstanding and the number of shares of our common stock issuable upon conversion of the notes:</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52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2080" w:type="dxa"/>
            <w:vAlign w:val="bottom"/>
          </w:tcPr>
          <w:p>
            <w:pPr>
              <w:spacing w:after="0"/>
              <w:rPr>
                <w:sz w:val="15"/>
                <w:szCs w:val="15"/>
                <w:color w:val="auto"/>
              </w:rPr>
            </w:pPr>
          </w:p>
        </w:tc>
        <w:tc>
          <w:tcPr>
            <w:tcW w:w="2080" w:type="dxa"/>
            <w:vAlign w:val="bottom"/>
          </w:tcPr>
          <w:p>
            <w:pPr>
              <w:jc w:val="center"/>
              <w:ind w:right="139"/>
              <w:spacing w:after="0"/>
              <w:rPr>
                <w:sz w:val="20"/>
                <w:szCs w:val="20"/>
                <w:color w:val="auto"/>
              </w:rPr>
            </w:pPr>
            <w:r>
              <w:rPr>
                <w:rFonts w:ascii="Courier New" w:cs="Courier New" w:eastAsia="Courier New" w:hAnsi="Courier New"/>
                <w:sz w:val="16"/>
                <w:szCs w:val="16"/>
                <w:color w:val="auto"/>
              </w:rPr>
              <w:t>NUMBER OF SHARES</w:t>
            </w:r>
          </w:p>
        </w:tc>
      </w:tr>
      <w:tr>
        <w:trPr>
          <w:trHeight w:val="186"/>
        </w:trPr>
        <w:tc>
          <w:tcPr>
            <w:tcW w:w="5240" w:type="dxa"/>
            <w:vAlign w:val="bottom"/>
          </w:tcPr>
          <w:p>
            <w:pPr>
              <w:spacing w:after="0"/>
              <w:rPr>
                <w:sz w:val="16"/>
                <w:szCs w:val="16"/>
                <w:color w:val="auto"/>
              </w:rPr>
            </w:pPr>
          </w:p>
        </w:tc>
        <w:tc>
          <w:tcPr>
            <w:tcW w:w="2120" w:type="dxa"/>
            <w:vAlign w:val="bottom"/>
            <w:gridSpan w:val="2"/>
          </w:tcPr>
          <w:p>
            <w:pPr>
              <w:jc w:val="right"/>
              <w:ind w:right="399"/>
              <w:spacing w:after="0"/>
              <w:rPr>
                <w:sz w:val="20"/>
                <w:szCs w:val="20"/>
                <w:color w:val="auto"/>
              </w:rPr>
            </w:pPr>
            <w:r>
              <w:rPr>
                <w:rFonts w:ascii="Courier New" w:cs="Courier New" w:eastAsia="Courier New" w:hAnsi="Courier New"/>
                <w:sz w:val="16"/>
                <w:szCs w:val="16"/>
                <w:color w:val="auto"/>
              </w:rPr>
              <w:t>PRINCIPAL AMOUNT</w:t>
            </w:r>
          </w:p>
        </w:tc>
        <w:tc>
          <w:tcPr>
            <w:tcW w:w="2080" w:type="dxa"/>
            <w:vAlign w:val="bottom"/>
          </w:tcPr>
          <w:p>
            <w:pPr>
              <w:spacing w:after="0"/>
              <w:rPr>
                <w:sz w:val="16"/>
                <w:szCs w:val="16"/>
                <w:color w:val="auto"/>
              </w:rPr>
            </w:pPr>
          </w:p>
        </w:tc>
        <w:tc>
          <w:tcPr>
            <w:tcW w:w="2080" w:type="dxa"/>
            <w:vAlign w:val="bottom"/>
          </w:tcPr>
          <w:p>
            <w:pPr>
              <w:jc w:val="center"/>
              <w:ind w:right="159"/>
              <w:spacing w:after="0"/>
              <w:rPr>
                <w:sz w:val="20"/>
                <w:szCs w:val="20"/>
                <w:color w:val="auto"/>
              </w:rPr>
            </w:pPr>
            <w:r>
              <w:rPr>
                <w:rFonts w:ascii="Courier New" w:cs="Courier New" w:eastAsia="Courier New" w:hAnsi="Courier New"/>
                <w:sz w:val="16"/>
                <w:szCs w:val="16"/>
                <w:color w:val="auto"/>
              </w:rPr>
              <w:t>INTO WHICH THE</w:t>
            </w:r>
          </w:p>
        </w:tc>
      </w:tr>
      <w:tr>
        <w:trPr>
          <w:trHeight w:val="186"/>
        </w:trPr>
        <w:tc>
          <w:tcPr>
            <w:tcW w:w="5240" w:type="dxa"/>
            <w:vAlign w:val="bottom"/>
          </w:tcPr>
          <w:p>
            <w:pPr>
              <w:spacing w:after="0"/>
              <w:rPr>
                <w:sz w:val="16"/>
                <w:szCs w:val="16"/>
                <w:color w:val="auto"/>
              </w:rPr>
            </w:pPr>
          </w:p>
        </w:tc>
        <w:tc>
          <w:tcPr>
            <w:tcW w:w="2120" w:type="dxa"/>
            <w:vAlign w:val="bottom"/>
            <w:gridSpan w:val="2"/>
          </w:tcPr>
          <w:p>
            <w:pPr>
              <w:ind w:left="280"/>
              <w:spacing w:after="0"/>
              <w:rPr>
                <w:sz w:val="20"/>
                <w:szCs w:val="20"/>
                <w:color w:val="auto"/>
              </w:rPr>
            </w:pPr>
            <w:r>
              <w:rPr>
                <w:rFonts w:ascii="Courier New" w:cs="Courier New" w:eastAsia="Courier New" w:hAnsi="Courier New"/>
                <w:sz w:val="16"/>
                <w:szCs w:val="16"/>
                <w:color w:val="auto"/>
              </w:rPr>
              <w:t>OF THE NOTES</w:t>
            </w:r>
          </w:p>
        </w:tc>
        <w:tc>
          <w:tcPr>
            <w:tcW w:w="2080" w:type="dxa"/>
            <w:vAlign w:val="bottom"/>
          </w:tcPr>
          <w:p>
            <w:pPr>
              <w:jc w:val="right"/>
              <w:ind w:right="539"/>
              <w:spacing w:after="0"/>
              <w:rPr>
                <w:sz w:val="20"/>
                <w:szCs w:val="20"/>
                <w:color w:val="auto"/>
              </w:rPr>
            </w:pPr>
            <w:r>
              <w:rPr>
                <w:rFonts w:ascii="Courier New" w:cs="Courier New" w:eastAsia="Courier New" w:hAnsi="Courier New"/>
                <w:sz w:val="16"/>
                <w:szCs w:val="16"/>
                <w:color w:val="auto"/>
              </w:rPr>
              <w:t>PERCENTAGE OF</w:t>
            </w:r>
          </w:p>
        </w:tc>
        <w:tc>
          <w:tcPr>
            <w:tcW w:w="2080" w:type="dxa"/>
            <w:vAlign w:val="bottom"/>
          </w:tcPr>
          <w:p>
            <w:pPr>
              <w:jc w:val="center"/>
              <w:ind w:right="159"/>
              <w:spacing w:after="0"/>
              <w:rPr>
                <w:sz w:val="20"/>
                <w:szCs w:val="20"/>
                <w:color w:val="auto"/>
              </w:rPr>
            </w:pPr>
            <w:r>
              <w:rPr>
                <w:rFonts w:ascii="Courier New" w:cs="Courier New" w:eastAsia="Courier New" w:hAnsi="Courier New"/>
                <w:sz w:val="16"/>
                <w:szCs w:val="16"/>
                <w:color w:val="auto"/>
              </w:rPr>
              <w:t>NOTES MAY BE</w:t>
            </w:r>
          </w:p>
        </w:tc>
      </w:tr>
      <w:tr>
        <w:trPr>
          <w:trHeight w:val="186"/>
        </w:trPr>
        <w:tc>
          <w:tcPr>
            <w:tcW w:w="5240" w:type="dxa"/>
            <w:vAlign w:val="bottom"/>
          </w:tcPr>
          <w:p>
            <w:pPr>
              <w:ind w:left="960"/>
              <w:spacing w:after="0"/>
              <w:rPr>
                <w:sz w:val="20"/>
                <w:szCs w:val="20"/>
                <w:color w:val="auto"/>
              </w:rPr>
            </w:pPr>
            <w:r>
              <w:rPr>
                <w:rFonts w:ascii="Courier New" w:cs="Courier New" w:eastAsia="Courier New" w:hAnsi="Courier New"/>
                <w:sz w:val="16"/>
                <w:szCs w:val="16"/>
                <w:color w:val="auto"/>
              </w:rPr>
              <w:t>NAME AND ADDRESS OF NOTEHOLDER</w:t>
            </w:r>
          </w:p>
        </w:tc>
        <w:tc>
          <w:tcPr>
            <w:tcW w:w="520" w:type="dxa"/>
            <w:vAlign w:val="bottom"/>
          </w:tcPr>
          <w:p>
            <w:pPr>
              <w:spacing w:after="0"/>
              <w:rPr>
                <w:sz w:val="16"/>
                <w:szCs w:val="16"/>
                <w:color w:val="auto"/>
              </w:rPr>
            </w:pPr>
          </w:p>
        </w:tc>
        <w:tc>
          <w:tcPr>
            <w:tcW w:w="1600" w:type="dxa"/>
            <w:vAlign w:val="bottom"/>
          </w:tcPr>
          <w:p>
            <w:pPr>
              <w:jc w:val="right"/>
              <w:ind w:right="879"/>
              <w:spacing w:after="0"/>
              <w:rPr>
                <w:sz w:val="20"/>
                <w:szCs w:val="20"/>
                <w:color w:val="auto"/>
              </w:rPr>
            </w:pPr>
            <w:r>
              <w:rPr>
                <w:rFonts w:ascii="Courier New" w:cs="Courier New" w:eastAsia="Courier New" w:hAnsi="Courier New"/>
                <w:sz w:val="16"/>
                <w:szCs w:val="16"/>
                <w:color w:val="auto"/>
              </w:rPr>
              <w:t>OWNED</w:t>
            </w:r>
          </w:p>
        </w:tc>
        <w:tc>
          <w:tcPr>
            <w:tcW w:w="2080" w:type="dxa"/>
            <w:vAlign w:val="bottom"/>
          </w:tcPr>
          <w:p>
            <w:pPr>
              <w:jc w:val="right"/>
              <w:ind w:right="439"/>
              <w:spacing w:after="0"/>
              <w:rPr>
                <w:sz w:val="20"/>
                <w:szCs w:val="20"/>
                <w:color w:val="auto"/>
              </w:rPr>
            </w:pPr>
            <w:r>
              <w:rPr>
                <w:rFonts w:ascii="Courier New" w:cs="Courier New" w:eastAsia="Courier New" w:hAnsi="Courier New"/>
                <w:sz w:val="16"/>
                <w:szCs w:val="16"/>
                <w:color w:val="auto"/>
              </w:rPr>
              <w:t>THE NOTES OWNED</w:t>
            </w:r>
          </w:p>
        </w:tc>
        <w:tc>
          <w:tcPr>
            <w:tcW w:w="2080" w:type="dxa"/>
            <w:vAlign w:val="bottom"/>
          </w:tcPr>
          <w:p>
            <w:pPr>
              <w:jc w:val="right"/>
              <w:ind w:right="679"/>
              <w:spacing w:after="0"/>
              <w:rPr>
                <w:sz w:val="20"/>
                <w:szCs w:val="20"/>
                <w:color w:val="auto"/>
              </w:rPr>
            </w:pPr>
            <w:r>
              <w:rPr>
                <w:rFonts w:ascii="Courier New" w:cs="Courier New" w:eastAsia="Courier New" w:hAnsi="Courier New"/>
                <w:sz w:val="16"/>
                <w:szCs w:val="16"/>
                <w:color w:val="auto"/>
              </w:rPr>
              <w:t>CONVERTED</w:t>
            </w:r>
          </w:p>
        </w:tc>
      </w:tr>
      <w:tr>
        <w:trPr>
          <w:trHeight w:val="186"/>
        </w:trPr>
        <w:tc>
          <w:tcPr>
            <w:tcW w:w="5240" w:type="dxa"/>
            <w:vAlign w:val="bottom"/>
          </w:tcPr>
          <w:p>
            <w:pPr>
              <w:spacing w:after="0"/>
              <w:rPr>
                <w:sz w:val="20"/>
                <w:szCs w:val="20"/>
                <w:color w:val="auto"/>
              </w:rPr>
            </w:pPr>
            <w:r>
              <w:rPr>
                <w:rFonts w:ascii="Courier New" w:cs="Courier New" w:eastAsia="Courier New" w:hAnsi="Courier New"/>
                <w:sz w:val="16"/>
                <w:szCs w:val="16"/>
                <w:color w:val="auto"/>
              </w:rPr>
              <w:t>- ---------------------------------------------------</w:t>
            </w:r>
          </w:p>
        </w:tc>
        <w:tc>
          <w:tcPr>
            <w:tcW w:w="2120" w:type="dxa"/>
            <w:vAlign w:val="bottom"/>
            <w:gridSpan w:val="2"/>
          </w:tcPr>
          <w:p>
            <w:pPr>
              <w:ind w:left="280"/>
              <w:spacing w:after="0"/>
              <w:rPr>
                <w:sz w:val="20"/>
                <w:szCs w:val="20"/>
                <w:color w:val="auto"/>
              </w:rPr>
            </w:pPr>
            <w:r>
              <w:rPr>
                <w:rFonts w:ascii="Courier New" w:cs="Courier New" w:eastAsia="Courier New" w:hAnsi="Courier New"/>
                <w:sz w:val="16"/>
                <w:szCs w:val="16"/>
                <w:color w:val="auto"/>
              </w:rPr>
              <w:t>------------------</w:t>
            </w:r>
          </w:p>
        </w:tc>
        <w:tc>
          <w:tcPr>
            <w:tcW w:w="2080" w:type="dxa"/>
            <w:vAlign w:val="bottom"/>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20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373"/>
        </w:trPr>
        <w:tc>
          <w:tcPr>
            <w:tcW w:w="5240" w:type="dxa"/>
            <w:vAlign w:val="bottom"/>
          </w:tcPr>
          <w:p>
            <w:pPr>
              <w:spacing w:after="0"/>
              <w:rPr>
                <w:sz w:val="20"/>
                <w:szCs w:val="20"/>
                <w:color w:val="auto"/>
              </w:rPr>
            </w:pPr>
            <w:r>
              <w:rPr>
                <w:rFonts w:ascii="Courier New" w:cs="Courier New" w:eastAsia="Courier New" w:hAnsi="Courier New"/>
                <w:sz w:val="16"/>
                <w:szCs w:val="16"/>
                <w:color w:val="auto"/>
              </w:rPr>
              <w:t>AmSouth Bank</w:t>
            </w:r>
          </w:p>
        </w:tc>
        <w:tc>
          <w:tcPr>
            <w:tcW w:w="5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2080" w:type="dxa"/>
            <w:vAlign w:val="bottom"/>
          </w:tcPr>
          <w:p>
            <w:pPr>
              <w:spacing w:after="0"/>
              <w:rPr>
                <w:sz w:val="24"/>
                <w:szCs w:val="24"/>
                <w:color w:val="auto"/>
              </w:rPr>
            </w:pPr>
          </w:p>
        </w:tc>
      </w:tr>
      <w:tr>
        <w:trPr>
          <w:trHeight w:val="186"/>
        </w:trPr>
        <w:tc>
          <w:tcPr>
            <w:tcW w:w="5240" w:type="dxa"/>
            <w:vAlign w:val="bottom"/>
          </w:tcPr>
          <w:p>
            <w:pPr>
              <w:spacing w:after="0"/>
              <w:rPr>
                <w:sz w:val="20"/>
                <w:szCs w:val="20"/>
                <w:color w:val="auto"/>
              </w:rPr>
            </w:pPr>
            <w:r>
              <w:rPr>
                <w:rFonts w:ascii="Courier New" w:cs="Courier New" w:eastAsia="Courier New" w:hAnsi="Courier New"/>
                <w:sz w:val="16"/>
                <w:szCs w:val="16"/>
                <w:color w:val="auto"/>
              </w:rPr>
              <w:t>1900 5th Avenue</w:t>
            </w:r>
          </w:p>
        </w:tc>
        <w:tc>
          <w:tcPr>
            <w:tcW w:w="52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2080" w:type="dxa"/>
            <w:vAlign w:val="bottom"/>
          </w:tcPr>
          <w:p>
            <w:pPr>
              <w:spacing w:after="0"/>
              <w:rPr>
                <w:sz w:val="16"/>
                <w:szCs w:val="16"/>
                <w:color w:val="auto"/>
              </w:rPr>
            </w:pPr>
          </w:p>
        </w:tc>
        <w:tc>
          <w:tcPr>
            <w:tcW w:w="2080" w:type="dxa"/>
            <w:vAlign w:val="bottom"/>
          </w:tcPr>
          <w:p>
            <w:pPr>
              <w:spacing w:after="0"/>
              <w:rPr>
                <w:sz w:val="16"/>
                <w:szCs w:val="16"/>
                <w:color w:val="auto"/>
              </w:rPr>
            </w:pPr>
          </w:p>
        </w:tc>
      </w:tr>
      <w:tr>
        <w:trPr>
          <w:trHeight w:val="186"/>
        </w:trPr>
        <w:tc>
          <w:tcPr>
            <w:tcW w:w="5240" w:type="dxa"/>
            <w:vAlign w:val="bottom"/>
          </w:tcPr>
          <w:p>
            <w:pPr>
              <w:spacing w:after="0"/>
              <w:rPr>
                <w:sz w:val="20"/>
                <w:szCs w:val="20"/>
                <w:color w:val="auto"/>
              </w:rPr>
            </w:pPr>
            <w:r>
              <w:rPr>
                <w:rFonts w:ascii="Courier New" w:cs="Courier New" w:eastAsia="Courier New" w:hAnsi="Courier New"/>
                <w:sz w:val="16"/>
                <w:szCs w:val="16"/>
                <w:color w:val="auto"/>
              </w:rPr>
              <w:t>North Birmingham, Alabama 35203..............</w:t>
            </w:r>
          </w:p>
        </w:tc>
        <w:tc>
          <w:tcPr>
            <w:tcW w:w="5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600" w:type="dxa"/>
            <w:vAlign w:val="bottom"/>
          </w:tcPr>
          <w:p>
            <w:pPr>
              <w:jc w:val="right"/>
              <w:ind w:right="499"/>
              <w:spacing w:after="0"/>
              <w:rPr>
                <w:sz w:val="20"/>
                <w:szCs w:val="20"/>
                <w:color w:val="auto"/>
              </w:rPr>
            </w:pPr>
            <w:r>
              <w:rPr>
                <w:rFonts w:ascii="Courier New" w:cs="Courier New" w:eastAsia="Courier New" w:hAnsi="Courier New"/>
                <w:sz w:val="16"/>
                <w:szCs w:val="16"/>
                <w:color w:val="auto"/>
              </w:rPr>
              <w:t>75,000</w:t>
            </w:r>
          </w:p>
        </w:tc>
        <w:tc>
          <w:tcPr>
            <w:tcW w:w="2080" w:type="dxa"/>
            <w:vAlign w:val="bottom"/>
          </w:tcPr>
          <w:p>
            <w:pPr>
              <w:jc w:val="right"/>
              <w:ind w:right="839"/>
              <w:spacing w:after="0"/>
              <w:rPr>
                <w:sz w:val="20"/>
                <w:szCs w:val="20"/>
                <w:color w:val="auto"/>
              </w:rPr>
            </w:pPr>
            <w:r>
              <w:rPr>
                <w:rFonts w:ascii="Courier New" w:cs="Courier New" w:eastAsia="Courier New" w:hAnsi="Courier New"/>
                <w:sz w:val="16"/>
                <w:szCs w:val="16"/>
                <w:color w:val="auto"/>
              </w:rPr>
              <w:t>0.04%</w:t>
            </w:r>
          </w:p>
        </w:tc>
        <w:tc>
          <w:tcPr>
            <w:tcW w:w="2080" w:type="dxa"/>
            <w:vAlign w:val="bottom"/>
          </w:tcPr>
          <w:p>
            <w:pPr>
              <w:jc w:val="right"/>
              <w:ind w:right="779"/>
              <w:spacing w:after="0"/>
              <w:rPr>
                <w:sz w:val="20"/>
                <w:szCs w:val="20"/>
                <w:color w:val="auto"/>
              </w:rPr>
            </w:pPr>
            <w:r>
              <w:rPr>
                <w:rFonts w:ascii="Courier New" w:cs="Courier New" w:eastAsia="Courier New" w:hAnsi="Courier New"/>
                <w:sz w:val="16"/>
                <w:szCs w:val="16"/>
                <w:color w:val="auto"/>
              </w:rPr>
              <w:t>1,025</w:t>
            </w:r>
          </w:p>
        </w:tc>
      </w:tr>
      <w:tr>
        <w:trPr>
          <w:trHeight w:val="373"/>
        </w:trPr>
        <w:tc>
          <w:tcPr>
            <w:tcW w:w="5240" w:type="dxa"/>
            <w:vAlign w:val="bottom"/>
          </w:tcPr>
          <w:p>
            <w:pPr>
              <w:spacing w:after="0"/>
              <w:rPr>
                <w:sz w:val="20"/>
                <w:szCs w:val="20"/>
                <w:color w:val="auto"/>
              </w:rPr>
            </w:pPr>
            <w:r>
              <w:rPr>
                <w:rFonts w:ascii="Courier New" w:cs="Courier New" w:eastAsia="Courier New" w:hAnsi="Courier New"/>
                <w:sz w:val="16"/>
                <w:szCs w:val="16"/>
                <w:color w:val="auto"/>
              </w:rPr>
              <w:t>BancBoston Robertson Stephens Inc.</w:t>
            </w:r>
          </w:p>
        </w:tc>
        <w:tc>
          <w:tcPr>
            <w:tcW w:w="5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2080" w:type="dxa"/>
            <w:vAlign w:val="bottom"/>
          </w:tcPr>
          <w:p>
            <w:pPr>
              <w:spacing w:after="0"/>
              <w:rPr>
                <w:sz w:val="24"/>
                <w:szCs w:val="24"/>
                <w:color w:val="auto"/>
              </w:rPr>
            </w:pPr>
          </w:p>
        </w:tc>
      </w:tr>
      <w:tr>
        <w:trPr>
          <w:trHeight w:val="186"/>
        </w:trPr>
        <w:tc>
          <w:tcPr>
            <w:tcW w:w="5240" w:type="dxa"/>
            <w:vAlign w:val="bottom"/>
          </w:tcPr>
          <w:p>
            <w:pPr>
              <w:spacing w:after="0"/>
              <w:rPr>
                <w:sz w:val="20"/>
                <w:szCs w:val="20"/>
                <w:color w:val="auto"/>
              </w:rPr>
            </w:pPr>
            <w:r>
              <w:rPr>
                <w:rFonts w:ascii="Courier New" w:cs="Courier New" w:eastAsia="Courier New" w:hAnsi="Courier New"/>
                <w:sz w:val="16"/>
                <w:szCs w:val="16"/>
                <w:color w:val="auto"/>
              </w:rPr>
              <w:t>555 California Street, Suite 2600</w:t>
            </w:r>
          </w:p>
        </w:tc>
        <w:tc>
          <w:tcPr>
            <w:tcW w:w="52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2080" w:type="dxa"/>
            <w:vAlign w:val="bottom"/>
          </w:tcPr>
          <w:p>
            <w:pPr>
              <w:spacing w:after="0"/>
              <w:rPr>
                <w:sz w:val="16"/>
                <w:szCs w:val="16"/>
                <w:color w:val="auto"/>
              </w:rPr>
            </w:pPr>
          </w:p>
        </w:tc>
        <w:tc>
          <w:tcPr>
            <w:tcW w:w="2080" w:type="dxa"/>
            <w:vAlign w:val="bottom"/>
          </w:tcPr>
          <w:p>
            <w:pPr>
              <w:spacing w:after="0"/>
              <w:rPr>
                <w:sz w:val="16"/>
                <w:szCs w:val="16"/>
                <w:color w:val="auto"/>
              </w:rPr>
            </w:pPr>
          </w:p>
        </w:tc>
      </w:tr>
      <w:tr>
        <w:trPr>
          <w:trHeight w:val="186"/>
        </w:trPr>
        <w:tc>
          <w:tcPr>
            <w:tcW w:w="5240" w:type="dxa"/>
            <w:vAlign w:val="bottom"/>
          </w:tcPr>
          <w:p>
            <w:pPr>
              <w:spacing w:after="0"/>
              <w:rPr>
                <w:sz w:val="20"/>
                <w:szCs w:val="20"/>
                <w:color w:val="auto"/>
              </w:rPr>
            </w:pPr>
            <w:r>
              <w:rPr>
                <w:rFonts w:ascii="Courier New" w:cs="Courier New" w:eastAsia="Courier New" w:hAnsi="Courier New"/>
                <w:sz w:val="16"/>
                <w:szCs w:val="16"/>
                <w:color w:val="auto"/>
              </w:rPr>
              <w:t>San Francisco, California 94104..............</w:t>
            </w:r>
          </w:p>
        </w:tc>
        <w:tc>
          <w:tcPr>
            <w:tcW w:w="5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600" w:type="dxa"/>
            <w:vAlign w:val="bottom"/>
          </w:tcPr>
          <w:p>
            <w:pPr>
              <w:jc w:val="right"/>
              <w:ind w:right="499"/>
              <w:spacing w:after="0"/>
              <w:rPr>
                <w:sz w:val="20"/>
                <w:szCs w:val="20"/>
                <w:color w:val="auto"/>
              </w:rPr>
            </w:pPr>
            <w:r>
              <w:rPr>
                <w:rFonts w:ascii="Courier New" w:cs="Courier New" w:eastAsia="Courier New" w:hAnsi="Courier New"/>
                <w:sz w:val="16"/>
                <w:szCs w:val="16"/>
                <w:color w:val="auto"/>
              </w:rPr>
              <w:t>1,985,000</w:t>
            </w:r>
          </w:p>
        </w:tc>
        <w:tc>
          <w:tcPr>
            <w:tcW w:w="2080" w:type="dxa"/>
            <w:vAlign w:val="bottom"/>
          </w:tcPr>
          <w:p>
            <w:pPr>
              <w:jc w:val="right"/>
              <w:ind w:right="839"/>
              <w:spacing w:after="0"/>
              <w:rPr>
                <w:sz w:val="20"/>
                <w:szCs w:val="20"/>
                <w:color w:val="auto"/>
              </w:rPr>
            </w:pPr>
            <w:r>
              <w:rPr>
                <w:rFonts w:ascii="Courier New" w:cs="Courier New" w:eastAsia="Courier New" w:hAnsi="Courier New"/>
                <w:sz w:val="16"/>
                <w:szCs w:val="16"/>
                <w:color w:val="auto"/>
              </w:rPr>
              <w:t>1.15%</w:t>
            </w:r>
          </w:p>
        </w:tc>
        <w:tc>
          <w:tcPr>
            <w:tcW w:w="2080" w:type="dxa"/>
            <w:vAlign w:val="bottom"/>
          </w:tcPr>
          <w:p>
            <w:pPr>
              <w:jc w:val="right"/>
              <w:ind w:right="779"/>
              <w:spacing w:after="0"/>
              <w:rPr>
                <w:sz w:val="20"/>
                <w:szCs w:val="20"/>
                <w:color w:val="auto"/>
              </w:rPr>
            </w:pPr>
            <w:r>
              <w:rPr>
                <w:rFonts w:ascii="Courier New" w:cs="Courier New" w:eastAsia="Courier New" w:hAnsi="Courier New"/>
                <w:sz w:val="16"/>
                <w:szCs w:val="16"/>
                <w:color w:val="auto"/>
              </w:rPr>
              <w:t>27,118</w:t>
            </w:r>
          </w:p>
        </w:tc>
      </w:tr>
      <w:tr>
        <w:trPr>
          <w:trHeight w:val="373"/>
        </w:trPr>
        <w:tc>
          <w:tcPr>
            <w:tcW w:w="5240" w:type="dxa"/>
            <w:vAlign w:val="bottom"/>
          </w:tcPr>
          <w:p>
            <w:pPr>
              <w:spacing w:after="0"/>
              <w:rPr>
                <w:sz w:val="20"/>
                <w:szCs w:val="20"/>
                <w:color w:val="auto"/>
              </w:rPr>
            </w:pPr>
            <w:r>
              <w:rPr>
                <w:rFonts w:ascii="Courier New" w:cs="Courier New" w:eastAsia="Courier New" w:hAnsi="Courier New"/>
                <w:sz w:val="16"/>
                <w:szCs w:val="16"/>
                <w:color w:val="auto"/>
              </w:rPr>
              <w:t>The Bank of New York</w:t>
            </w:r>
          </w:p>
        </w:tc>
        <w:tc>
          <w:tcPr>
            <w:tcW w:w="5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2080" w:type="dxa"/>
            <w:vAlign w:val="bottom"/>
          </w:tcPr>
          <w:p>
            <w:pPr>
              <w:spacing w:after="0"/>
              <w:rPr>
                <w:sz w:val="24"/>
                <w:szCs w:val="24"/>
                <w:color w:val="auto"/>
              </w:rPr>
            </w:pPr>
          </w:p>
        </w:tc>
      </w:tr>
      <w:tr>
        <w:trPr>
          <w:trHeight w:val="186"/>
        </w:trPr>
        <w:tc>
          <w:tcPr>
            <w:tcW w:w="5240" w:type="dxa"/>
            <w:vAlign w:val="bottom"/>
          </w:tcPr>
          <w:p>
            <w:pPr>
              <w:spacing w:after="0"/>
              <w:rPr>
                <w:sz w:val="20"/>
                <w:szCs w:val="20"/>
                <w:color w:val="auto"/>
              </w:rPr>
            </w:pPr>
            <w:r>
              <w:rPr>
                <w:rFonts w:ascii="Courier New" w:cs="Courier New" w:eastAsia="Courier New" w:hAnsi="Courier New"/>
                <w:sz w:val="16"/>
                <w:szCs w:val="16"/>
                <w:color w:val="auto"/>
              </w:rPr>
              <w:t>925 Patterson Plank Road</w:t>
            </w:r>
          </w:p>
        </w:tc>
        <w:tc>
          <w:tcPr>
            <w:tcW w:w="52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2080" w:type="dxa"/>
            <w:vAlign w:val="bottom"/>
          </w:tcPr>
          <w:p>
            <w:pPr>
              <w:spacing w:after="0"/>
              <w:rPr>
                <w:sz w:val="16"/>
                <w:szCs w:val="16"/>
                <w:color w:val="auto"/>
              </w:rPr>
            </w:pPr>
          </w:p>
        </w:tc>
        <w:tc>
          <w:tcPr>
            <w:tcW w:w="2080" w:type="dxa"/>
            <w:vAlign w:val="bottom"/>
          </w:tcPr>
          <w:p>
            <w:pPr>
              <w:spacing w:after="0"/>
              <w:rPr>
                <w:sz w:val="16"/>
                <w:szCs w:val="16"/>
                <w:color w:val="auto"/>
              </w:rPr>
            </w:pPr>
          </w:p>
        </w:tc>
      </w:tr>
      <w:tr>
        <w:trPr>
          <w:trHeight w:val="186"/>
        </w:trPr>
        <w:tc>
          <w:tcPr>
            <w:tcW w:w="5240" w:type="dxa"/>
            <w:vAlign w:val="bottom"/>
          </w:tcPr>
          <w:p>
            <w:pPr>
              <w:spacing w:after="0"/>
              <w:rPr>
                <w:sz w:val="20"/>
                <w:szCs w:val="20"/>
                <w:color w:val="auto"/>
              </w:rPr>
            </w:pPr>
            <w:r>
              <w:rPr>
                <w:rFonts w:ascii="Courier New" w:cs="Courier New" w:eastAsia="Courier New" w:hAnsi="Courier New"/>
                <w:sz w:val="16"/>
                <w:szCs w:val="16"/>
                <w:color w:val="auto"/>
              </w:rPr>
              <w:t>Secaucus, New Jersey 07094...................</w:t>
            </w:r>
          </w:p>
        </w:tc>
        <w:tc>
          <w:tcPr>
            <w:tcW w:w="5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600" w:type="dxa"/>
            <w:vAlign w:val="bottom"/>
          </w:tcPr>
          <w:p>
            <w:pPr>
              <w:jc w:val="right"/>
              <w:ind w:right="499"/>
              <w:spacing w:after="0"/>
              <w:rPr>
                <w:sz w:val="20"/>
                <w:szCs w:val="20"/>
                <w:color w:val="auto"/>
              </w:rPr>
            </w:pPr>
            <w:r>
              <w:rPr>
                <w:rFonts w:ascii="Courier New" w:cs="Courier New" w:eastAsia="Courier New" w:hAnsi="Courier New"/>
                <w:sz w:val="16"/>
                <w:szCs w:val="16"/>
                <w:color w:val="auto"/>
              </w:rPr>
              <w:t>7,500,000</w:t>
            </w:r>
          </w:p>
        </w:tc>
        <w:tc>
          <w:tcPr>
            <w:tcW w:w="2080" w:type="dxa"/>
            <w:vAlign w:val="bottom"/>
          </w:tcPr>
          <w:p>
            <w:pPr>
              <w:jc w:val="right"/>
              <w:ind w:right="839"/>
              <w:spacing w:after="0"/>
              <w:rPr>
                <w:sz w:val="20"/>
                <w:szCs w:val="20"/>
                <w:color w:val="auto"/>
              </w:rPr>
            </w:pPr>
            <w:r>
              <w:rPr>
                <w:rFonts w:ascii="Courier New" w:cs="Courier New" w:eastAsia="Courier New" w:hAnsi="Courier New"/>
                <w:sz w:val="16"/>
                <w:szCs w:val="16"/>
                <w:color w:val="auto"/>
              </w:rPr>
              <w:t>4.35%</w:t>
            </w:r>
          </w:p>
        </w:tc>
        <w:tc>
          <w:tcPr>
            <w:tcW w:w="2080" w:type="dxa"/>
            <w:vAlign w:val="bottom"/>
          </w:tcPr>
          <w:p>
            <w:pPr>
              <w:jc w:val="right"/>
              <w:ind w:right="779"/>
              <w:spacing w:after="0"/>
              <w:rPr>
                <w:sz w:val="20"/>
                <w:szCs w:val="20"/>
                <w:color w:val="auto"/>
              </w:rPr>
            </w:pPr>
            <w:r>
              <w:rPr>
                <w:rFonts w:ascii="Courier New" w:cs="Courier New" w:eastAsia="Courier New" w:hAnsi="Courier New"/>
                <w:sz w:val="16"/>
                <w:szCs w:val="16"/>
                <w:color w:val="auto"/>
              </w:rPr>
              <w:t>102,459</w:t>
            </w:r>
          </w:p>
        </w:tc>
      </w:tr>
      <w:tr>
        <w:trPr>
          <w:trHeight w:val="373"/>
        </w:trPr>
        <w:tc>
          <w:tcPr>
            <w:tcW w:w="5240" w:type="dxa"/>
            <w:vAlign w:val="bottom"/>
          </w:tcPr>
          <w:p>
            <w:pPr>
              <w:spacing w:after="0"/>
              <w:rPr>
                <w:sz w:val="20"/>
                <w:szCs w:val="20"/>
                <w:color w:val="auto"/>
              </w:rPr>
            </w:pPr>
            <w:r>
              <w:rPr>
                <w:rFonts w:ascii="Courier New" w:cs="Courier New" w:eastAsia="Courier New" w:hAnsi="Courier New"/>
                <w:sz w:val="16"/>
                <w:szCs w:val="16"/>
                <w:color w:val="auto"/>
              </w:rPr>
              <w:t>Bankers Trust Company</w:t>
            </w:r>
          </w:p>
        </w:tc>
        <w:tc>
          <w:tcPr>
            <w:tcW w:w="5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2080" w:type="dxa"/>
            <w:vAlign w:val="bottom"/>
          </w:tcPr>
          <w:p>
            <w:pPr>
              <w:spacing w:after="0"/>
              <w:rPr>
                <w:sz w:val="24"/>
                <w:szCs w:val="24"/>
                <w:color w:val="auto"/>
              </w:rPr>
            </w:pPr>
          </w:p>
        </w:tc>
      </w:tr>
      <w:tr>
        <w:trPr>
          <w:trHeight w:val="186"/>
        </w:trPr>
        <w:tc>
          <w:tcPr>
            <w:tcW w:w="5240" w:type="dxa"/>
            <w:vAlign w:val="bottom"/>
          </w:tcPr>
          <w:p>
            <w:pPr>
              <w:spacing w:after="0"/>
              <w:rPr>
                <w:sz w:val="20"/>
                <w:szCs w:val="20"/>
                <w:color w:val="auto"/>
              </w:rPr>
            </w:pPr>
            <w:r>
              <w:rPr>
                <w:rFonts w:ascii="Courier New" w:cs="Courier New" w:eastAsia="Courier New" w:hAnsi="Courier New"/>
                <w:sz w:val="16"/>
                <w:szCs w:val="16"/>
                <w:color w:val="auto"/>
              </w:rPr>
              <w:t>c/o BT Services Tennessee Inc.</w:t>
            </w:r>
          </w:p>
        </w:tc>
        <w:tc>
          <w:tcPr>
            <w:tcW w:w="52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2080" w:type="dxa"/>
            <w:vAlign w:val="bottom"/>
          </w:tcPr>
          <w:p>
            <w:pPr>
              <w:spacing w:after="0"/>
              <w:rPr>
                <w:sz w:val="16"/>
                <w:szCs w:val="16"/>
                <w:color w:val="auto"/>
              </w:rPr>
            </w:pPr>
          </w:p>
        </w:tc>
        <w:tc>
          <w:tcPr>
            <w:tcW w:w="2080" w:type="dxa"/>
            <w:vAlign w:val="bottom"/>
          </w:tcPr>
          <w:p>
            <w:pPr>
              <w:spacing w:after="0"/>
              <w:rPr>
                <w:sz w:val="16"/>
                <w:szCs w:val="16"/>
                <w:color w:val="auto"/>
              </w:rPr>
            </w:pPr>
          </w:p>
        </w:tc>
      </w:tr>
      <w:tr>
        <w:trPr>
          <w:trHeight w:val="186"/>
        </w:trPr>
        <w:tc>
          <w:tcPr>
            <w:tcW w:w="5240" w:type="dxa"/>
            <w:vAlign w:val="bottom"/>
          </w:tcPr>
          <w:p>
            <w:pPr>
              <w:spacing w:after="0"/>
              <w:rPr>
                <w:sz w:val="20"/>
                <w:szCs w:val="20"/>
                <w:color w:val="auto"/>
              </w:rPr>
            </w:pPr>
            <w:r>
              <w:rPr>
                <w:rFonts w:ascii="Courier New" w:cs="Courier New" w:eastAsia="Courier New" w:hAnsi="Courier New"/>
                <w:sz w:val="16"/>
                <w:szCs w:val="16"/>
                <w:color w:val="auto"/>
              </w:rPr>
              <w:t>648 Grassmere Park Drive</w:t>
            </w:r>
          </w:p>
        </w:tc>
        <w:tc>
          <w:tcPr>
            <w:tcW w:w="52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2080" w:type="dxa"/>
            <w:vAlign w:val="bottom"/>
          </w:tcPr>
          <w:p>
            <w:pPr>
              <w:spacing w:after="0"/>
              <w:rPr>
                <w:sz w:val="16"/>
                <w:szCs w:val="16"/>
                <w:color w:val="auto"/>
              </w:rPr>
            </w:pPr>
          </w:p>
        </w:tc>
        <w:tc>
          <w:tcPr>
            <w:tcW w:w="2080" w:type="dxa"/>
            <w:vAlign w:val="bottom"/>
          </w:tcPr>
          <w:p>
            <w:pPr>
              <w:spacing w:after="0"/>
              <w:rPr>
                <w:sz w:val="16"/>
                <w:szCs w:val="16"/>
                <w:color w:val="auto"/>
              </w:rPr>
            </w:pPr>
          </w:p>
        </w:tc>
      </w:tr>
      <w:tr>
        <w:trPr>
          <w:trHeight w:val="186"/>
        </w:trPr>
        <w:tc>
          <w:tcPr>
            <w:tcW w:w="5240" w:type="dxa"/>
            <w:vAlign w:val="bottom"/>
          </w:tcPr>
          <w:p>
            <w:pPr>
              <w:spacing w:after="0"/>
              <w:rPr>
                <w:sz w:val="20"/>
                <w:szCs w:val="20"/>
                <w:color w:val="auto"/>
              </w:rPr>
            </w:pPr>
            <w:r>
              <w:rPr>
                <w:rFonts w:ascii="Courier New" w:cs="Courier New" w:eastAsia="Courier New" w:hAnsi="Courier New"/>
                <w:sz w:val="16"/>
                <w:szCs w:val="16"/>
                <w:color w:val="auto"/>
              </w:rPr>
              <w:t>Nashville, Tennessee 37211...................</w:t>
            </w:r>
          </w:p>
        </w:tc>
        <w:tc>
          <w:tcPr>
            <w:tcW w:w="5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600" w:type="dxa"/>
            <w:vAlign w:val="bottom"/>
          </w:tcPr>
          <w:p>
            <w:pPr>
              <w:jc w:val="right"/>
              <w:ind w:right="499"/>
              <w:spacing w:after="0"/>
              <w:rPr>
                <w:sz w:val="20"/>
                <w:szCs w:val="20"/>
                <w:color w:val="auto"/>
              </w:rPr>
            </w:pPr>
            <w:r>
              <w:rPr>
                <w:rFonts w:ascii="Courier New" w:cs="Courier New" w:eastAsia="Courier New" w:hAnsi="Courier New"/>
                <w:sz w:val="16"/>
                <w:szCs w:val="16"/>
                <w:color w:val="auto"/>
              </w:rPr>
              <w:t>3,149,000</w:t>
            </w:r>
          </w:p>
        </w:tc>
        <w:tc>
          <w:tcPr>
            <w:tcW w:w="2080" w:type="dxa"/>
            <w:vAlign w:val="bottom"/>
          </w:tcPr>
          <w:p>
            <w:pPr>
              <w:jc w:val="right"/>
              <w:ind w:right="839"/>
              <w:spacing w:after="0"/>
              <w:rPr>
                <w:sz w:val="20"/>
                <w:szCs w:val="20"/>
                <w:color w:val="auto"/>
              </w:rPr>
            </w:pPr>
            <w:r>
              <w:rPr>
                <w:rFonts w:ascii="Courier New" w:cs="Courier New" w:eastAsia="Courier New" w:hAnsi="Courier New"/>
                <w:sz w:val="16"/>
                <w:szCs w:val="16"/>
                <w:color w:val="auto"/>
              </w:rPr>
              <w:t>1.83%</w:t>
            </w:r>
          </w:p>
        </w:tc>
        <w:tc>
          <w:tcPr>
            <w:tcW w:w="2080" w:type="dxa"/>
            <w:vAlign w:val="bottom"/>
          </w:tcPr>
          <w:p>
            <w:pPr>
              <w:jc w:val="right"/>
              <w:ind w:right="779"/>
              <w:spacing w:after="0"/>
              <w:rPr>
                <w:sz w:val="20"/>
                <w:szCs w:val="20"/>
                <w:color w:val="auto"/>
              </w:rPr>
            </w:pPr>
            <w:r>
              <w:rPr>
                <w:rFonts w:ascii="Courier New" w:cs="Courier New" w:eastAsia="Courier New" w:hAnsi="Courier New"/>
                <w:sz w:val="16"/>
                <w:szCs w:val="16"/>
                <w:color w:val="auto"/>
              </w:rPr>
              <w:t>43,019</w:t>
            </w:r>
          </w:p>
        </w:tc>
      </w:tr>
      <w:tr>
        <w:trPr>
          <w:trHeight w:val="373"/>
        </w:trPr>
        <w:tc>
          <w:tcPr>
            <w:tcW w:w="5240" w:type="dxa"/>
            <w:vAlign w:val="bottom"/>
          </w:tcPr>
          <w:p>
            <w:pPr>
              <w:spacing w:after="0"/>
              <w:rPr>
                <w:sz w:val="20"/>
                <w:szCs w:val="20"/>
                <w:color w:val="auto"/>
              </w:rPr>
            </w:pPr>
            <w:r>
              <w:rPr>
                <w:rFonts w:ascii="Courier New" w:cs="Courier New" w:eastAsia="Courier New" w:hAnsi="Courier New"/>
                <w:sz w:val="16"/>
                <w:szCs w:val="16"/>
                <w:color w:val="auto"/>
              </w:rPr>
              <w:t>Barclays Capital, Inc.</w:t>
            </w:r>
          </w:p>
        </w:tc>
        <w:tc>
          <w:tcPr>
            <w:tcW w:w="5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2080" w:type="dxa"/>
            <w:vAlign w:val="bottom"/>
          </w:tcPr>
          <w:p>
            <w:pPr>
              <w:spacing w:after="0"/>
              <w:rPr>
                <w:sz w:val="24"/>
                <w:szCs w:val="24"/>
                <w:color w:val="auto"/>
              </w:rPr>
            </w:pPr>
          </w:p>
        </w:tc>
      </w:tr>
      <w:tr>
        <w:trPr>
          <w:trHeight w:val="186"/>
        </w:trPr>
        <w:tc>
          <w:tcPr>
            <w:tcW w:w="5240" w:type="dxa"/>
            <w:vAlign w:val="bottom"/>
          </w:tcPr>
          <w:p>
            <w:pPr>
              <w:spacing w:after="0"/>
              <w:rPr>
                <w:sz w:val="20"/>
                <w:szCs w:val="20"/>
                <w:color w:val="auto"/>
              </w:rPr>
            </w:pPr>
            <w:r>
              <w:rPr>
                <w:rFonts w:ascii="Courier New" w:cs="Courier New" w:eastAsia="Courier New" w:hAnsi="Courier New"/>
                <w:sz w:val="16"/>
                <w:szCs w:val="16"/>
                <w:color w:val="auto"/>
              </w:rPr>
              <w:t>222 Broadway</w:t>
            </w:r>
          </w:p>
        </w:tc>
        <w:tc>
          <w:tcPr>
            <w:tcW w:w="52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2080" w:type="dxa"/>
            <w:vAlign w:val="bottom"/>
          </w:tcPr>
          <w:p>
            <w:pPr>
              <w:spacing w:after="0"/>
              <w:rPr>
                <w:sz w:val="16"/>
                <w:szCs w:val="16"/>
                <w:color w:val="auto"/>
              </w:rPr>
            </w:pPr>
          </w:p>
        </w:tc>
        <w:tc>
          <w:tcPr>
            <w:tcW w:w="2080" w:type="dxa"/>
            <w:vAlign w:val="bottom"/>
          </w:tcPr>
          <w:p>
            <w:pPr>
              <w:spacing w:after="0"/>
              <w:rPr>
                <w:sz w:val="16"/>
                <w:szCs w:val="16"/>
                <w:color w:val="auto"/>
              </w:rPr>
            </w:pPr>
          </w:p>
        </w:tc>
      </w:tr>
      <w:tr>
        <w:trPr>
          <w:trHeight w:val="186"/>
        </w:trPr>
        <w:tc>
          <w:tcPr>
            <w:tcW w:w="5240" w:type="dxa"/>
            <w:vAlign w:val="bottom"/>
          </w:tcPr>
          <w:p>
            <w:pPr>
              <w:spacing w:after="0"/>
              <w:rPr>
                <w:sz w:val="20"/>
                <w:szCs w:val="20"/>
                <w:color w:val="auto"/>
              </w:rPr>
            </w:pPr>
            <w:r>
              <w:rPr>
                <w:rFonts w:ascii="Courier New" w:cs="Courier New" w:eastAsia="Courier New" w:hAnsi="Courier New"/>
                <w:sz w:val="16"/>
                <w:szCs w:val="16"/>
                <w:color w:val="auto"/>
              </w:rPr>
              <w:t>New York, New York 10038.....................</w:t>
            </w:r>
          </w:p>
        </w:tc>
        <w:tc>
          <w:tcPr>
            <w:tcW w:w="5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600" w:type="dxa"/>
            <w:vAlign w:val="bottom"/>
          </w:tcPr>
          <w:p>
            <w:pPr>
              <w:jc w:val="right"/>
              <w:ind w:right="499"/>
              <w:spacing w:after="0"/>
              <w:rPr>
                <w:sz w:val="20"/>
                <w:szCs w:val="20"/>
                <w:color w:val="auto"/>
              </w:rPr>
            </w:pPr>
            <w:r>
              <w:rPr>
                <w:rFonts w:ascii="Courier New" w:cs="Courier New" w:eastAsia="Courier New" w:hAnsi="Courier New"/>
                <w:sz w:val="16"/>
                <w:szCs w:val="16"/>
                <w:color w:val="auto"/>
              </w:rPr>
              <w:t>1,000,000</w:t>
            </w:r>
          </w:p>
        </w:tc>
        <w:tc>
          <w:tcPr>
            <w:tcW w:w="2080" w:type="dxa"/>
            <w:vAlign w:val="bottom"/>
          </w:tcPr>
          <w:p>
            <w:pPr>
              <w:jc w:val="right"/>
              <w:ind w:right="839"/>
              <w:spacing w:after="0"/>
              <w:rPr>
                <w:sz w:val="20"/>
                <w:szCs w:val="20"/>
                <w:color w:val="auto"/>
              </w:rPr>
            </w:pPr>
            <w:r>
              <w:rPr>
                <w:rFonts w:ascii="Courier New" w:cs="Courier New" w:eastAsia="Courier New" w:hAnsi="Courier New"/>
                <w:sz w:val="16"/>
                <w:szCs w:val="16"/>
                <w:color w:val="auto"/>
              </w:rPr>
              <w:t>0.58%</w:t>
            </w:r>
          </w:p>
        </w:tc>
        <w:tc>
          <w:tcPr>
            <w:tcW w:w="2080" w:type="dxa"/>
            <w:vAlign w:val="bottom"/>
          </w:tcPr>
          <w:p>
            <w:pPr>
              <w:jc w:val="right"/>
              <w:ind w:right="779"/>
              <w:spacing w:after="0"/>
              <w:rPr>
                <w:sz w:val="20"/>
                <w:szCs w:val="20"/>
                <w:color w:val="auto"/>
              </w:rPr>
            </w:pPr>
            <w:r>
              <w:rPr>
                <w:rFonts w:ascii="Courier New" w:cs="Courier New" w:eastAsia="Courier New" w:hAnsi="Courier New"/>
                <w:sz w:val="16"/>
                <w:szCs w:val="16"/>
                <w:color w:val="auto"/>
              </w:rPr>
              <w:t>13,661</w:t>
            </w:r>
          </w:p>
        </w:tc>
      </w:tr>
      <w:tr>
        <w:trPr>
          <w:trHeight w:val="373"/>
        </w:trPr>
        <w:tc>
          <w:tcPr>
            <w:tcW w:w="5240" w:type="dxa"/>
            <w:vAlign w:val="bottom"/>
          </w:tcPr>
          <w:p>
            <w:pPr>
              <w:spacing w:after="0"/>
              <w:rPr>
                <w:sz w:val="20"/>
                <w:szCs w:val="20"/>
                <w:color w:val="auto"/>
              </w:rPr>
            </w:pPr>
            <w:r>
              <w:rPr>
                <w:rFonts w:ascii="Courier New" w:cs="Courier New" w:eastAsia="Courier New" w:hAnsi="Courier New"/>
                <w:sz w:val="16"/>
                <w:szCs w:val="16"/>
                <w:color w:val="auto"/>
              </w:rPr>
              <w:t>Bear, Stearns Securities Corp.</w:t>
            </w:r>
          </w:p>
        </w:tc>
        <w:tc>
          <w:tcPr>
            <w:tcW w:w="5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2080" w:type="dxa"/>
            <w:vAlign w:val="bottom"/>
          </w:tcPr>
          <w:p>
            <w:pPr>
              <w:spacing w:after="0"/>
              <w:rPr>
                <w:sz w:val="24"/>
                <w:szCs w:val="24"/>
                <w:color w:val="auto"/>
              </w:rPr>
            </w:pPr>
          </w:p>
        </w:tc>
      </w:tr>
      <w:tr>
        <w:trPr>
          <w:trHeight w:val="186"/>
        </w:trPr>
        <w:tc>
          <w:tcPr>
            <w:tcW w:w="5240" w:type="dxa"/>
            <w:vAlign w:val="bottom"/>
          </w:tcPr>
          <w:p>
            <w:pPr>
              <w:spacing w:after="0"/>
              <w:rPr>
                <w:sz w:val="20"/>
                <w:szCs w:val="20"/>
                <w:color w:val="auto"/>
              </w:rPr>
            </w:pPr>
            <w:r>
              <w:rPr>
                <w:rFonts w:ascii="Courier New" w:cs="Courier New" w:eastAsia="Courier New" w:hAnsi="Courier New"/>
                <w:sz w:val="16"/>
                <w:szCs w:val="16"/>
                <w:color w:val="auto"/>
              </w:rPr>
              <w:t>One Metrotech Center North, 4th Floor</w:t>
            </w:r>
          </w:p>
        </w:tc>
        <w:tc>
          <w:tcPr>
            <w:tcW w:w="52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2080" w:type="dxa"/>
            <w:vAlign w:val="bottom"/>
          </w:tcPr>
          <w:p>
            <w:pPr>
              <w:spacing w:after="0"/>
              <w:rPr>
                <w:sz w:val="16"/>
                <w:szCs w:val="16"/>
                <w:color w:val="auto"/>
              </w:rPr>
            </w:pPr>
          </w:p>
        </w:tc>
        <w:tc>
          <w:tcPr>
            <w:tcW w:w="2080" w:type="dxa"/>
            <w:vAlign w:val="bottom"/>
          </w:tcPr>
          <w:p>
            <w:pPr>
              <w:spacing w:after="0"/>
              <w:rPr>
                <w:sz w:val="16"/>
                <w:szCs w:val="16"/>
                <w:color w:val="auto"/>
              </w:rPr>
            </w:pPr>
          </w:p>
        </w:tc>
      </w:tr>
      <w:tr>
        <w:trPr>
          <w:trHeight w:val="186"/>
        </w:trPr>
        <w:tc>
          <w:tcPr>
            <w:tcW w:w="5240" w:type="dxa"/>
            <w:vAlign w:val="bottom"/>
          </w:tcPr>
          <w:p>
            <w:pPr>
              <w:spacing w:after="0"/>
              <w:rPr>
                <w:sz w:val="20"/>
                <w:szCs w:val="20"/>
                <w:color w:val="auto"/>
              </w:rPr>
            </w:pPr>
            <w:r>
              <w:rPr>
                <w:rFonts w:ascii="Courier New" w:cs="Courier New" w:eastAsia="Courier New" w:hAnsi="Courier New"/>
                <w:sz w:val="16"/>
                <w:szCs w:val="16"/>
                <w:color w:val="auto"/>
              </w:rPr>
              <w:t>Brooklyn, New York 11201.....................</w:t>
            </w:r>
          </w:p>
        </w:tc>
        <w:tc>
          <w:tcPr>
            <w:tcW w:w="5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600" w:type="dxa"/>
            <w:vAlign w:val="bottom"/>
          </w:tcPr>
          <w:p>
            <w:pPr>
              <w:jc w:val="right"/>
              <w:ind w:right="499"/>
              <w:spacing w:after="0"/>
              <w:rPr>
                <w:sz w:val="20"/>
                <w:szCs w:val="20"/>
                <w:color w:val="auto"/>
              </w:rPr>
            </w:pPr>
            <w:r>
              <w:rPr>
                <w:rFonts w:ascii="Courier New" w:cs="Courier New" w:eastAsia="Courier New" w:hAnsi="Courier New"/>
                <w:sz w:val="16"/>
                <w:szCs w:val="16"/>
                <w:color w:val="auto"/>
              </w:rPr>
              <w:t>33,585,000</w:t>
            </w:r>
          </w:p>
        </w:tc>
        <w:tc>
          <w:tcPr>
            <w:tcW w:w="2080" w:type="dxa"/>
            <w:vAlign w:val="bottom"/>
          </w:tcPr>
          <w:p>
            <w:pPr>
              <w:jc w:val="right"/>
              <w:ind w:right="839"/>
              <w:spacing w:after="0"/>
              <w:rPr>
                <w:sz w:val="20"/>
                <w:szCs w:val="20"/>
                <w:color w:val="auto"/>
              </w:rPr>
            </w:pPr>
            <w:r>
              <w:rPr>
                <w:rFonts w:ascii="Courier New" w:cs="Courier New" w:eastAsia="Courier New" w:hAnsi="Courier New"/>
                <w:sz w:val="16"/>
                <w:szCs w:val="16"/>
                <w:color w:val="auto"/>
              </w:rPr>
              <w:t>19.47%</w:t>
            </w:r>
          </w:p>
        </w:tc>
        <w:tc>
          <w:tcPr>
            <w:tcW w:w="2080" w:type="dxa"/>
            <w:vAlign w:val="bottom"/>
          </w:tcPr>
          <w:p>
            <w:pPr>
              <w:jc w:val="right"/>
              <w:ind w:right="779"/>
              <w:spacing w:after="0"/>
              <w:rPr>
                <w:sz w:val="20"/>
                <w:szCs w:val="20"/>
                <w:color w:val="auto"/>
              </w:rPr>
            </w:pPr>
            <w:r>
              <w:rPr>
                <w:rFonts w:ascii="Courier New" w:cs="Courier New" w:eastAsia="Courier New" w:hAnsi="Courier New"/>
                <w:sz w:val="16"/>
                <w:szCs w:val="16"/>
                <w:color w:val="auto"/>
              </w:rPr>
              <w:t>458,811</w:t>
            </w:r>
          </w:p>
        </w:tc>
      </w:tr>
      <w:tr>
        <w:trPr>
          <w:trHeight w:val="373"/>
        </w:trPr>
        <w:tc>
          <w:tcPr>
            <w:tcW w:w="5240" w:type="dxa"/>
            <w:vAlign w:val="bottom"/>
          </w:tcPr>
          <w:p>
            <w:pPr>
              <w:spacing w:after="0"/>
              <w:rPr>
                <w:sz w:val="20"/>
                <w:szCs w:val="20"/>
                <w:color w:val="auto"/>
              </w:rPr>
            </w:pPr>
            <w:r>
              <w:rPr>
                <w:rFonts w:ascii="Courier New" w:cs="Courier New" w:eastAsia="Courier New" w:hAnsi="Courier New"/>
                <w:sz w:val="16"/>
                <w:szCs w:val="16"/>
                <w:color w:val="auto"/>
              </w:rPr>
              <w:t>Bank of America, National Association</w:t>
            </w:r>
          </w:p>
        </w:tc>
        <w:tc>
          <w:tcPr>
            <w:tcW w:w="5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2080" w:type="dxa"/>
            <w:vAlign w:val="bottom"/>
          </w:tcPr>
          <w:p>
            <w:pPr>
              <w:spacing w:after="0"/>
              <w:rPr>
                <w:sz w:val="24"/>
                <w:szCs w:val="24"/>
                <w:color w:val="auto"/>
              </w:rPr>
            </w:pPr>
          </w:p>
        </w:tc>
      </w:tr>
      <w:tr>
        <w:trPr>
          <w:trHeight w:val="186"/>
        </w:trPr>
        <w:tc>
          <w:tcPr>
            <w:tcW w:w="5240" w:type="dxa"/>
            <w:vAlign w:val="bottom"/>
          </w:tcPr>
          <w:p>
            <w:pPr>
              <w:spacing w:after="0"/>
              <w:rPr>
                <w:sz w:val="20"/>
                <w:szCs w:val="20"/>
                <w:color w:val="auto"/>
              </w:rPr>
            </w:pPr>
            <w:r>
              <w:rPr>
                <w:rFonts w:ascii="Courier New" w:cs="Courier New" w:eastAsia="Courier New" w:hAnsi="Courier New"/>
                <w:sz w:val="16"/>
                <w:szCs w:val="16"/>
                <w:color w:val="auto"/>
              </w:rPr>
              <w:t>1401 Elm Street, 16th Floor</w:t>
            </w:r>
          </w:p>
        </w:tc>
        <w:tc>
          <w:tcPr>
            <w:tcW w:w="52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2080" w:type="dxa"/>
            <w:vAlign w:val="bottom"/>
          </w:tcPr>
          <w:p>
            <w:pPr>
              <w:spacing w:after="0"/>
              <w:rPr>
                <w:sz w:val="16"/>
                <w:szCs w:val="16"/>
                <w:color w:val="auto"/>
              </w:rPr>
            </w:pPr>
          </w:p>
        </w:tc>
        <w:tc>
          <w:tcPr>
            <w:tcW w:w="2080" w:type="dxa"/>
            <w:vAlign w:val="bottom"/>
          </w:tcPr>
          <w:p>
            <w:pPr>
              <w:spacing w:after="0"/>
              <w:rPr>
                <w:sz w:val="16"/>
                <w:szCs w:val="16"/>
                <w:color w:val="auto"/>
              </w:rPr>
            </w:pPr>
          </w:p>
        </w:tc>
      </w:tr>
      <w:tr>
        <w:trPr>
          <w:trHeight w:val="186"/>
        </w:trPr>
        <w:tc>
          <w:tcPr>
            <w:tcW w:w="5240" w:type="dxa"/>
            <w:vAlign w:val="bottom"/>
          </w:tcPr>
          <w:p>
            <w:pPr>
              <w:spacing w:after="0"/>
              <w:rPr>
                <w:sz w:val="20"/>
                <w:szCs w:val="20"/>
                <w:color w:val="auto"/>
              </w:rPr>
            </w:pPr>
            <w:r>
              <w:rPr>
                <w:rFonts w:ascii="Courier New" w:cs="Courier New" w:eastAsia="Courier New" w:hAnsi="Courier New"/>
                <w:sz w:val="16"/>
                <w:szCs w:val="16"/>
                <w:color w:val="auto"/>
              </w:rPr>
              <w:t>Dallas, Texas 75202..........................</w:t>
            </w:r>
          </w:p>
        </w:tc>
        <w:tc>
          <w:tcPr>
            <w:tcW w:w="5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600" w:type="dxa"/>
            <w:vAlign w:val="bottom"/>
          </w:tcPr>
          <w:p>
            <w:pPr>
              <w:jc w:val="right"/>
              <w:ind w:right="499"/>
              <w:spacing w:after="0"/>
              <w:rPr>
                <w:sz w:val="20"/>
                <w:szCs w:val="20"/>
                <w:color w:val="auto"/>
              </w:rPr>
            </w:pPr>
            <w:r>
              <w:rPr>
                <w:rFonts w:ascii="Courier New" w:cs="Courier New" w:eastAsia="Courier New" w:hAnsi="Courier New"/>
                <w:sz w:val="16"/>
                <w:szCs w:val="16"/>
                <w:color w:val="auto"/>
              </w:rPr>
              <w:t>900,000</w:t>
            </w:r>
          </w:p>
        </w:tc>
        <w:tc>
          <w:tcPr>
            <w:tcW w:w="2080" w:type="dxa"/>
            <w:vAlign w:val="bottom"/>
          </w:tcPr>
          <w:p>
            <w:pPr>
              <w:jc w:val="right"/>
              <w:ind w:right="839"/>
              <w:spacing w:after="0"/>
              <w:rPr>
                <w:sz w:val="20"/>
                <w:szCs w:val="20"/>
                <w:color w:val="auto"/>
              </w:rPr>
            </w:pPr>
            <w:r>
              <w:rPr>
                <w:rFonts w:ascii="Courier New" w:cs="Courier New" w:eastAsia="Courier New" w:hAnsi="Courier New"/>
                <w:sz w:val="16"/>
                <w:szCs w:val="16"/>
                <w:color w:val="auto"/>
              </w:rPr>
              <w:t>0.52%</w:t>
            </w:r>
          </w:p>
        </w:tc>
        <w:tc>
          <w:tcPr>
            <w:tcW w:w="2080" w:type="dxa"/>
            <w:vAlign w:val="bottom"/>
          </w:tcPr>
          <w:p>
            <w:pPr>
              <w:jc w:val="right"/>
              <w:ind w:right="779"/>
              <w:spacing w:after="0"/>
              <w:rPr>
                <w:sz w:val="20"/>
                <w:szCs w:val="20"/>
                <w:color w:val="auto"/>
              </w:rPr>
            </w:pPr>
            <w:r>
              <w:rPr>
                <w:rFonts w:ascii="Courier New" w:cs="Courier New" w:eastAsia="Courier New" w:hAnsi="Courier New"/>
                <w:sz w:val="16"/>
                <w:szCs w:val="16"/>
                <w:color w:val="auto"/>
              </w:rPr>
              <w:t>12,295</w:t>
            </w:r>
          </w:p>
        </w:tc>
      </w:tr>
      <w:tr>
        <w:trPr>
          <w:trHeight w:val="373"/>
        </w:trPr>
        <w:tc>
          <w:tcPr>
            <w:tcW w:w="5240" w:type="dxa"/>
            <w:vAlign w:val="bottom"/>
          </w:tcPr>
          <w:p>
            <w:pPr>
              <w:spacing w:after="0"/>
              <w:rPr>
                <w:sz w:val="20"/>
                <w:szCs w:val="20"/>
                <w:color w:val="auto"/>
              </w:rPr>
            </w:pPr>
            <w:r>
              <w:rPr>
                <w:rFonts w:ascii="Courier New" w:cs="Courier New" w:eastAsia="Courier New" w:hAnsi="Courier New"/>
                <w:sz w:val="16"/>
                <w:szCs w:val="16"/>
                <w:color w:val="auto"/>
              </w:rPr>
              <w:t>BNC Nesbitt Burns Inc.</w:t>
            </w:r>
          </w:p>
        </w:tc>
        <w:tc>
          <w:tcPr>
            <w:tcW w:w="5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2080" w:type="dxa"/>
            <w:vAlign w:val="bottom"/>
          </w:tcPr>
          <w:p>
            <w:pPr>
              <w:spacing w:after="0"/>
              <w:rPr>
                <w:sz w:val="24"/>
                <w:szCs w:val="24"/>
                <w:color w:val="auto"/>
              </w:rPr>
            </w:pPr>
          </w:p>
        </w:tc>
      </w:tr>
      <w:tr>
        <w:trPr>
          <w:trHeight w:val="186"/>
        </w:trPr>
        <w:tc>
          <w:tcPr>
            <w:tcW w:w="5240" w:type="dxa"/>
            <w:vAlign w:val="bottom"/>
          </w:tcPr>
          <w:p>
            <w:pPr>
              <w:spacing w:after="0"/>
              <w:rPr>
                <w:sz w:val="20"/>
                <w:szCs w:val="20"/>
                <w:color w:val="auto"/>
              </w:rPr>
            </w:pPr>
            <w:r>
              <w:rPr>
                <w:rFonts w:ascii="Courier New" w:cs="Courier New" w:eastAsia="Courier New" w:hAnsi="Courier New"/>
                <w:sz w:val="16"/>
                <w:szCs w:val="16"/>
                <w:color w:val="auto"/>
              </w:rPr>
              <w:t>1 First Canadian Place, 13th Floor</w:t>
            </w:r>
          </w:p>
        </w:tc>
        <w:tc>
          <w:tcPr>
            <w:tcW w:w="52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2080" w:type="dxa"/>
            <w:vAlign w:val="bottom"/>
          </w:tcPr>
          <w:p>
            <w:pPr>
              <w:spacing w:after="0"/>
              <w:rPr>
                <w:sz w:val="16"/>
                <w:szCs w:val="16"/>
                <w:color w:val="auto"/>
              </w:rPr>
            </w:pPr>
          </w:p>
        </w:tc>
        <w:tc>
          <w:tcPr>
            <w:tcW w:w="2080" w:type="dxa"/>
            <w:vAlign w:val="bottom"/>
          </w:tcPr>
          <w:p>
            <w:pPr>
              <w:spacing w:after="0"/>
              <w:rPr>
                <w:sz w:val="16"/>
                <w:szCs w:val="16"/>
                <w:color w:val="auto"/>
              </w:rPr>
            </w:pPr>
          </w:p>
        </w:tc>
      </w:tr>
      <w:tr>
        <w:trPr>
          <w:trHeight w:val="186"/>
        </w:trPr>
        <w:tc>
          <w:tcPr>
            <w:tcW w:w="5240" w:type="dxa"/>
            <w:vAlign w:val="bottom"/>
          </w:tcPr>
          <w:p>
            <w:pPr>
              <w:spacing w:after="0"/>
              <w:rPr>
                <w:sz w:val="20"/>
                <w:szCs w:val="20"/>
                <w:color w:val="auto"/>
              </w:rPr>
            </w:pPr>
            <w:r>
              <w:rPr>
                <w:rFonts w:ascii="Courier New" w:cs="Courier New" w:eastAsia="Courier New" w:hAnsi="Courier New"/>
                <w:sz w:val="16"/>
                <w:szCs w:val="16"/>
                <w:color w:val="auto"/>
              </w:rPr>
              <w:t>Toronto, Canada M5X 1H3......................</w:t>
            </w:r>
          </w:p>
        </w:tc>
        <w:tc>
          <w:tcPr>
            <w:tcW w:w="5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600" w:type="dxa"/>
            <w:vAlign w:val="bottom"/>
          </w:tcPr>
          <w:p>
            <w:pPr>
              <w:jc w:val="right"/>
              <w:ind w:right="499"/>
              <w:spacing w:after="0"/>
              <w:rPr>
                <w:sz w:val="20"/>
                <w:szCs w:val="20"/>
                <w:color w:val="auto"/>
              </w:rPr>
            </w:pPr>
            <w:r>
              <w:rPr>
                <w:rFonts w:ascii="Courier New" w:cs="Courier New" w:eastAsia="Courier New" w:hAnsi="Courier New"/>
                <w:sz w:val="16"/>
                <w:szCs w:val="16"/>
                <w:color w:val="auto"/>
              </w:rPr>
              <w:t>1,500,000</w:t>
            </w:r>
          </w:p>
        </w:tc>
        <w:tc>
          <w:tcPr>
            <w:tcW w:w="2080" w:type="dxa"/>
            <w:vAlign w:val="bottom"/>
          </w:tcPr>
          <w:p>
            <w:pPr>
              <w:jc w:val="right"/>
              <w:ind w:right="839"/>
              <w:spacing w:after="0"/>
              <w:rPr>
                <w:sz w:val="20"/>
                <w:szCs w:val="20"/>
                <w:color w:val="auto"/>
              </w:rPr>
            </w:pPr>
            <w:r>
              <w:rPr>
                <w:rFonts w:ascii="Courier New" w:cs="Courier New" w:eastAsia="Courier New" w:hAnsi="Courier New"/>
                <w:sz w:val="16"/>
                <w:szCs w:val="16"/>
                <w:color w:val="auto"/>
              </w:rPr>
              <w:t>0.87%</w:t>
            </w:r>
          </w:p>
        </w:tc>
        <w:tc>
          <w:tcPr>
            <w:tcW w:w="2080" w:type="dxa"/>
            <w:vAlign w:val="bottom"/>
          </w:tcPr>
          <w:p>
            <w:pPr>
              <w:jc w:val="right"/>
              <w:ind w:right="779"/>
              <w:spacing w:after="0"/>
              <w:rPr>
                <w:sz w:val="20"/>
                <w:szCs w:val="20"/>
                <w:color w:val="auto"/>
              </w:rPr>
            </w:pPr>
            <w:r>
              <w:rPr>
                <w:rFonts w:ascii="Courier New" w:cs="Courier New" w:eastAsia="Courier New" w:hAnsi="Courier New"/>
                <w:sz w:val="16"/>
                <w:szCs w:val="16"/>
                <w:color w:val="auto"/>
              </w:rPr>
              <w:t>20,492</w:t>
            </w:r>
          </w:p>
        </w:tc>
      </w:tr>
      <w:tr>
        <w:trPr>
          <w:trHeight w:val="373"/>
        </w:trPr>
        <w:tc>
          <w:tcPr>
            <w:tcW w:w="5240" w:type="dxa"/>
            <w:vAlign w:val="bottom"/>
          </w:tcPr>
          <w:p>
            <w:pPr>
              <w:spacing w:after="0"/>
              <w:rPr>
                <w:sz w:val="20"/>
                <w:szCs w:val="20"/>
                <w:color w:val="auto"/>
              </w:rPr>
            </w:pPr>
            <w:r>
              <w:rPr>
                <w:rFonts w:ascii="Courier New" w:cs="Courier New" w:eastAsia="Courier New" w:hAnsi="Courier New"/>
                <w:sz w:val="16"/>
                <w:szCs w:val="16"/>
                <w:color w:val="auto"/>
              </w:rPr>
              <w:t>Banc of America Securities LLC</w:t>
            </w:r>
          </w:p>
        </w:tc>
        <w:tc>
          <w:tcPr>
            <w:tcW w:w="5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2080" w:type="dxa"/>
            <w:vAlign w:val="bottom"/>
          </w:tcPr>
          <w:p>
            <w:pPr>
              <w:spacing w:after="0"/>
              <w:rPr>
                <w:sz w:val="24"/>
                <w:szCs w:val="24"/>
                <w:color w:val="auto"/>
              </w:rPr>
            </w:pPr>
          </w:p>
        </w:tc>
      </w:tr>
      <w:tr>
        <w:trPr>
          <w:trHeight w:val="186"/>
        </w:trPr>
        <w:tc>
          <w:tcPr>
            <w:tcW w:w="5240" w:type="dxa"/>
            <w:vAlign w:val="bottom"/>
          </w:tcPr>
          <w:p>
            <w:pPr>
              <w:spacing w:after="0"/>
              <w:rPr>
                <w:sz w:val="20"/>
                <w:szCs w:val="20"/>
                <w:color w:val="auto"/>
              </w:rPr>
            </w:pPr>
            <w:r>
              <w:rPr>
                <w:rFonts w:ascii="Courier New" w:cs="Courier New" w:eastAsia="Courier New" w:hAnsi="Courier New"/>
                <w:sz w:val="16"/>
                <w:szCs w:val="16"/>
                <w:color w:val="auto"/>
              </w:rPr>
              <w:t>600 Montgomery Street, 4th Floor</w:t>
            </w:r>
          </w:p>
        </w:tc>
        <w:tc>
          <w:tcPr>
            <w:tcW w:w="52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2080" w:type="dxa"/>
            <w:vAlign w:val="bottom"/>
          </w:tcPr>
          <w:p>
            <w:pPr>
              <w:spacing w:after="0"/>
              <w:rPr>
                <w:sz w:val="16"/>
                <w:szCs w:val="16"/>
                <w:color w:val="auto"/>
              </w:rPr>
            </w:pPr>
          </w:p>
        </w:tc>
        <w:tc>
          <w:tcPr>
            <w:tcW w:w="2080" w:type="dxa"/>
            <w:vAlign w:val="bottom"/>
          </w:tcPr>
          <w:p>
            <w:pPr>
              <w:spacing w:after="0"/>
              <w:rPr>
                <w:sz w:val="16"/>
                <w:szCs w:val="16"/>
                <w:color w:val="auto"/>
              </w:rPr>
            </w:pPr>
          </w:p>
        </w:tc>
      </w:tr>
      <w:tr>
        <w:trPr>
          <w:trHeight w:val="186"/>
        </w:trPr>
        <w:tc>
          <w:tcPr>
            <w:tcW w:w="5240" w:type="dxa"/>
            <w:vAlign w:val="bottom"/>
          </w:tcPr>
          <w:p>
            <w:pPr>
              <w:spacing w:after="0"/>
              <w:rPr>
                <w:sz w:val="20"/>
                <w:szCs w:val="20"/>
                <w:color w:val="auto"/>
              </w:rPr>
            </w:pPr>
            <w:r>
              <w:rPr>
                <w:rFonts w:ascii="Courier New" w:cs="Courier New" w:eastAsia="Courier New" w:hAnsi="Courier New"/>
                <w:sz w:val="16"/>
                <w:szCs w:val="16"/>
                <w:color w:val="auto"/>
              </w:rPr>
              <w:t>San Francisco, California 94111..............</w:t>
            </w:r>
          </w:p>
        </w:tc>
        <w:tc>
          <w:tcPr>
            <w:tcW w:w="5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600" w:type="dxa"/>
            <w:vAlign w:val="bottom"/>
          </w:tcPr>
          <w:p>
            <w:pPr>
              <w:jc w:val="right"/>
              <w:ind w:right="499"/>
              <w:spacing w:after="0"/>
              <w:rPr>
                <w:sz w:val="20"/>
                <w:szCs w:val="20"/>
                <w:color w:val="auto"/>
              </w:rPr>
            </w:pPr>
            <w:r>
              <w:rPr>
                <w:rFonts w:ascii="Courier New" w:cs="Courier New" w:eastAsia="Courier New" w:hAnsi="Courier New"/>
                <w:sz w:val="16"/>
                <w:szCs w:val="16"/>
                <w:color w:val="auto"/>
              </w:rPr>
              <w:t>6,000,000</w:t>
            </w:r>
          </w:p>
        </w:tc>
        <w:tc>
          <w:tcPr>
            <w:tcW w:w="2080" w:type="dxa"/>
            <w:vAlign w:val="bottom"/>
          </w:tcPr>
          <w:p>
            <w:pPr>
              <w:jc w:val="right"/>
              <w:ind w:right="839"/>
              <w:spacing w:after="0"/>
              <w:rPr>
                <w:sz w:val="20"/>
                <w:szCs w:val="20"/>
                <w:color w:val="auto"/>
              </w:rPr>
            </w:pPr>
            <w:r>
              <w:rPr>
                <w:rFonts w:ascii="Courier New" w:cs="Courier New" w:eastAsia="Courier New" w:hAnsi="Courier New"/>
                <w:sz w:val="16"/>
                <w:szCs w:val="16"/>
                <w:color w:val="auto"/>
              </w:rPr>
              <w:t>3.48%</w:t>
            </w:r>
          </w:p>
        </w:tc>
        <w:tc>
          <w:tcPr>
            <w:tcW w:w="2080" w:type="dxa"/>
            <w:vAlign w:val="bottom"/>
          </w:tcPr>
          <w:p>
            <w:pPr>
              <w:jc w:val="right"/>
              <w:ind w:right="779"/>
              <w:spacing w:after="0"/>
              <w:rPr>
                <w:sz w:val="20"/>
                <w:szCs w:val="20"/>
                <w:color w:val="auto"/>
              </w:rPr>
            </w:pPr>
            <w:r>
              <w:rPr>
                <w:rFonts w:ascii="Courier New" w:cs="Courier New" w:eastAsia="Courier New" w:hAnsi="Courier New"/>
                <w:sz w:val="16"/>
                <w:szCs w:val="16"/>
                <w:color w:val="auto"/>
              </w:rPr>
              <w:t>81,967</w:t>
            </w:r>
          </w:p>
        </w:tc>
      </w:tr>
      <w:tr>
        <w:trPr>
          <w:trHeight w:val="373"/>
        </w:trPr>
        <w:tc>
          <w:tcPr>
            <w:tcW w:w="5240" w:type="dxa"/>
            <w:vAlign w:val="bottom"/>
          </w:tcPr>
          <w:p>
            <w:pPr>
              <w:spacing w:after="0"/>
              <w:rPr>
                <w:sz w:val="20"/>
                <w:szCs w:val="20"/>
                <w:color w:val="auto"/>
              </w:rPr>
            </w:pPr>
            <w:r>
              <w:rPr>
                <w:rFonts w:ascii="Courier New" w:cs="Courier New" w:eastAsia="Courier New" w:hAnsi="Courier New"/>
                <w:sz w:val="16"/>
                <w:szCs w:val="16"/>
                <w:color w:val="auto"/>
              </w:rPr>
              <w:t>Boston Safe Deposit and Trust Company</w:t>
            </w:r>
          </w:p>
        </w:tc>
        <w:tc>
          <w:tcPr>
            <w:tcW w:w="5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2080" w:type="dxa"/>
            <w:vAlign w:val="bottom"/>
          </w:tcPr>
          <w:p>
            <w:pPr>
              <w:spacing w:after="0"/>
              <w:rPr>
                <w:sz w:val="24"/>
                <w:szCs w:val="24"/>
                <w:color w:val="auto"/>
              </w:rPr>
            </w:pPr>
          </w:p>
        </w:tc>
      </w:tr>
      <w:tr>
        <w:trPr>
          <w:trHeight w:val="186"/>
        </w:trPr>
        <w:tc>
          <w:tcPr>
            <w:tcW w:w="5240" w:type="dxa"/>
            <w:vAlign w:val="bottom"/>
          </w:tcPr>
          <w:p>
            <w:pPr>
              <w:spacing w:after="0"/>
              <w:rPr>
                <w:sz w:val="20"/>
                <w:szCs w:val="20"/>
                <w:color w:val="auto"/>
              </w:rPr>
            </w:pPr>
            <w:r>
              <w:rPr>
                <w:rFonts w:ascii="Courier New" w:cs="Courier New" w:eastAsia="Courier New" w:hAnsi="Courier New"/>
                <w:sz w:val="16"/>
                <w:szCs w:val="16"/>
                <w:color w:val="auto"/>
              </w:rPr>
              <w:t>c/o Mellon Bank N.A.</w:t>
            </w:r>
          </w:p>
        </w:tc>
        <w:tc>
          <w:tcPr>
            <w:tcW w:w="52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2080" w:type="dxa"/>
            <w:vAlign w:val="bottom"/>
          </w:tcPr>
          <w:p>
            <w:pPr>
              <w:spacing w:after="0"/>
              <w:rPr>
                <w:sz w:val="16"/>
                <w:szCs w:val="16"/>
                <w:color w:val="auto"/>
              </w:rPr>
            </w:pPr>
          </w:p>
        </w:tc>
        <w:tc>
          <w:tcPr>
            <w:tcW w:w="2080" w:type="dxa"/>
            <w:vAlign w:val="bottom"/>
          </w:tcPr>
          <w:p>
            <w:pPr>
              <w:spacing w:after="0"/>
              <w:rPr>
                <w:sz w:val="16"/>
                <w:szCs w:val="16"/>
                <w:color w:val="auto"/>
              </w:rPr>
            </w:pPr>
          </w:p>
        </w:tc>
      </w:tr>
      <w:tr>
        <w:trPr>
          <w:trHeight w:val="186"/>
        </w:trPr>
        <w:tc>
          <w:tcPr>
            <w:tcW w:w="5240" w:type="dxa"/>
            <w:vAlign w:val="bottom"/>
          </w:tcPr>
          <w:p>
            <w:pPr>
              <w:spacing w:after="0"/>
              <w:rPr>
                <w:sz w:val="20"/>
                <w:szCs w:val="20"/>
                <w:color w:val="auto"/>
              </w:rPr>
            </w:pPr>
            <w:r>
              <w:rPr>
                <w:rFonts w:ascii="Courier New" w:cs="Courier New" w:eastAsia="Courier New" w:hAnsi="Courier New"/>
                <w:sz w:val="16"/>
                <w:szCs w:val="16"/>
                <w:color w:val="auto"/>
              </w:rPr>
              <w:t>Three Mellon Bank Center</w:t>
            </w:r>
          </w:p>
        </w:tc>
        <w:tc>
          <w:tcPr>
            <w:tcW w:w="52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2080" w:type="dxa"/>
            <w:vAlign w:val="bottom"/>
          </w:tcPr>
          <w:p>
            <w:pPr>
              <w:spacing w:after="0"/>
              <w:rPr>
                <w:sz w:val="16"/>
                <w:szCs w:val="16"/>
                <w:color w:val="auto"/>
              </w:rPr>
            </w:pPr>
          </w:p>
        </w:tc>
        <w:tc>
          <w:tcPr>
            <w:tcW w:w="2080" w:type="dxa"/>
            <w:vAlign w:val="bottom"/>
          </w:tcPr>
          <w:p>
            <w:pPr>
              <w:spacing w:after="0"/>
              <w:rPr>
                <w:sz w:val="16"/>
                <w:szCs w:val="16"/>
                <w:color w:val="auto"/>
              </w:rPr>
            </w:pPr>
          </w:p>
        </w:tc>
      </w:tr>
      <w:tr>
        <w:trPr>
          <w:trHeight w:val="186"/>
        </w:trPr>
        <w:tc>
          <w:tcPr>
            <w:tcW w:w="5240" w:type="dxa"/>
            <w:vAlign w:val="bottom"/>
          </w:tcPr>
          <w:p>
            <w:pPr>
              <w:spacing w:after="0"/>
              <w:rPr>
                <w:sz w:val="20"/>
                <w:szCs w:val="20"/>
                <w:color w:val="auto"/>
              </w:rPr>
            </w:pPr>
            <w:r>
              <w:rPr>
                <w:rFonts w:ascii="Courier New" w:cs="Courier New" w:eastAsia="Courier New" w:hAnsi="Courier New"/>
                <w:sz w:val="16"/>
                <w:szCs w:val="16"/>
                <w:color w:val="auto"/>
              </w:rPr>
              <w:t>Pittsburgh, Pennsylvania 15259...............</w:t>
            </w:r>
          </w:p>
        </w:tc>
        <w:tc>
          <w:tcPr>
            <w:tcW w:w="5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600" w:type="dxa"/>
            <w:vAlign w:val="bottom"/>
          </w:tcPr>
          <w:p>
            <w:pPr>
              <w:jc w:val="right"/>
              <w:ind w:right="499"/>
              <w:spacing w:after="0"/>
              <w:rPr>
                <w:sz w:val="20"/>
                <w:szCs w:val="20"/>
                <w:color w:val="auto"/>
              </w:rPr>
            </w:pPr>
            <w:r>
              <w:rPr>
                <w:rFonts w:ascii="Courier New" w:cs="Courier New" w:eastAsia="Courier New" w:hAnsi="Courier New"/>
                <w:sz w:val="16"/>
                <w:szCs w:val="16"/>
                <w:color w:val="auto"/>
              </w:rPr>
              <w:t>9,265,000</w:t>
            </w:r>
          </w:p>
        </w:tc>
        <w:tc>
          <w:tcPr>
            <w:tcW w:w="2080" w:type="dxa"/>
            <w:vAlign w:val="bottom"/>
          </w:tcPr>
          <w:p>
            <w:pPr>
              <w:jc w:val="right"/>
              <w:ind w:right="839"/>
              <w:spacing w:after="0"/>
              <w:rPr>
                <w:sz w:val="20"/>
                <w:szCs w:val="20"/>
                <w:color w:val="auto"/>
              </w:rPr>
            </w:pPr>
            <w:r>
              <w:rPr>
                <w:rFonts w:ascii="Courier New" w:cs="Courier New" w:eastAsia="Courier New" w:hAnsi="Courier New"/>
                <w:sz w:val="16"/>
                <w:szCs w:val="16"/>
                <w:color w:val="auto"/>
              </w:rPr>
              <w:t>5.37%</w:t>
            </w:r>
          </w:p>
        </w:tc>
        <w:tc>
          <w:tcPr>
            <w:tcW w:w="2080" w:type="dxa"/>
            <w:vAlign w:val="bottom"/>
          </w:tcPr>
          <w:p>
            <w:pPr>
              <w:jc w:val="right"/>
              <w:ind w:right="779"/>
              <w:spacing w:after="0"/>
              <w:rPr>
                <w:sz w:val="20"/>
                <w:szCs w:val="20"/>
                <w:color w:val="auto"/>
              </w:rPr>
            </w:pPr>
            <w:r>
              <w:rPr>
                <w:rFonts w:ascii="Courier New" w:cs="Courier New" w:eastAsia="Courier New" w:hAnsi="Courier New"/>
                <w:sz w:val="16"/>
                <w:szCs w:val="16"/>
                <w:color w:val="auto"/>
              </w:rPr>
              <w:t>126,571</w:t>
            </w:r>
          </w:p>
        </w:tc>
      </w:tr>
      <w:tr>
        <w:trPr>
          <w:trHeight w:val="373"/>
        </w:trPr>
        <w:tc>
          <w:tcPr>
            <w:tcW w:w="5240" w:type="dxa"/>
            <w:vAlign w:val="bottom"/>
          </w:tcPr>
          <w:p>
            <w:pPr>
              <w:spacing w:after="0"/>
              <w:rPr>
                <w:sz w:val="20"/>
                <w:szCs w:val="20"/>
                <w:color w:val="auto"/>
              </w:rPr>
            </w:pPr>
            <w:r>
              <w:rPr>
                <w:rFonts w:ascii="Courier New" w:cs="Courier New" w:eastAsia="Courier New" w:hAnsi="Courier New"/>
                <w:sz w:val="16"/>
                <w:szCs w:val="16"/>
                <w:color w:val="auto"/>
              </w:rPr>
              <w:t>Chase Manhattan Bank</w:t>
            </w:r>
          </w:p>
        </w:tc>
        <w:tc>
          <w:tcPr>
            <w:tcW w:w="5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2080" w:type="dxa"/>
            <w:vAlign w:val="bottom"/>
          </w:tcPr>
          <w:p>
            <w:pPr>
              <w:spacing w:after="0"/>
              <w:rPr>
                <w:sz w:val="24"/>
                <w:szCs w:val="24"/>
                <w:color w:val="auto"/>
              </w:rPr>
            </w:pPr>
          </w:p>
        </w:tc>
      </w:tr>
      <w:tr>
        <w:trPr>
          <w:trHeight w:val="186"/>
        </w:trPr>
        <w:tc>
          <w:tcPr>
            <w:tcW w:w="5240" w:type="dxa"/>
            <w:vAlign w:val="bottom"/>
          </w:tcPr>
          <w:p>
            <w:pPr>
              <w:spacing w:after="0"/>
              <w:rPr>
                <w:sz w:val="20"/>
                <w:szCs w:val="20"/>
                <w:color w:val="auto"/>
              </w:rPr>
            </w:pPr>
            <w:r>
              <w:rPr>
                <w:rFonts w:ascii="Courier New" w:cs="Courier New" w:eastAsia="Courier New" w:hAnsi="Courier New"/>
                <w:sz w:val="16"/>
                <w:szCs w:val="16"/>
                <w:color w:val="auto"/>
              </w:rPr>
              <w:t>4 New York Plaza, 13th Floor</w:t>
            </w:r>
          </w:p>
        </w:tc>
        <w:tc>
          <w:tcPr>
            <w:tcW w:w="52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2080" w:type="dxa"/>
            <w:vAlign w:val="bottom"/>
          </w:tcPr>
          <w:p>
            <w:pPr>
              <w:spacing w:after="0"/>
              <w:rPr>
                <w:sz w:val="16"/>
                <w:szCs w:val="16"/>
                <w:color w:val="auto"/>
              </w:rPr>
            </w:pPr>
          </w:p>
        </w:tc>
        <w:tc>
          <w:tcPr>
            <w:tcW w:w="2080" w:type="dxa"/>
            <w:vAlign w:val="bottom"/>
          </w:tcPr>
          <w:p>
            <w:pPr>
              <w:spacing w:after="0"/>
              <w:rPr>
                <w:sz w:val="16"/>
                <w:szCs w:val="16"/>
                <w:color w:val="auto"/>
              </w:rPr>
            </w:pPr>
          </w:p>
        </w:tc>
      </w:tr>
      <w:tr>
        <w:trPr>
          <w:trHeight w:val="186"/>
        </w:trPr>
        <w:tc>
          <w:tcPr>
            <w:tcW w:w="5240" w:type="dxa"/>
            <w:vAlign w:val="bottom"/>
          </w:tcPr>
          <w:p>
            <w:pPr>
              <w:spacing w:after="0"/>
              <w:rPr>
                <w:sz w:val="20"/>
                <w:szCs w:val="20"/>
                <w:color w:val="auto"/>
              </w:rPr>
            </w:pPr>
            <w:r>
              <w:rPr>
                <w:rFonts w:ascii="Courier New" w:cs="Courier New" w:eastAsia="Courier New" w:hAnsi="Courier New"/>
                <w:sz w:val="16"/>
                <w:szCs w:val="16"/>
                <w:color w:val="auto"/>
              </w:rPr>
              <w:t>New York, New York 10004.....................</w:t>
            </w:r>
          </w:p>
        </w:tc>
        <w:tc>
          <w:tcPr>
            <w:tcW w:w="5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600" w:type="dxa"/>
            <w:vAlign w:val="bottom"/>
          </w:tcPr>
          <w:p>
            <w:pPr>
              <w:jc w:val="right"/>
              <w:ind w:right="499"/>
              <w:spacing w:after="0"/>
              <w:rPr>
                <w:sz w:val="20"/>
                <w:szCs w:val="20"/>
                <w:color w:val="auto"/>
              </w:rPr>
            </w:pPr>
            <w:r>
              <w:rPr>
                <w:rFonts w:ascii="Courier New" w:cs="Courier New" w:eastAsia="Courier New" w:hAnsi="Courier New"/>
                <w:sz w:val="16"/>
                <w:szCs w:val="16"/>
                <w:color w:val="auto"/>
              </w:rPr>
              <w:t>5,595,000</w:t>
            </w:r>
          </w:p>
        </w:tc>
        <w:tc>
          <w:tcPr>
            <w:tcW w:w="2080" w:type="dxa"/>
            <w:vAlign w:val="bottom"/>
          </w:tcPr>
          <w:p>
            <w:pPr>
              <w:jc w:val="right"/>
              <w:ind w:right="839"/>
              <w:spacing w:after="0"/>
              <w:rPr>
                <w:sz w:val="20"/>
                <w:szCs w:val="20"/>
                <w:color w:val="auto"/>
              </w:rPr>
            </w:pPr>
            <w:r>
              <w:rPr>
                <w:rFonts w:ascii="Courier New" w:cs="Courier New" w:eastAsia="Courier New" w:hAnsi="Courier New"/>
                <w:sz w:val="16"/>
                <w:szCs w:val="16"/>
                <w:color w:val="auto"/>
              </w:rPr>
              <w:t>3.24%</w:t>
            </w:r>
          </w:p>
        </w:tc>
        <w:tc>
          <w:tcPr>
            <w:tcW w:w="2080" w:type="dxa"/>
            <w:vAlign w:val="bottom"/>
          </w:tcPr>
          <w:p>
            <w:pPr>
              <w:jc w:val="right"/>
              <w:ind w:right="779"/>
              <w:spacing w:after="0"/>
              <w:rPr>
                <w:sz w:val="20"/>
                <w:szCs w:val="20"/>
                <w:color w:val="auto"/>
              </w:rPr>
            </w:pPr>
            <w:r>
              <w:rPr>
                <w:rFonts w:ascii="Courier New" w:cs="Courier New" w:eastAsia="Courier New" w:hAnsi="Courier New"/>
                <w:sz w:val="16"/>
                <w:szCs w:val="16"/>
                <w:color w:val="auto"/>
              </w:rPr>
              <w:t>76,434</w:t>
            </w:r>
          </w:p>
        </w:tc>
      </w:tr>
    </w:tbl>
    <w:p>
      <w:pPr>
        <w:spacing w:after="0" w:line="200" w:lineRule="exact"/>
        <w:rPr>
          <w:sz w:val="20"/>
          <w:szCs w:val="20"/>
          <w:color w:val="auto"/>
        </w:rPr>
      </w:pPr>
    </w:p>
    <w:p>
      <w:pPr>
        <w:sectPr>
          <w:pgSz w:w="11900" w:h="16838" w:orient="portrait"/>
          <w:cols w:equalWidth="0" w:num="1">
            <w:col w:w="11520"/>
          </w:cols>
          <w:pgMar w:left="240" w:top="303" w:right="139" w:bottom="1440" w:gutter="0" w:footer="0" w:header="0"/>
        </w:sectPr>
      </w:pPr>
    </w:p>
    <w:p>
      <w:pPr>
        <w:spacing w:after="0" w:line="363"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37</w:t>
      </w:r>
    </w:p>
    <w:p>
      <w:pPr>
        <w:sectPr>
          <w:pgSz w:w="11900" w:h="16838" w:orient="portrait"/>
          <w:cols w:equalWidth="0" w:num="1">
            <w:col w:w="11520"/>
          </w:cols>
          <w:pgMar w:left="240" w:top="303" w:right="139" w:bottom="1440" w:gutter="0" w:footer="0" w:header="0"/>
          <w:type w:val="continuous"/>
        </w:sectPr>
      </w:pPr>
    </w:p>
    <w:bookmarkStart w:id="43" w:name="page44"/>
    <w:bookmarkEnd w:id="43"/>
    <w:tbl>
      <w:tblPr>
        <w:tblLayout w:type="fixed"/>
        <w:tblInd w:w="0" w:type="dxa"/>
        <w:tblCellMar>
          <w:top w:w="0" w:type="dxa"/>
          <w:left w:w="0" w:type="dxa"/>
          <w:bottom w:w="0" w:type="dxa"/>
          <w:right w:w="0" w:type="dxa"/>
        </w:tblCellMar>
      </w:tblPr>
      <w:tr>
        <w:trPr>
          <w:trHeight w:val="183"/>
        </w:trPr>
        <w:tc>
          <w:tcPr>
            <w:tcW w:w="1360" w:type="dxa"/>
            <w:vAlign w:val="bottom"/>
          </w:tcPr>
          <w:p>
            <w:pPr>
              <w:ind w:left="300"/>
              <w:spacing w:after="0"/>
              <w:rPr>
                <w:sz w:val="20"/>
                <w:szCs w:val="20"/>
                <w:color w:val="auto"/>
              </w:rPr>
            </w:pPr>
            <w:r>
              <w:rPr>
                <w:rFonts w:ascii="Courier New" w:cs="Courier New" w:eastAsia="Courier New" w:hAnsi="Courier New"/>
                <w:sz w:val="16"/>
                <w:szCs w:val="16"/>
                <w:color w:val="auto"/>
              </w:rPr>
              <w:t>38</w:t>
            </w:r>
          </w:p>
        </w:tc>
        <w:tc>
          <w:tcPr>
            <w:tcW w:w="36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1400" w:type="dxa"/>
            <w:vAlign w:val="bottom"/>
          </w:tcPr>
          <w:p>
            <w:pPr>
              <w:spacing w:after="0"/>
              <w:rPr>
                <w:sz w:val="15"/>
                <w:szCs w:val="15"/>
                <w:color w:val="auto"/>
              </w:rPr>
            </w:pPr>
          </w:p>
        </w:tc>
      </w:tr>
      <w:tr>
        <w:trPr>
          <w:trHeight w:val="745"/>
        </w:trPr>
        <w:tc>
          <w:tcPr>
            <w:tcW w:w="4980" w:type="dxa"/>
            <w:vAlign w:val="bottom"/>
            <w:gridSpan w:val="2"/>
          </w:tcPr>
          <w:p>
            <w:pPr>
              <w:spacing w:after="0"/>
              <w:rPr>
                <w:sz w:val="20"/>
                <w:szCs w:val="20"/>
                <w:color w:val="auto"/>
              </w:rPr>
            </w:pPr>
            <w:r>
              <w:rPr>
                <w:rFonts w:ascii="Courier New" w:cs="Courier New" w:eastAsia="Courier New" w:hAnsi="Courier New"/>
                <w:sz w:val="16"/>
                <w:szCs w:val="16"/>
                <w:color w:val="auto"/>
              </w:rPr>
              <w:t>CIBC World Markets Corp.</w:t>
            </w:r>
          </w:p>
        </w:tc>
        <w:tc>
          <w:tcPr>
            <w:tcW w:w="78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186"/>
        </w:trPr>
        <w:tc>
          <w:tcPr>
            <w:tcW w:w="4980" w:type="dxa"/>
            <w:vAlign w:val="bottom"/>
            <w:gridSpan w:val="2"/>
          </w:tcPr>
          <w:p>
            <w:pPr>
              <w:spacing w:after="0"/>
              <w:rPr>
                <w:sz w:val="20"/>
                <w:szCs w:val="20"/>
                <w:color w:val="auto"/>
              </w:rPr>
            </w:pPr>
            <w:r>
              <w:rPr>
                <w:rFonts w:ascii="Courier New" w:cs="Courier New" w:eastAsia="Courier New" w:hAnsi="Courier New"/>
                <w:sz w:val="16"/>
                <w:szCs w:val="16"/>
                <w:color w:val="auto"/>
              </w:rPr>
              <w:t>200 Liberty Street, 6th Floor</w:t>
            </w:r>
          </w:p>
        </w:tc>
        <w:tc>
          <w:tcPr>
            <w:tcW w:w="78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1400" w:type="dxa"/>
            <w:vAlign w:val="bottom"/>
          </w:tcPr>
          <w:p>
            <w:pPr>
              <w:spacing w:after="0"/>
              <w:rPr>
                <w:sz w:val="16"/>
                <w:szCs w:val="16"/>
                <w:color w:val="auto"/>
              </w:rPr>
            </w:pPr>
          </w:p>
        </w:tc>
      </w:tr>
      <w:tr>
        <w:trPr>
          <w:trHeight w:val="186"/>
        </w:trPr>
        <w:tc>
          <w:tcPr>
            <w:tcW w:w="1360" w:type="dxa"/>
            <w:vAlign w:val="bottom"/>
          </w:tcPr>
          <w:p>
            <w:pPr>
              <w:spacing w:after="0"/>
              <w:rPr>
                <w:sz w:val="20"/>
                <w:szCs w:val="20"/>
                <w:color w:val="auto"/>
              </w:rPr>
            </w:pPr>
            <w:r>
              <w:rPr>
                <w:rFonts w:ascii="Courier New" w:cs="Courier New" w:eastAsia="Courier New" w:hAnsi="Courier New"/>
                <w:sz w:val="16"/>
                <w:szCs w:val="16"/>
                <w:color w:val="auto"/>
              </w:rPr>
              <w:t>New York, New</w:t>
            </w:r>
          </w:p>
        </w:tc>
        <w:tc>
          <w:tcPr>
            <w:tcW w:w="3620" w:type="dxa"/>
            <w:vAlign w:val="bottom"/>
          </w:tcPr>
          <w:p>
            <w:pPr>
              <w:spacing w:after="0"/>
              <w:rPr>
                <w:sz w:val="20"/>
                <w:szCs w:val="20"/>
                <w:color w:val="auto"/>
              </w:rPr>
            </w:pPr>
            <w:r>
              <w:rPr>
                <w:rFonts w:ascii="Courier New" w:cs="Courier New" w:eastAsia="Courier New" w:hAnsi="Courier New"/>
                <w:sz w:val="16"/>
                <w:szCs w:val="16"/>
                <w:color w:val="auto"/>
              </w:rPr>
              <w:t>York 10281.....................</w:t>
            </w:r>
          </w:p>
        </w:tc>
        <w:tc>
          <w:tcPr>
            <w:tcW w:w="7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660" w:type="dxa"/>
            <w:vAlign w:val="bottom"/>
          </w:tcPr>
          <w:p>
            <w:pPr>
              <w:jc w:val="right"/>
              <w:ind w:right="559"/>
              <w:spacing w:after="0"/>
              <w:rPr>
                <w:sz w:val="20"/>
                <w:szCs w:val="20"/>
                <w:color w:val="auto"/>
              </w:rPr>
            </w:pPr>
            <w:r>
              <w:rPr>
                <w:rFonts w:ascii="Courier New" w:cs="Courier New" w:eastAsia="Courier New" w:hAnsi="Courier New"/>
                <w:sz w:val="16"/>
                <w:szCs w:val="16"/>
                <w:color w:val="auto"/>
              </w:rPr>
              <w:t>13,400,000</w:t>
            </w:r>
          </w:p>
        </w:tc>
        <w:tc>
          <w:tcPr>
            <w:tcW w:w="1840" w:type="dxa"/>
            <w:vAlign w:val="bottom"/>
          </w:tcPr>
          <w:p>
            <w:pPr>
              <w:jc w:val="right"/>
              <w:ind w:right="659"/>
              <w:spacing w:after="0"/>
              <w:rPr>
                <w:sz w:val="20"/>
                <w:szCs w:val="20"/>
                <w:color w:val="auto"/>
              </w:rPr>
            </w:pPr>
            <w:r>
              <w:rPr>
                <w:rFonts w:ascii="Courier New" w:cs="Courier New" w:eastAsia="Courier New" w:hAnsi="Courier New"/>
                <w:sz w:val="16"/>
                <w:szCs w:val="16"/>
                <w:color w:val="auto"/>
              </w:rPr>
              <w:t>7.77%</w:t>
            </w:r>
          </w:p>
        </w:tc>
        <w:tc>
          <w:tcPr>
            <w:tcW w:w="1400" w:type="dxa"/>
            <w:vAlign w:val="bottom"/>
          </w:tcPr>
          <w:p>
            <w:pPr>
              <w:jc w:val="right"/>
              <w:spacing w:after="0"/>
              <w:rPr>
                <w:sz w:val="20"/>
                <w:szCs w:val="20"/>
                <w:color w:val="auto"/>
              </w:rPr>
            </w:pPr>
            <w:r>
              <w:rPr>
                <w:rFonts w:ascii="Courier New" w:cs="Courier New" w:eastAsia="Courier New" w:hAnsi="Courier New"/>
                <w:sz w:val="16"/>
                <w:szCs w:val="16"/>
                <w:color w:val="auto"/>
              </w:rPr>
              <w:t>183,060</w:t>
            </w:r>
          </w:p>
        </w:tc>
      </w:tr>
      <w:tr>
        <w:trPr>
          <w:trHeight w:val="373"/>
        </w:trPr>
        <w:tc>
          <w:tcPr>
            <w:tcW w:w="1360" w:type="dxa"/>
            <w:vAlign w:val="bottom"/>
          </w:tcPr>
          <w:p>
            <w:pPr>
              <w:spacing w:after="0"/>
              <w:rPr>
                <w:sz w:val="20"/>
                <w:szCs w:val="20"/>
                <w:color w:val="auto"/>
              </w:rPr>
            </w:pPr>
            <w:r>
              <w:rPr>
                <w:rFonts w:ascii="Courier New" w:cs="Courier New" w:eastAsia="Courier New" w:hAnsi="Courier New"/>
                <w:sz w:val="16"/>
                <w:szCs w:val="16"/>
                <w:color w:val="auto"/>
              </w:rPr>
              <w:t>Credit Suisse</w:t>
            </w:r>
          </w:p>
        </w:tc>
        <w:tc>
          <w:tcPr>
            <w:tcW w:w="3620" w:type="dxa"/>
            <w:vAlign w:val="bottom"/>
          </w:tcPr>
          <w:p>
            <w:pPr>
              <w:spacing w:after="0"/>
              <w:rPr>
                <w:sz w:val="20"/>
                <w:szCs w:val="20"/>
                <w:color w:val="auto"/>
              </w:rPr>
            </w:pPr>
            <w:r>
              <w:rPr>
                <w:rFonts w:ascii="Courier New" w:cs="Courier New" w:eastAsia="Courier New" w:hAnsi="Courier New"/>
                <w:sz w:val="16"/>
                <w:szCs w:val="16"/>
                <w:color w:val="auto"/>
              </w:rPr>
              <w:t>First Boston Corporation</w:t>
            </w:r>
          </w:p>
        </w:tc>
        <w:tc>
          <w:tcPr>
            <w:tcW w:w="78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186"/>
        </w:trPr>
        <w:tc>
          <w:tcPr>
            <w:tcW w:w="1360" w:type="dxa"/>
            <w:vAlign w:val="bottom"/>
          </w:tcPr>
          <w:p>
            <w:pPr>
              <w:spacing w:after="0"/>
              <w:rPr>
                <w:sz w:val="20"/>
                <w:szCs w:val="20"/>
                <w:color w:val="auto"/>
              </w:rPr>
            </w:pPr>
            <w:r>
              <w:rPr>
                <w:rFonts w:ascii="Courier New" w:cs="Courier New" w:eastAsia="Courier New" w:hAnsi="Courier New"/>
                <w:sz w:val="16"/>
                <w:szCs w:val="16"/>
                <w:color w:val="auto"/>
              </w:rPr>
              <w:t>c/o ADP Proxy</w:t>
            </w:r>
          </w:p>
        </w:tc>
        <w:tc>
          <w:tcPr>
            <w:tcW w:w="3620" w:type="dxa"/>
            <w:vAlign w:val="bottom"/>
          </w:tcPr>
          <w:p>
            <w:pPr>
              <w:spacing w:after="0"/>
              <w:rPr>
                <w:sz w:val="20"/>
                <w:szCs w:val="20"/>
                <w:color w:val="auto"/>
              </w:rPr>
            </w:pPr>
            <w:r>
              <w:rPr>
                <w:rFonts w:ascii="Courier New" w:cs="Courier New" w:eastAsia="Courier New" w:hAnsi="Courier New"/>
                <w:sz w:val="16"/>
                <w:szCs w:val="16"/>
                <w:color w:val="auto"/>
              </w:rPr>
              <w:t>Services</w:t>
            </w:r>
          </w:p>
        </w:tc>
        <w:tc>
          <w:tcPr>
            <w:tcW w:w="78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1400" w:type="dxa"/>
            <w:vAlign w:val="bottom"/>
          </w:tcPr>
          <w:p>
            <w:pPr>
              <w:spacing w:after="0"/>
              <w:rPr>
                <w:sz w:val="16"/>
                <w:szCs w:val="16"/>
                <w:color w:val="auto"/>
              </w:rPr>
            </w:pPr>
          </w:p>
        </w:tc>
      </w:tr>
      <w:tr>
        <w:trPr>
          <w:trHeight w:val="186"/>
        </w:trPr>
        <w:tc>
          <w:tcPr>
            <w:tcW w:w="4980" w:type="dxa"/>
            <w:vAlign w:val="bottom"/>
            <w:gridSpan w:val="2"/>
          </w:tcPr>
          <w:p>
            <w:pPr>
              <w:spacing w:after="0"/>
              <w:rPr>
                <w:sz w:val="20"/>
                <w:szCs w:val="20"/>
                <w:color w:val="auto"/>
              </w:rPr>
            </w:pPr>
            <w:r>
              <w:rPr>
                <w:rFonts w:ascii="Courier New" w:cs="Courier New" w:eastAsia="Courier New" w:hAnsi="Courier New"/>
                <w:sz w:val="16"/>
                <w:szCs w:val="16"/>
                <w:color w:val="auto"/>
              </w:rPr>
              <w:t>51 Mercedes Way</w:t>
            </w:r>
          </w:p>
        </w:tc>
        <w:tc>
          <w:tcPr>
            <w:tcW w:w="78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1400" w:type="dxa"/>
            <w:vAlign w:val="bottom"/>
          </w:tcPr>
          <w:p>
            <w:pPr>
              <w:spacing w:after="0"/>
              <w:rPr>
                <w:sz w:val="16"/>
                <w:szCs w:val="16"/>
                <w:color w:val="auto"/>
              </w:rPr>
            </w:pPr>
          </w:p>
        </w:tc>
      </w:tr>
      <w:tr>
        <w:trPr>
          <w:trHeight w:val="186"/>
        </w:trPr>
        <w:tc>
          <w:tcPr>
            <w:tcW w:w="1360" w:type="dxa"/>
            <w:vAlign w:val="bottom"/>
          </w:tcPr>
          <w:p>
            <w:pPr>
              <w:spacing w:after="0"/>
              <w:rPr>
                <w:sz w:val="20"/>
                <w:szCs w:val="20"/>
                <w:color w:val="auto"/>
              </w:rPr>
            </w:pPr>
            <w:r>
              <w:rPr>
                <w:rFonts w:ascii="Courier New" w:cs="Courier New" w:eastAsia="Courier New" w:hAnsi="Courier New"/>
                <w:sz w:val="16"/>
                <w:szCs w:val="16"/>
                <w:color w:val="auto"/>
              </w:rPr>
              <w:t>Edgewood, New</w:t>
            </w:r>
          </w:p>
        </w:tc>
        <w:tc>
          <w:tcPr>
            <w:tcW w:w="3620" w:type="dxa"/>
            <w:vAlign w:val="bottom"/>
          </w:tcPr>
          <w:p>
            <w:pPr>
              <w:spacing w:after="0"/>
              <w:rPr>
                <w:sz w:val="20"/>
                <w:szCs w:val="20"/>
                <w:color w:val="auto"/>
              </w:rPr>
            </w:pPr>
            <w:r>
              <w:rPr>
                <w:rFonts w:ascii="Courier New" w:cs="Courier New" w:eastAsia="Courier New" w:hAnsi="Courier New"/>
                <w:sz w:val="16"/>
                <w:szCs w:val="16"/>
                <w:color w:val="auto"/>
              </w:rPr>
              <w:t>York 11717.....................</w:t>
            </w:r>
          </w:p>
        </w:tc>
        <w:tc>
          <w:tcPr>
            <w:tcW w:w="7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660" w:type="dxa"/>
            <w:vAlign w:val="bottom"/>
          </w:tcPr>
          <w:p>
            <w:pPr>
              <w:jc w:val="right"/>
              <w:ind w:right="559"/>
              <w:spacing w:after="0"/>
              <w:rPr>
                <w:sz w:val="20"/>
                <w:szCs w:val="20"/>
                <w:color w:val="auto"/>
              </w:rPr>
            </w:pPr>
            <w:r>
              <w:rPr>
                <w:rFonts w:ascii="Courier New" w:cs="Courier New" w:eastAsia="Courier New" w:hAnsi="Courier New"/>
                <w:sz w:val="16"/>
                <w:szCs w:val="16"/>
                <w:color w:val="auto"/>
              </w:rPr>
              <w:t>3,000,000</w:t>
            </w:r>
          </w:p>
        </w:tc>
        <w:tc>
          <w:tcPr>
            <w:tcW w:w="1840" w:type="dxa"/>
            <w:vAlign w:val="bottom"/>
          </w:tcPr>
          <w:p>
            <w:pPr>
              <w:jc w:val="right"/>
              <w:ind w:right="659"/>
              <w:spacing w:after="0"/>
              <w:rPr>
                <w:sz w:val="20"/>
                <w:szCs w:val="20"/>
                <w:color w:val="auto"/>
              </w:rPr>
            </w:pPr>
            <w:r>
              <w:rPr>
                <w:rFonts w:ascii="Courier New" w:cs="Courier New" w:eastAsia="Courier New" w:hAnsi="Courier New"/>
                <w:sz w:val="16"/>
                <w:szCs w:val="16"/>
                <w:color w:val="auto"/>
              </w:rPr>
              <w:t>1.74%</w:t>
            </w:r>
          </w:p>
        </w:tc>
        <w:tc>
          <w:tcPr>
            <w:tcW w:w="1400" w:type="dxa"/>
            <w:vAlign w:val="bottom"/>
          </w:tcPr>
          <w:p>
            <w:pPr>
              <w:jc w:val="right"/>
              <w:spacing w:after="0"/>
              <w:rPr>
                <w:sz w:val="20"/>
                <w:szCs w:val="20"/>
                <w:color w:val="auto"/>
              </w:rPr>
            </w:pPr>
            <w:r>
              <w:rPr>
                <w:rFonts w:ascii="Courier New" w:cs="Courier New" w:eastAsia="Courier New" w:hAnsi="Courier New"/>
                <w:sz w:val="16"/>
                <w:szCs w:val="16"/>
                <w:color w:val="auto"/>
              </w:rPr>
              <w:t>40,984</w:t>
            </w:r>
          </w:p>
        </w:tc>
      </w:tr>
      <w:tr>
        <w:trPr>
          <w:trHeight w:val="373"/>
        </w:trPr>
        <w:tc>
          <w:tcPr>
            <w:tcW w:w="1360" w:type="dxa"/>
            <w:vAlign w:val="bottom"/>
          </w:tcPr>
          <w:p>
            <w:pPr>
              <w:spacing w:after="0"/>
              <w:rPr>
                <w:sz w:val="20"/>
                <w:szCs w:val="20"/>
                <w:color w:val="auto"/>
              </w:rPr>
            </w:pPr>
            <w:r>
              <w:rPr>
                <w:rFonts w:ascii="Courier New" w:cs="Courier New" w:eastAsia="Courier New" w:hAnsi="Courier New"/>
                <w:sz w:val="16"/>
                <w:szCs w:val="16"/>
                <w:color w:val="auto"/>
              </w:rPr>
              <w:t>Deutsche Bank</w:t>
            </w:r>
          </w:p>
        </w:tc>
        <w:tc>
          <w:tcPr>
            <w:tcW w:w="3620" w:type="dxa"/>
            <w:vAlign w:val="bottom"/>
          </w:tcPr>
          <w:p>
            <w:pPr>
              <w:spacing w:after="0"/>
              <w:rPr>
                <w:sz w:val="20"/>
                <w:szCs w:val="20"/>
                <w:color w:val="auto"/>
              </w:rPr>
            </w:pPr>
            <w:r>
              <w:rPr>
                <w:rFonts w:ascii="Courier New" w:cs="Courier New" w:eastAsia="Courier New" w:hAnsi="Courier New"/>
                <w:sz w:val="16"/>
                <w:szCs w:val="16"/>
                <w:color w:val="auto"/>
              </w:rPr>
              <w:t>Securities Inc.</w:t>
            </w:r>
          </w:p>
        </w:tc>
        <w:tc>
          <w:tcPr>
            <w:tcW w:w="78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186"/>
        </w:trPr>
        <w:tc>
          <w:tcPr>
            <w:tcW w:w="4980" w:type="dxa"/>
            <w:vAlign w:val="bottom"/>
            <w:gridSpan w:val="2"/>
          </w:tcPr>
          <w:p>
            <w:pPr>
              <w:spacing w:after="0"/>
              <w:rPr>
                <w:sz w:val="20"/>
                <w:szCs w:val="20"/>
                <w:color w:val="auto"/>
              </w:rPr>
            </w:pPr>
            <w:r>
              <w:rPr>
                <w:rFonts w:ascii="Courier New" w:cs="Courier New" w:eastAsia="Courier New" w:hAnsi="Courier New"/>
                <w:sz w:val="16"/>
                <w:szCs w:val="16"/>
                <w:color w:val="auto"/>
              </w:rPr>
              <w:t>175 Water Street</w:t>
            </w:r>
          </w:p>
        </w:tc>
        <w:tc>
          <w:tcPr>
            <w:tcW w:w="78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1400" w:type="dxa"/>
            <w:vAlign w:val="bottom"/>
          </w:tcPr>
          <w:p>
            <w:pPr>
              <w:spacing w:after="0"/>
              <w:rPr>
                <w:sz w:val="16"/>
                <w:szCs w:val="16"/>
                <w:color w:val="auto"/>
              </w:rPr>
            </w:pPr>
          </w:p>
        </w:tc>
      </w:tr>
      <w:tr>
        <w:trPr>
          <w:trHeight w:val="186"/>
        </w:trPr>
        <w:tc>
          <w:tcPr>
            <w:tcW w:w="1360" w:type="dxa"/>
            <w:vAlign w:val="bottom"/>
          </w:tcPr>
          <w:p>
            <w:pPr>
              <w:spacing w:after="0"/>
              <w:rPr>
                <w:sz w:val="20"/>
                <w:szCs w:val="20"/>
                <w:color w:val="auto"/>
              </w:rPr>
            </w:pPr>
            <w:r>
              <w:rPr>
                <w:rFonts w:ascii="Courier New" w:cs="Courier New" w:eastAsia="Courier New" w:hAnsi="Courier New"/>
                <w:sz w:val="16"/>
                <w:szCs w:val="16"/>
                <w:color w:val="auto"/>
              </w:rPr>
              <w:t>New York, New</w:t>
            </w:r>
          </w:p>
        </w:tc>
        <w:tc>
          <w:tcPr>
            <w:tcW w:w="3620" w:type="dxa"/>
            <w:vAlign w:val="bottom"/>
          </w:tcPr>
          <w:p>
            <w:pPr>
              <w:spacing w:after="0"/>
              <w:rPr>
                <w:sz w:val="20"/>
                <w:szCs w:val="20"/>
                <w:color w:val="auto"/>
              </w:rPr>
            </w:pPr>
            <w:r>
              <w:rPr>
                <w:rFonts w:ascii="Courier New" w:cs="Courier New" w:eastAsia="Courier New" w:hAnsi="Courier New"/>
                <w:sz w:val="16"/>
                <w:szCs w:val="16"/>
                <w:color w:val="auto"/>
              </w:rPr>
              <w:t>York 10038.....................</w:t>
            </w:r>
          </w:p>
        </w:tc>
        <w:tc>
          <w:tcPr>
            <w:tcW w:w="7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660" w:type="dxa"/>
            <w:vAlign w:val="bottom"/>
          </w:tcPr>
          <w:p>
            <w:pPr>
              <w:jc w:val="right"/>
              <w:ind w:right="559"/>
              <w:spacing w:after="0"/>
              <w:rPr>
                <w:sz w:val="20"/>
                <w:szCs w:val="20"/>
                <w:color w:val="auto"/>
              </w:rPr>
            </w:pPr>
            <w:r>
              <w:rPr>
                <w:rFonts w:ascii="Courier New" w:cs="Courier New" w:eastAsia="Courier New" w:hAnsi="Courier New"/>
                <w:sz w:val="16"/>
                <w:szCs w:val="16"/>
                <w:color w:val="auto"/>
              </w:rPr>
              <w:t>11,805,000</w:t>
            </w:r>
          </w:p>
        </w:tc>
        <w:tc>
          <w:tcPr>
            <w:tcW w:w="1840" w:type="dxa"/>
            <w:vAlign w:val="bottom"/>
          </w:tcPr>
          <w:p>
            <w:pPr>
              <w:jc w:val="right"/>
              <w:ind w:right="659"/>
              <w:spacing w:after="0"/>
              <w:rPr>
                <w:sz w:val="20"/>
                <w:szCs w:val="20"/>
                <w:color w:val="auto"/>
              </w:rPr>
            </w:pPr>
            <w:r>
              <w:rPr>
                <w:rFonts w:ascii="Courier New" w:cs="Courier New" w:eastAsia="Courier New" w:hAnsi="Courier New"/>
                <w:sz w:val="16"/>
                <w:szCs w:val="16"/>
                <w:color w:val="auto"/>
              </w:rPr>
              <w:t>6.84%</w:t>
            </w:r>
          </w:p>
        </w:tc>
        <w:tc>
          <w:tcPr>
            <w:tcW w:w="1400" w:type="dxa"/>
            <w:vAlign w:val="bottom"/>
          </w:tcPr>
          <w:p>
            <w:pPr>
              <w:jc w:val="right"/>
              <w:spacing w:after="0"/>
              <w:rPr>
                <w:sz w:val="20"/>
                <w:szCs w:val="20"/>
                <w:color w:val="auto"/>
              </w:rPr>
            </w:pPr>
            <w:r>
              <w:rPr>
                <w:rFonts w:ascii="Courier New" w:cs="Courier New" w:eastAsia="Courier New" w:hAnsi="Courier New"/>
                <w:sz w:val="16"/>
                <w:szCs w:val="16"/>
                <w:color w:val="auto"/>
              </w:rPr>
              <w:t>161,270</w:t>
            </w:r>
          </w:p>
        </w:tc>
      </w:tr>
      <w:tr>
        <w:trPr>
          <w:trHeight w:val="373"/>
        </w:trPr>
        <w:tc>
          <w:tcPr>
            <w:tcW w:w="4980" w:type="dxa"/>
            <w:vAlign w:val="bottom"/>
            <w:gridSpan w:val="2"/>
          </w:tcPr>
          <w:p>
            <w:pPr>
              <w:spacing w:after="0"/>
              <w:rPr>
                <w:sz w:val="20"/>
                <w:szCs w:val="20"/>
                <w:color w:val="auto"/>
              </w:rPr>
            </w:pPr>
            <w:r>
              <w:rPr>
                <w:rFonts w:ascii="Courier New" w:cs="Courier New" w:eastAsia="Courier New" w:hAnsi="Courier New"/>
                <w:sz w:val="16"/>
                <w:szCs w:val="16"/>
                <w:color w:val="auto"/>
              </w:rPr>
              <w:t>First Tennessee Bank N.A.</w:t>
            </w:r>
          </w:p>
        </w:tc>
        <w:tc>
          <w:tcPr>
            <w:tcW w:w="78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186"/>
        </w:trPr>
        <w:tc>
          <w:tcPr>
            <w:tcW w:w="1360" w:type="dxa"/>
            <w:vAlign w:val="bottom"/>
          </w:tcPr>
          <w:p>
            <w:pPr>
              <w:spacing w:after="0"/>
              <w:rPr>
                <w:sz w:val="20"/>
                <w:szCs w:val="20"/>
                <w:color w:val="auto"/>
              </w:rPr>
            </w:pPr>
            <w:r>
              <w:rPr>
                <w:rFonts w:ascii="Courier New" w:cs="Courier New" w:eastAsia="Courier New" w:hAnsi="Courier New"/>
                <w:sz w:val="16"/>
                <w:szCs w:val="16"/>
                <w:color w:val="auto"/>
              </w:rPr>
              <w:t>530 Oak Court</w:t>
            </w:r>
          </w:p>
        </w:tc>
        <w:tc>
          <w:tcPr>
            <w:tcW w:w="3620" w:type="dxa"/>
            <w:vAlign w:val="bottom"/>
          </w:tcPr>
          <w:p>
            <w:pPr>
              <w:spacing w:after="0"/>
              <w:rPr>
                <w:sz w:val="20"/>
                <w:szCs w:val="20"/>
                <w:color w:val="auto"/>
              </w:rPr>
            </w:pPr>
            <w:r>
              <w:rPr>
                <w:rFonts w:ascii="Courier New" w:cs="Courier New" w:eastAsia="Courier New" w:hAnsi="Courier New"/>
                <w:sz w:val="16"/>
                <w:szCs w:val="16"/>
                <w:color w:val="auto"/>
              </w:rPr>
              <w:t>Drive, Suite 200</w:t>
            </w:r>
          </w:p>
        </w:tc>
        <w:tc>
          <w:tcPr>
            <w:tcW w:w="78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1400" w:type="dxa"/>
            <w:vAlign w:val="bottom"/>
          </w:tcPr>
          <w:p>
            <w:pPr>
              <w:spacing w:after="0"/>
              <w:rPr>
                <w:sz w:val="16"/>
                <w:szCs w:val="16"/>
                <w:color w:val="auto"/>
              </w:rPr>
            </w:pPr>
          </w:p>
        </w:tc>
      </w:tr>
      <w:tr>
        <w:trPr>
          <w:trHeight w:val="186"/>
        </w:trPr>
        <w:tc>
          <w:tcPr>
            <w:tcW w:w="4980" w:type="dxa"/>
            <w:vAlign w:val="bottom"/>
            <w:gridSpan w:val="2"/>
          </w:tcPr>
          <w:p>
            <w:pPr>
              <w:spacing w:after="0"/>
              <w:rPr>
                <w:sz w:val="20"/>
                <w:szCs w:val="20"/>
                <w:color w:val="auto"/>
              </w:rPr>
            </w:pPr>
            <w:r>
              <w:rPr>
                <w:rFonts w:ascii="Courier New" w:cs="Courier New" w:eastAsia="Courier New" w:hAnsi="Courier New"/>
                <w:sz w:val="16"/>
                <w:szCs w:val="16"/>
                <w:color w:val="auto"/>
              </w:rPr>
              <w:t>Memphis, Tennessee 38117.....................</w:t>
            </w:r>
          </w:p>
        </w:tc>
        <w:tc>
          <w:tcPr>
            <w:tcW w:w="7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660" w:type="dxa"/>
            <w:vAlign w:val="bottom"/>
          </w:tcPr>
          <w:p>
            <w:pPr>
              <w:jc w:val="right"/>
              <w:ind w:right="559"/>
              <w:spacing w:after="0"/>
              <w:rPr>
                <w:sz w:val="20"/>
                <w:szCs w:val="20"/>
                <w:color w:val="auto"/>
              </w:rPr>
            </w:pPr>
            <w:r>
              <w:rPr>
                <w:rFonts w:ascii="Courier New" w:cs="Courier New" w:eastAsia="Courier New" w:hAnsi="Courier New"/>
                <w:sz w:val="16"/>
                <w:szCs w:val="16"/>
                <w:color w:val="auto"/>
              </w:rPr>
              <w:t>950,000</w:t>
            </w:r>
          </w:p>
        </w:tc>
        <w:tc>
          <w:tcPr>
            <w:tcW w:w="1840" w:type="dxa"/>
            <w:vAlign w:val="bottom"/>
          </w:tcPr>
          <w:p>
            <w:pPr>
              <w:jc w:val="right"/>
              <w:ind w:right="659"/>
              <w:spacing w:after="0"/>
              <w:rPr>
                <w:sz w:val="20"/>
                <w:szCs w:val="20"/>
                <w:color w:val="auto"/>
              </w:rPr>
            </w:pPr>
            <w:r>
              <w:rPr>
                <w:rFonts w:ascii="Courier New" w:cs="Courier New" w:eastAsia="Courier New" w:hAnsi="Courier New"/>
                <w:sz w:val="16"/>
                <w:szCs w:val="16"/>
                <w:color w:val="auto"/>
              </w:rPr>
              <w:t>0.55%</w:t>
            </w:r>
          </w:p>
        </w:tc>
        <w:tc>
          <w:tcPr>
            <w:tcW w:w="1400" w:type="dxa"/>
            <w:vAlign w:val="bottom"/>
          </w:tcPr>
          <w:p>
            <w:pPr>
              <w:jc w:val="right"/>
              <w:spacing w:after="0"/>
              <w:rPr>
                <w:sz w:val="20"/>
                <w:szCs w:val="20"/>
                <w:color w:val="auto"/>
              </w:rPr>
            </w:pPr>
            <w:r>
              <w:rPr>
                <w:rFonts w:ascii="Courier New" w:cs="Courier New" w:eastAsia="Courier New" w:hAnsi="Courier New"/>
                <w:sz w:val="16"/>
                <w:szCs w:val="16"/>
                <w:color w:val="auto"/>
              </w:rPr>
              <w:t>12,978</w:t>
            </w:r>
          </w:p>
        </w:tc>
      </w:tr>
      <w:tr>
        <w:trPr>
          <w:trHeight w:val="373"/>
        </w:trPr>
        <w:tc>
          <w:tcPr>
            <w:tcW w:w="4980" w:type="dxa"/>
            <w:vAlign w:val="bottom"/>
            <w:gridSpan w:val="2"/>
          </w:tcPr>
          <w:p>
            <w:pPr>
              <w:spacing w:after="0"/>
              <w:rPr>
                <w:sz w:val="20"/>
                <w:szCs w:val="20"/>
                <w:color w:val="auto"/>
              </w:rPr>
            </w:pPr>
            <w:r>
              <w:rPr>
                <w:rFonts w:ascii="Courier New" w:cs="Courier New" w:eastAsia="Courier New" w:hAnsi="Courier New"/>
                <w:sz w:val="16"/>
                <w:szCs w:val="16"/>
                <w:color w:val="auto"/>
              </w:rPr>
              <w:t>Fleet National Bank</w:t>
            </w:r>
          </w:p>
        </w:tc>
        <w:tc>
          <w:tcPr>
            <w:tcW w:w="78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186"/>
        </w:trPr>
        <w:tc>
          <w:tcPr>
            <w:tcW w:w="4980" w:type="dxa"/>
            <w:vAlign w:val="bottom"/>
            <w:gridSpan w:val="2"/>
          </w:tcPr>
          <w:p>
            <w:pPr>
              <w:spacing w:after="0"/>
              <w:rPr>
                <w:sz w:val="20"/>
                <w:szCs w:val="20"/>
                <w:color w:val="auto"/>
              </w:rPr>
            </w:pPr>
            <w:r>
              <w:rPr>
                <w:rFonts w:ascii="Courier New" w:cs="Courier New" w:eastAsia="Courier New" w:hAnsi="Courier New"/>
                <w:sz w:val="16"/>
                <w:szCs w:val="16"/>
                <w:color w:val="auto"/>
              </w:rPr>
              <w:t>Fleet Services Corp.</w:t>
            </w:r>
          </w:p>
        </w:tc>
        <w:tc>
          <w:tcPr>
            <w:tcW w:w="78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1400" w:type="dxa"/>
            <w:vAlign w:val="bottom"/>
          </w:tcPr>
          <w:p>
            <w:pPr>
              <w:spacing w:after="0"/>
              <w:rPr>
                <w:sz w:val="16"/>
                <w:szCs w:val="16"/>
                <w:color w:val="auto"/>
              </w:rPr>
            </w:pPr>
          </w:p>
        </w:tc>
      </w:tr>
      <w:tr>
        <w:trPr>
          <w:trHeight w:val="186"/>
        </w:trPr>
        <w:tc>
          <w:tcPr>
            <w:tcW w:w="1360" w:type="dxa"/>
            <w:vAlign w:val="bottom"/>
          </w:tcPr>
          <w:p>
            <w:pPr>
              <w:spacing w:after="0"/>
              <w:rPr>
                <w:sz w:val="20"/>
                <w:szCs w:val="20"/>
                <w:color w:val="auto"/>
              </w:rPr>
            </w:pPr>
            <w:r>
              <w:rPr>
                <w:rFonts w:ascii="Courier New" w:cs="Courier New" w:eastAsia="Courier New" w:hAnsi="Courier New"/>
                <w:sz w:val="16"/>
                <w:szCs w:val="16"/>
                <w:color w:val="auto"/>
              </w:rPr>
              <w:t>2nd Floor</w:t>
            </w:r>
          </w:p>
        </w:tc>
        <w:tc>
          <w:tcPr>
            <w:tcW w:w="36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1400" w:type="dxa"/>
            <w:vAlign w:val="bottom"/>
          </w:tcPr>
          <w:p>
            <w:pPr>
              <w:spacing w:after="0"/>
              <w:rPr>
                <w:sz w:val="16"/>
                <w:szCs w:val="16"/>
                <w:color w:val="auto"/>
              </w:rPr>
            </w:pPr>
          </w:p>
        </w:tc>
      </w:tr>
      <w:tr>
        <w:trPr>
          <w:trHeight w:val="186"/>
        </w:trPr>
        <w:tc>
          <w:tcPr>
            <w:tcW w:w="4980" w:type="dxa"/>
            <w:vAlign w:val="bottom"/>
            <w:gridSpan w:val="2"/>
          </w:tcPr>
          <w:p>
            <w:pPr>
              <w:spacing w:after="0"/>
              <w:rPr>
                <w:sz w:val="20"/>
                <w:szCs w:val="20"/>
                <w:color w:val="auto"/>
              </w:rPr>
            </w:pPr>
            <w:r>
              <w:rPr>
                <w:rFonts w:ascii="Courier New" w:cs="Courier New" w:eastAsia="Courier New" w:hAnsi="Courier New"/>
                <w:sz w:val="16"/>
                <w:szCs w:val="16"/>
                <w:color w:val="auto"/>
              </w:rPr>
              <w:t>Rochester, New York 14638....................</w:t>
            </w:r>
          </w:p>
        </w:tc>
        <w:tc>
          <w:tcPr>
            <w:tcW w:w="7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660" w:type="dxa"/>
            <w:vAlign w:val="bottom"/>
          </w:tcPr>
          <w:p>
            <w:pPr>
              <w:jc w:val="right"/>
              <w:ind w:right="559"/>
              <w:spacing w:after="0"/>
              <w:rPr>
                <w:sz w:val="20"/>
                <w:szCs w:val="20"/>
                <w:color w:val="auto"/>
              </w:rPr>
            </w:pPr>
            <w:r>
              <w:rPr>
                <w:rFonts w:ascii="Courier New" w:cs="Courier New" w:eastAsia="Courier New" w:hAnsi="Courier New"/>
                <w:sz w:val="16"/>
                <w:szCs w:val="16"/>
                <w:color w:val="auto"/>
              </w:rPr>
              <w:t>54,000</w:t>
            </w:r>
          </w:p>
        </w:tc>
        <w:tc>
          <w:tcPr>
            <w:tcW w:w="1840" w:type="dxa"/>
            <w:vAlign w:val="bottom"/>
          </w:tcPr>
          <w:p>
            <w:pPr>
              <w:jc w:val="right"/>
              <w:ind w:right="659"/>
              <w:spacing w:after="0"/>
              <w:rPr>
                <w:sz w:val="20"/>
                <w:szCs w:val="20"/>
                <w:color w:val="auto"/>
              </w:rPr>
            </w:pPr>
            <w:r>
              <w:rPr>
                <w:rFonts w:ascii="Courier New" w:cs="Courier New" w:eastAsia="Courier New" w:hAnsi="Courier New"/>
                <w:sz w:val="16"/>
                <w:szCs w:val="16"/>
                <w:color w:val="auto"/>
              </w:rPr>
              <w:t>0.03%</w:t>
            </w:r>
          </w:p>
        </w:tc>
        <w:tc>
          <w:tcPr>
            <w:tcW w:w="1400" w:type="dxa"/>
            <w:vAlign w:val="bottom"/>
          </w:tcPr>
          <w:p>
            <w:pPr>
              <w:jc w:val="right"/>
              <w:spacing w:after="0"/>
              <w:rPr>
                <w:sz w:val="20"/>
                <w:szCs w:val="20"/>
                <w:color w:val="auto"/>
              </w:rPr>
            </w:pPr>
            <w:r>
              <w:rPr>
                <w:rFonts w:ascii="Courier New" w:cs="Courier New" w:eastAsia="Courier New" w:hAnsi="Courier New"/>
                <w:sz w:val="16"/>
                <w:szCs w:val="16"/>
                <w:color w:val="auto"/>
              </w:rPr>
              <w:t>738</w:t>
            </w:r>
          </w:p>
        </w:tc>
      </w:tr>
      <w:tr>
        <w:trPr>
          <w:trHeight w:val="373"/>
        </w:trPr>
        <w:tc>
          <w:tcPr>
            <w:tcW w:w="4980" w:type="dxa"/>
            <w:vAlign w:val="bottom"/>
            <w:gridSpan w:val="2"/>
          </w:tcPr>
          <w:p>
            <w:pPr>
              <w:spacing w:after="0"/>
              <w:rPr>
                <w:sz w:val="20"/>
                <w:szCs w:val="20"/>
                <w:color w:val="auto"/>
              </w:rPr>
            </w:pPr>
            <w:r>
              <w:rPr>
                <w:rFonts w:ascii="Courier New" w:cs="Courier New" w:eastAsia="Courier New" w:hAnsi="Courier New"/>
                <w:sz w:val="16"/>
                <w:szCs w:val="16"/>
                <w:color w:val="auto"/>
              </w:rPr>
              <w:t>Goldman, Sachs &amp; Co.</w:t>
            </w:r>
          </w:p>
        </w:tc>
        <w:tc>
          <w:tcPr>
            <w:tcW w:w="78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186"/>
        </w:trPr>
        <w:tc>
          <w:tcPr>
            <w:tcW w:w="4980" w:type="dxa"/>
            <w:vAlign w:val="bottom"/>
            <w:gridSpan w:val="2"/>
          </w:tcPr>
          <w:p>
            <w:pPr>
              <w:spacing w:after="0"/>
              <w:rPr>
                <w:sz w:val="20"/>
                <w:szCs w:val="20"/>
                <w:color w:val="auto"/>
              </w:rPr>
            </w:pPr>
            <w:r>
              <w:rPr>
                <w:rFonts w:ascii="Courier New" w:cs="Courier New" w:eastAsia="Courier New" w:hAnsi="Courier New"/>
                <w:sz w:val="16"/>
                <w:szCs w:val="16"/>
                <w:color w:val="auto"/>
              </w:rPr>
              <w:t>1 New York Plaza, 45th Floor</w:t>
            </w:r>
          </w:p>
        </w:tc>
        <w:tc>
          <w:tcPr>
            <w:tcW w:w="78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1400" w:type="dxa"/>
            <w:vAlign w:val="bottom"/>
          </w:tcPr>
          <w:p>
            <w:pPr>
              <w:spacing w:after="0"/>
              <w:rPr>
                <w:sz w:val="16"/>
                <w:szCs w:val="16"/>
                <w:color w:val="auto"/>
              </w:rPr>
            </w:pPr>
          </w:p>
        </w:tc>
      </w:tr>
      <w:tr>
        <w:trPr>
          <w:trHeight w:val="186"/>
        </w:trPr>
        <w:tc>
          <w:tcPr>
            <w:tcW w:w="1360" w:type="dxa"/>
            <w:vAlign w:val="bottom"/>
          </w:tcPr>
          <w:p>
            <w:pPr>
              <w:spacing w:after="0"/>
              <w:rPr>
                <w:sz w:val="20"/>
                <w:szCs w:val="20"/>
                <w:color w:val="auto"/>
              </w:rPr>
            </w:pPr>
            <w:r>
              <w:rPr>
                <w:rFonts w:ascii="Courier New" w:cs="Courier New" w:eastAsia="Courier New" w:hAnsi="Courier New"/>
                <w:sz w:val="16"/>
                <w:szCs w:val="16"/>
                <w:color w:val="auto"/>
              </w:rPr>
              <w:t>New York, New</w:t>
            </w:r>
          </w:p>
        </w:tc>
        <w:tc>
          <w:tcPr>
            <w:tcW w:w="3620" w:type="dxa"/>
            <w:vAlign w:val="bottom"/>
          </w:tcPr>
          <w:p>
            <w:pPr>
              <w:spacing w:after="0"/>
              <w:rPr>
                <w:sz w:val="20"/>
                <w:szCs w:val="20"/>
                <w:color w:val="auto"/>
              </w:rPr>
            </w:pPr>
            <w:r>
              <w:rPr>
                <w:rFonts w:ascii="Courier New" w:cs="Courier New" w:eastAsia="Courier New" w:hAnsi="Courier New"/>
                <w:sz w:val="16"/>
                <w:szCs w:val="16"/>
                <w:color w:val="auto"/>
              </w:rPr>
              <w:t>York 10004.....................</w:t>
            </w:r>
          </w:p>
        </w:tc>
        <w:tc>
          <w:tcPr>
            <w:tcW w:w="7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660" w:type="dxa"/>
            <w:vAlign w:val="bottom"/>
          </w:tcPr>
          <w:p>
            <w:pPr>
              <w:jc w:val="right"/>
              <w:ind w:right="559"/>
              <w:spacing w:after="0"/>
              <w:rPr>
                <w:sz w:val="20"/>
                <w:szCs w:val="20"/>
                <w:color w:val="auto"/>
              </w:rPr>
            </w:pPr>
            <w:r>
              <w:rPr>
                <w:rFonts w:ascii="Courier New" w:cs="Courier New" w:eastAsia="Courier New" w:hAnsi="Courier New"/>
                <w:sz w:val="16"/>
                <w:szCs w:val="16"/>
                <w:color w:val="auto"/>
              </w:rPr>
              <w:t>10,000</w:t>
            </w:r>
          </w:p>
        </w:tc>
        <w:tc>
          <w:tcPr>
            <w:tcW w:w="1840" w:type="dxa"/>
            <w:vAlign w:val="bottom"/>
          </w:tcPr>
          <w:p>
            <w:pPr>
              <w:jc w:val="right"/>
              <w:ind w:right="659"/>
              <w:spacing w:after="0"/>
              <w:rPr>
                <w:sz w:val="20"/>
                <w:szCs w:val="20"/>
                <w:color w:val="auto"/>
              </w:rPr>
            </w:pPr>
            <w:r>
              <w:rPr>
                <w:rFonts w:ascii="Courier New" w:cs="Courier New" w:eastAsia="Courier New" w:hAnsi="Courier New"/>
                <w:sz w:val="16"/>
                <w:szCs w:val="16"/>
                <w:color w:val="auto"/>
              </w:rPr>
              <w:t>0.01%</w:t>
            </w:r>
          </w:p>
        </w:tc>
        <w:tc>
          <w:tcPr>
            <w:tcW w:w="1400" w:type="dxa"/>
            <w:vAlign w:val="bottom"/>
          </w:tcPr>
          <w:p>
            <w:pPr>
              <w:jc w:val="right"/>
              <w:spacing w:after="0"/>
              <w:rPr>
                <w:sz w:val="20"/>
                <w:szCs w:val="20"/>
                <w:color w:val="auto"/>
              </w:rPr>
            </w:pPr>
            <w:r>
              <w:rPr>
                <w:rFonts w:ascii="Courier New" w:cs="Courier New" w:eastAsia="Courier New" w:hAnsi="Courier New"/>
                <w:sz w:val="16"/>
                <w:szCs w:val="16"/>
                <w:color w:val="auto"/>
              </w:rPr>
              <w:t>137</w:t>
            </w:r>
          </w:p>
        </w:tc>
      </w:tr>
      <w:tr>
        <w:trPr>
          <w:trHeight w:val="373"/>
        </w:trPr>
        <w:tc>
          <w:tcPr>
            <w:tcW w:w="1360" w:type="dxa"/>
            <w:vAlign w:val="bottom"/>
          </w:tcPr>
          <w:p>
            <w:pPr>
              <w:spacing w:after="0"/>
              <w:rPr>
                <w:sz w:val="20"/>
                <w:szCs w:val="20"/>
                <w:color w:val="auto"/>
              </w:rPr>
            </w:pPr>
            <w:r>
              <w:rPr>
                <w:rFonts w:ascii="Courier New" w:cs="Courier New" w:eastAsia="Courier New" w:hAnsi="Courier New"/>
                <w:sz w:val="16"/>
                <w:szCs w:val="16"/>
                <w:color w:val="auto"/>
              </w:rPr>
              <w:t>Goldman Sachs</w:t>
            </w:r>
          </w:p>
        </w:tc>
        <w:tc>
          <w:tcPr>
            <w:tcW w:w="3620" w:type="dxa"/>
            <w:vAlign w:val="bottom"/>
          </w:tcPr>
          <w:p>
            <w:pPr>
              <w:spacing w:after="0"/>
              <w:rPr>
                <w:sz w:val="20"/>
                <w:szCs w:val="20"/>
                <w:color w:val="auto"/>
              </w:rPr>
            </w:pPr>
            <w:r>
              <w:rPr>
                <w:rFonts w:ascii="Courier New" w:cs="Courier New" w:eastAsia="Courier New" w:hAnsi="Courier New"/>
                <w:sz w:val="16"/>
                <w:szCs w:val="16"/>
                <w:color w:val="auto"/>
              </w:rPr>
              <w:t>International</w:t>
            </w:r>
          </w:p>
        </w:tc>
        <w:tc>
          <w:tcPr>
            <w:tcW w:w="78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186"/>
        </w:trPr>
        <w:tc>
          <w:tcPr>
            <w:tcW w:w="4980" w:type="dxa"/>
            <w:vAlign w:val="bottom"/>
            <w:gridSpan w:val="2"/>
          </w:tcPr>
          <w:p>
            <w:pPr>
              <w:spacing w:after="0"/>
              <w:rPr>
                <w:sz w:val="20"/>
                <w:szCs w:val="20"/>
                <w:color w:val="auto"/>
              </w:rPr>
            </w:pPr>
            <w:r>
              <w:rPr>
                <w:rFonts w:ascii="Courier New" w:cs="Courier New" w:eastAsia="Courier New" w:hAnsi="Courier New"/>
                <w:sz w:val="16"/>
                <w:szCs w:val="16"/>
                <w:color w:val="auto"/>
              </w:rPr>
              <w:t>1 New York Plaza, 45th Floor</w:t>
            </w:r>
          </w:p>
        </w:tc>
        <w:tc>
          <w:tcPr>
            <w:tcW w:w="78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1400" w:type="dxa"/>
            <w:vAlign w:val="bottom"/>
          </w:tcPr>
          <w:p>
            <w:pPr>
              <w:spacing w:after="0"/>
              <w:rPr>
                <w:sz w:val="16"/>
                <w:szCs w:val="16"/>
                <w:color w:val="auto"/>
              </w:rPr>
            </w:pPr>
          </w:p>
        </w:tc>
      </w:tr>
      <w:tr>
        <w:trPr>
          <w:trHeight w:val="186"/>
        </w:trPr>
        <w:tc>
          <w:tcPr>
            <w:tcW w:w="1360" w:type="dxa"/>
            <w:vAlign w:val="bottom"/>
          </w:tcPr>
          <w:p>
            <w:pPr>
              <w:spacing w:after="0"/>
              <w:rPr>
                <w:sz w:val="20"/>
                <w:szCs w:val="20"/>
                <w:color w:val="auto"/>
              </w:rPr>
            </w:pPr>
            <w:r>
              <w:rPr>
                <w:rFonts w:ascii="Courier New" w:cs="Courier New" w:eastAsia="Courier New" w:hAnsi="Courier New"/>
                <w:sz w:val="16"/>
                <w:szCs w:val="16"/>
                <w:color w:val="auto"/>
              </w:rPr>
              <w:t>New York, New</w:t>
            </w:r>
          </w:p>
        </w:tc>
        <w:tc>
          <w:tcPr>
            <w:tcW w:w="3620" w:type="dxa"/>
            <w:vAlign w:val="bottom"/>
          </w:tcPr>
          <w:p>
            <w:pPr>
              <w:spacing w:after="0"/>
              <w:rPr>
                <w:sz w:val="20"/>
                <w:szCs w:val="20"/>
                <w:color w:val="auto"/>
              </w:rPr>
            </w:pPr>
            <w:r>
              <w:rPr>
                <w:rFonts w:ascii="Courier New" w:cs="Courier New" w:eastAsia="Courier New" w:hAnsi="Courier New"/>
                <w:sz w:val="16"/>
                <w:szCs w:val="16"/>
                <w:color w:val="auto"/>
              </w:rPr>
              <w:t>York 10004.....................</w:t>
            </w:r>
          </w:p>
        </w:tc>
        <w:tc>
          <w:tcPr>
            <w:tcW w:w="7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660" w:type="dxa"/>
            <w:vAlign w:val="bottom"/>
          </w:tcPr>
          <w:p>
            <w:pPr>
              <w:jc w:val="right"/>
              <w:ind w:right="559"/>
              <w:spacing w:after="0"/>
              <w:rPr>
                <w:sz w:val="20"/>
                <w:szCs w:val="20"/>
                <w:color w:val="auto"/>
              </w:rPr>
            </w:pPr>
            <w:r>
              <w:rPr>
                <w:rFonts w:ascii="Courier New" w:cs="Courier New" w:eastAsia="Courier New" w:hAnsi="Courier New"/>
                <w:sz w:val="16"/>
                <w:szCs w:val="16"/>
                <w:color w:val="auto"/>
              </w:rPr>
              <w:t>1,490,000</w:t>
            </w:r>
          </w:p>
        </w:tc>
        <w:tc>
          <w:tcPr>
            <w:tcW w:w="1840" w:type="dxa"/>
            <w:vAlign w:val="bottom"/>
          </w:tcPr>
          <w:p>
            <w:pPr>
              <w:jc w:val="right"/>
              <w:ind w:right="659"/>
              <w:spacing w:after="0"/>
              <w:rPr>
                <w:sz w:val="20"/>
                <w:szCs w:val="20"/>
                <w:color w:val="auto"/>
              </w:rPr>
            </w:pPr>
            <w:r>
              <w:rPr>
                <w:rFonts w:ascii="Courier New" w:cs="Courier New" w:eastAsia="Courier New" w:hAnsi="Courier New"/>
                <w:sz w:val="16"/>
                <w:szCs w:val="16"/>
                <w:color w:val="auto"/>
              </w:rPr>
              <w:t>0.86%</w:t>
            </w:r>
          </w:p>
        </w:tc>
        <w:tc>
          <w:tcPr>
            <w:tcW w:w="1400" w:type="dxa"/>
            <w:vAlign w:val="bottom"/>
          </w:tcPr>
          <w:p>
            <w:pPr>
              <w:jc w:val="right"/>
              <w:spacing w:after="0"/>
              <w:rPr>
                <w:sz w:val="20"/>
                <w:szCs w:val="20"/>
                <w:color w:val="auto"/>
              </w:rPr>
            </w:pPr>
            <w:r>
              <w:rPr>
                <w:rFonts w:ascii="Courier New" w:cs="Courier New" w:eastAsia="Courier New" w:hAnsi="Courier New"/>
                <w:sz w:val="16"/>
                <w:szCs w:val="16"/>
                <w:color w:val="auto"/>
              </w:rPr>
              <w:t>20,355</w:t>
            </w:r>
          </w:p>
        </w:tc>
      </w:tr>
      <w:tr>
        <w:trPr>
          <w:trHeight w:val="373"/>
        </w:trPr>
        <w:tc>
          <w:tcPr>
            <w:tcW w:w="4980" w:type="dxa"/>
            <w:vAlign w:val="bottom"/>
            <w:gridSpan w:val="2"/>
          </w:tcPr>
          <w:p>
            <w:pPr>
              <w:spacing w:after="0"/>
              <w:rPr>
                <w:sz w:val="20"/>
                <w:szCs w:val="20"/>
                <w:color w:val="auto"/>
              </w:rPr>
            </w:pPr>
            <w:r>
              <w:rPr>
                <w:rFonts w:ascii="Courier New" w:cs="Courier New" w:eastAsia="Courier New" w:hAnsi="Courier New"/>
                <w:sz w:val="16"/>
                <w:szCs w:val="16"/>
                <w:color w:val="auto"/>
              </w:rPr>
              <w:t>Investors Fiduciary Trust Company</w:t>
            </w:r>
          </w:p>
        </w:tc>
        <w:tc>
          <w:tcPr>
            <w:tcW w:w="78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186"/>
        </w:trPr>
        <w:tc>
          <w:tcPr>
            <w:tcW w:w="1360" w:type="dxa"/>
            <w:vAlign w:val="bottom"/>
          </w:tcPr>
          <w:p>
            <w:pPr>
              <w:spacing w:after="0"/>
              <w:rPr>
                <w:sz w:val="20"/>
                <w:szCs w:val="20"/>
                <w:color w:val="auto"/>
              </w:rPr>
            </w:pPr>
            <w:r>
              <w:rPr>
                <w:rFonts w:ascii="Courier New" w:cs="Courier New" w:eastAsia="Courier New" w:hAnsi="Courier New"/>
                <w:sz w:val="16"/>
                <w:szCs w:val="16"/>
                <w:color w:val="auto"/>
              </w:rPr>
              <w:t>1776 Heritage</w:t>
            </w:r>
          </w:p>
        </w:tc>
        <w:tc>
          <w:tcPr>
            <w:tcW w:w="3620" w:type="dxa"/>
            <w:vAlign w:val="bottom"/>
          </w:tcPr>
          <w:p>
            <w:pPr>
              <w:spacing w:after="0"/>
              <w:rPr>
                <w:sz w:val="20"/>
                <w:szCs w:val="20"/>
                <w:color w:val="auto"/>
              </w:rPr>
            </w:pPr>
            <w:r>
              <w:rPr>
                <w:rFonts w:ascii="Courier New" w:cs="Courier New" w:eastAsia="Courier New" w:hAnsi="Courier New"/>
                <w:sz w:val="16"/>
                <w:szCs w:val="16"/>
                <w:color w:val="auto"/>
              </w:rPr>
              <w:t>Drive</w:t>
            </w:r>
          </w:p>
        </w:tc>
        <w:tc>
          <w:tcPr>
            <w:tcW w:w="78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1400" w:type="dxa"/>
            <w:vAlign w:val="bottom"/>
          </w:tcPr>
          <w:p>
            <w:pPr>
              <w:spacing w:after="0"/>
              <w:rPr>
                <w:sz w:val="16"/>
                <w:szCs w:val="16"/>
                <w:color w:val="auto"/>
              </w:rPr>
            </w:pPr>
          </w:p>
        </w:tc>
      </w:tr>
      <w:tr>
        <w:trPr>
          <w:trHeight w:val="186"/>
        </w:trPr>
        <w:tc>
          <w:tcPr>
            <w:tcW w:w="1360" w:type="dxa"/>
            <w:vAlign w:val="bottom"/>
          </w:tcPr>
          <w:p>
            <w:pPr>
              <w:spacing w:after="0"/>
              <w:rPr>
                <w:sz w:val="20"/>
                <w:szCs w:val="20"/>
                <w:color w:val="auto"/>
              </w:rPr>
            </w:pPr>
            <w:r>
              <w:rPr>
                <w:rFonts w:ascii="Courier New" w:cs="Courier New" w:eastAsia="Courier New" w:hAnsi="Courier New"/>
                <w:sz w:val="16"/>
                <w:szCs w:val="16"/>
                <w:color w:val="auto"/>
              </w:rPr>
              <w:t>North Quincy,</w:t>
            </w:r>
          </w:p>
        </w:tc>
        <w:tc>
          <w:tcPr>
            <w:tcW w:w="3620" w:type="dxa"/>
            <w:vAlign w:val="bottom"/>
          </w:tcPr>
          <w:p>
            <w:pPr>
              <w:spacing w:after="0"/>
              <w:rPr>
                <w:sz w:val="20"/>
                <w:szCs w:val="20"/>
                <w:color w:val="auto"/>
              </w:rPr>
            </w:pPr>
            <w:r>
              <w:rPr>
                <w:rFonts w:ascii="Courier New" w:cs="Courier New" w:eastAsia="Courier New" w:hAnsi="Courier New"/>
                <w:sz w:val="16"/>
                <w:szCs w:val="16"/>
                <w:color w:val="auto"/>
              </w:rPr>
              <w:t>Massachusetts 02171............</w:t>
            </w:r>
          </w:p>
        </w:tc>
        <w:tc>
          <w:tcPr>
            <w:tcW w:w="7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660" w:type="dxa"/>
            <w:vAlign w:val="bottom"/>
          </w:tcPr>
          <w:p>
            <w:pPr>
              <w:jc w:val="right"/>
              <w:ind w:right="559"/>
              <w:spacing w:after="0"/>
              <w:rPr>
                <w:sz w:val="20"/>
                <w:szCs w:val="20"/>
                <w:color w:val="auto"/>
              </w:rPr>
            </w:pPr>
            <w:r>
              <w:rPr>
                <w:rFonts w:ascii="Courier New" w:cs="Courier New" w:eastAsia="Courier New" w:hAnsi="Courier New"/>
                <w:sz w:val="16"/>
                <w:szCs w:val="16"/>
                <w:color w:val="auto"/>
              </w:rPr>
              <w:t>1,600,000</w:t>
            </w:r>
          </w:p>
        </w:tc>
        <w:tc>
          <w:tcPr>
            <w:tcW w:w="1840" w:type="dxa"/>
            <w:vAlign w:val="bottom"/>
          </w:tcPr>
          <w:p>
            <w:pPr>
              <w:jc w:val="right"/>
              <w:ind w:right="659"/>
              <w:spacing w:after="0"/>
              <w:rPr>
                <w:sz w:val="20"/>
                <w:szCs w:val="20"/>
                <w:color w:val="auto"/>
              </w:rPr>
            </w:pPr>
            <w:r>
              <w:rPr>
                <w:rFonts w:ascii="Courier New" w:cs="Courier New" w:eastAsia="Courier New" w:hAnsi="Courier New"/>
                <w:sz w:val="16"/>
                <w:szCs w:val="16"/>
                <w:color w:val="auto"/>
              </w:rPr>
              <w:t>0.93%</w:t>
            </w:r>
          </w:p>
        </w:tc>
        <w:tc>
          <w:tcPr>
            <w:tcW w:w="1400" w:type="dxa"/>
            <w:vAlign w:val="bottom"/>
          </w:tcPr>
          <w:p>
            <w:pPr>
              <w:jc w:val="right"/>
              <w:spacing w:after="0"/>
              <w:rPr>
                <w:sz w:val="20"/>
                <w:szCs w:val="20"/>
                <w:color w:val="auto"/>
              </w:rPr>
            </w:pPr>
            <w:r>
              <w:rPr>
                <w:rFonts w:ascii="Courier New" w:cs="Courier New" w:eastAsia="Courier New" w:hAnsi="Courier New"/>
                <w:sz w:val="16"/>
                <w:szCs w:val="16"/>
                <w:color w:val="auto"/>
              </w:rPr>
              <w:t>21,858</w:t>
            </w:r>
          </w:p>
        </w:tc>
      </w:tr>
      <w:tr>
        <w:trPr>
          <w:trHeight w:val="373"/>
        </w:trPr>
        <w:tc>
          <w:tcPr>
            <w:tcW w:w="4980" w:type="dxa"/>
            <w:vAlign w:val="bottom"/>
            <w:gridSpan w:val="2"/>
          </w:tcPr>
          <w:p>
            <w:pPr>
              <w:spacing w:after="0"/>
              <w:rPr>
                <w:sz w:val="20"/>
                <w:szCs w:val="20"/>
                <w:color w:val="auto"/>
              </w:rPr>
            </w:pPr>
            <w:r>
              <w:rPr>
                <w:rFonts w:ascii="Courier New" w:cs="Courier New" w:eastAsia="Courier New" w:hAnsi="Courier New"/>
                <w:sz w:val="16"/>
                <w:szCs w:val="16"/>
                <w:color w:val="auto"/>
              </w:rPr>
              <w:t>KeyBank National Association</w:t>
            </w:r>
          </w:p>
        </w:tc>
        <w:tc>
          <w:tcPr>
            <w:tcW w:w="78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186"/>
        </w:trPr>
        <w:tc>
          <w:tcPr>
            <w:tcW w:w="1360" w:type="dxa"/>
            <w:vAlign w:val="bottom"/>
          </w:tcPr>
          <w:p>
            <w:pPr>
              <w:spacing w:after="0"/>
              <w:rPr>
                <w:sz w:val="20"/>
                <w:szCs w:val="20"/>
                <w:color w:val="auto"/>
              </w:rPr>
            </w:pPr>
            <w:r>
              <w:rPr>
                <w:rFonts w:ascii="Courier New" w:cs="Courier New" w:eastAsia="Courier New" w:hAnsi="Courier New"/>
                <w:sz w:val="16"/>
                <w:szCs w:val="16"/>
                <w:color w:val="auto"/>
              </w:rPr>
              <w:t>4900 Tiedeman</w:t>
            </w:r>
          </w:p>
        </w:tc>
        <w:tc>
          <w:tcPr>
            <w:tcW w:w="3620" w:type="dxa"/>
            <w:vAlign w:val="bottom"/>
          </w:tcPr>
          <w:p>
            <w:pPr>
              <w:spacing w:after="0"/>
              <w:rPr>
                <w:sz w:val="20"/>
                <w:szCs w:val="20"/>
                <w:color w:val="auto"/>
              </w:rPr>
            </w:pPr>
            <w:r>
              <w:rPr>
                <w:rFonts w:ascii="Courier New" w:cs="Courier New" w:eastAsia="Courier New" w:hAnsi="Courier New"/>
                <w:sz w:val="16"/>
                <w:szCs w:val="16"/>
                <w:color w:val="auto"/>
              </w:rPr>
              <w:t>Road</w:t>
            </w:r>
          </w:p>
        </w:tc>
        <w:tc>
          <w:tcPr>
            <w:tcW w:w="78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1400" w:type="dxa"/>
            <w:vAlign w:val="bottom"/>
          </w:tcPr>
          <w:p>
            <w:pPr>
              <w:spacing w:after="0"/>
              <w:rPr>
                <w:sz w:val="16"/>
                <w:szCs w:val="16"/>
                <w:color w:val="auto"/>
              </w:rPr>
            </w:pPr>
          </w:p>
        </w:tc>
      </w:tr>
      <w:tr>
        <w:trPr>
          <w:trHeight w:val="186"/>
        </w:trPr>
        <w:tc>
          <w:tcPr>
            <w:tcW w:w="4980" w:type="dxa"/>
            <w:vAlign w:val="bottom"/>
            <w:gridSpan w:val="2"/>
          </w:tcPr>
          <w:p>
            <w:pPr>
              <w:spacing w:after="0"/>
              <w:rPr>
                <w:sz w:val="20"/>
                <w:szCs w:val="20"/>
                <w:color w:val="auto"/>
              </w:rPr>
            </w:pPr>
            <w:r>
              <w:rPr>
                <w:rFonts w:ascii="Courier New" w:cs="Courier New" w:eastAsia="Courier New" w:hAnsi="Courier New"/>
                <w:sz w:val="16"/>
                <w:szCs w:val="16"/>
                <w:color w:val="auto"/>
              </w:rPr>
              <w:t>Brooklyn, Ohio 44144.........................</w:t>
            </w:r>
          </w:p>
        </w:tc>
        <w:tc>
          <w:tcPr>
            <w:tcW w:w="7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660" w:type="dxa"/>
            <w:vAlign w:val="bottom"/>
          </w:tcPr>
          <w:p>
            <w:pPr>
              <w:jc w:val="right"/>
              <w:ind w:right="559"/>
              <w:spacing w:after="0"/>
              <w:rPr>
                <w:sz w:val="20"/>
                <w:szCs w:val="20"/>
                <w:color w:val="auto"/>
              </w:rPr>
            </w:pPr>
            <w:r>
              <w:rPr>
                <w:rFonts w:ascii="Courier New" w:cs="Courier New" w:eastAsia="Courier New" w:hAnsi="Courier New"/>
                <w:sz w:val="16"/>
                <w:szCs w:val="16"/>
                <w:color w:val="auto"/>
              </w:rPr>
              <w:t>65,000</w:t>
            </w:r>
          </w:p>
        </w:tc>
        <w:tc>
          <w:tcPr>
            <w:tcW w:w="1840" w:type="dxa"/>
            <w:vAlign w:val="bottom"/>
          </w:tcPr>
          <w:p>
            <w:pPr>
              <w:jc w:val="right"/>
              <w:ind w:right="659"/>
              <w:spacing w:after="0"/>
              <w:rPr>
                <w:sz w:val="20"/>
                <w:szCs w:val="20"/>
                <w:color w:val="auto"/>
              </w:rPr>
            </w:pPr>
            <w:r>
              <w:rPr>
                <w:rFonts w:ascii="Courier New" w:cs="Courier New" w:eastAsia="Courier New" w:hAnsi="Courier New"/>
                <w:sz w:val="16"/>
                <w:szCs w:val="16"/>
                <w:color w:val="auto"/>
              </w:rPr>
              <w:t>0.04%</w:t>
            </w:r>
          </w:p>
        </w:tc>
        <w:tc>
          <w:tcPr>
            <w:tcW w:w="1400" w:type="dxa"/>
            <w:vAlign w:val="bottom"/>
          </w:tcPr>
          <w:p>
            <w:pPr>
              <w:jc w:val="right"/>
              <w:spacing w:after="0"/>
              <w:rPr>
                <w:sz w:val="20"/>
                <w:szCs w:val="20"/>
                <w:color w:val="auto"/>
              </w:rPr>
            </w:pPr>
            <w:r>
              <w:rPr>
                <w:rFonts w:ascii="Courier New" w:cs="Courier New" w:eastAsia="Courier New" w:hAnsi="Courier New"/>
                <w:sz w:val="16"/>
                <w:szCs w:val="16"/>
                <w:color w:val="auto"/>
              </w:rPr>
              <w:t>888</w:t>
            </w:r>
          </w:p>
        </w:tc>
      </w:tr>
      <w:tr>
        <w:trPr>
          <w:trHeight w:val="373"/>
        </w:trPr>
        <w:tc>
          <w:tcPr>
            <w:tcW w:w="1360" w:type="dxa"/>
            <w:vAlign w:val="bottom"/>
          </w:tcPr>
          <w:p>
            <w:pPr>
              <w:spacing w:after="0"/>
              <w:rPr>
                <w:sz w:val="20"/>
                <w:szCs w:val="20"/>
                <w:color w:val="auto"/>
              </w:rPr>
            </w:pPr>
            <w:r>
              <w:rPr>
                <w:rFonts w:ascii="Courier New" w:cs="Courier New" w:eastAsia="Courier New" w:hAnsi="Courier New"/>
                <w:sz w:val="16"/>
                <w:szCs w:val="16"/>
                <w:color w:val="auto"/>
              </w:rPr>
              <w:t>Lazard Freres</w:t>
            </w:r>
          </w:p>
        </w:tc>
        <w:tc>
          <w:tcPr>
            <w:tcW w:w="3620" w:type="dxa"/>
            <w:vAlign w:val="bottom"/>
          </w:tcPr>
          <w:p>
            <w:pPr>
              <w:spacing w:after="0"/>
              <w:rPr>
                <w:sz w:val="20"/>
                <w:szCs w:val="20"/>
                <w:color w:val="auto"/>
              </w:rPr>
            </w:pPr>
            <w:r>
              <w:rPr>
                <w:rFonts w:ascii="Courier New" w:cs="Courier New" w:eastAsia="Courier New" w:hAnsi="Courier New"/>
                <w:sz w:val="16"/>
                <w:szCs w:val="16"/>
                <w:color w:val="auto"/>
              </w:rPr>
              <w:t>&amp; Co.</w:t>
            </w:r>
          </w:p>
        </w:tc>
        <w:tc>
          <w:tcPr>
            <w:tcW w:w="78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186"/>
        </w:trPr>
        <w:tc>
          <w:tcPr>
            <w:tcW w:w="1360" w:type="dxa"/>
            <w:vAlign w:val="bottom"/>
          </w:tcPr>
          <w:p>
            <w:pPr>
              <w:spacing w:after="0"/>
              <w:rPr>
                <w:sz w:val="20"/>
                <w:szCs w:val="20"/>
                <w:color w:val="auto"/>
              </w:rPr>
            </w:pPr>
            <w:r>
              <w:rPr>
                <w:rFonts w:ascii="Courier New" w:cs="Courier New" w:eastAsia="Courier New" w:hAnsi="Courier New"/>
                <w:sz w:val="16"/>
                <w:szCs w:val="16"/>
                <w:color w:val="auto"/>
              </w:rPr>
              <w:t>120 Broadway</w:t>
            </w:r>
          </w:p>
        </w:tc>
        <w:tc>
          <w:tcPr>
            <w:tcW w:w="36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1400" w:type="dxa"/>
            <w:vAlign w:val="bottom"/>
          </w:tcPr>
          <w:p>
            <w:pPr>
              <w:spacing w:after="0"/>
              <w:rPr>
                <w:sz w:val="16"/>
                <w:szCs w:val="16"/>
                <w:color w:val="auto"/>
              </w:rPr>
            </w:pPr>
          </w:p>
        </w:tc>
      </w:tr>
      <w:tr>
        <w:trPr>
          <w:trHeight w:val="186"/>
        </w:trPr>
        <w:tc>
          <w:tcPr>
            <w:tcW w:w="1360" w:type="dxa"/>
            <w:vAlign w:val="bottom"/>
          </w:tcPr>
          <w:p>
            <w:pPr>
              <w:spacing w:after="0"/>
              <w:rPr>
                <w:sz w:val="20"/>
                <w:szCs w:val="20"/>
                <w:color w:val="auto"/>
              </w:rPr>
            </w:pPr>
            <w:r>
              <w:rPr>
                <w:rFonts w:ascii="Courier New" w:cs="Courier New" w:eastAsia="Courier New" w:hAnsi="Courier New"/>
                <w:sz w:val="16"/>
                <w:szCs w:val="16"/>
                <w:color w:val="auto"/>
              </w:rPr>
              <w:t>New York, New</w:t>
            </w:r>
          </w:p>
        </w:tc>
        <w:tc>
          <w:tcPr>
            <w:tcW w:w="3620" w:type="dxa"/>
            <w:vAlign w:val="bottom"/>
          </w:tcPr>
          <w:p>
            <w:pPr>
              <w:spacing w:after="0"/>
              <w:rPr>
                <w:sz w:val="20"/>
                <w:szCs w:val="20"/>
                <w:color w:val="auto"/>
              </w:rPr>
            </w:pPr>
            <w:r>
              <w:rPr>
                <w:rFonts w:ascii="Courier New" w:cs="Courier New" w:eastAsia="Courier New" w:hAnsi="Courier New"/>
                <w:sz w:val="16"/>
                <w:szCs w:val="16"/>
                <w:color w:val="auto"/>
              </w:rPr>
              <w:t>York 10271.....................</w:t>
            </w:r>
          </w:p>
        </w:tc>
        <w:tc>
          <w:tcPr>
            <w:tcW w:w="7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660" w:type="dxa"/>
            <w:vAlign w:val="bottom"/>
          </w:tcPr>
          <w:p>
            <w:pPr>
              <w:jc w:val="right"/>
              <w:ind w:right="559"/>
              <w:spacing w:after="0"/>
              <w:rPr>
                <w:sz w:val="20"/>
                <w:szCs w:val="20"/>
                <w:color w:val="auto"/>
              </w:rPr>
            </w:pPr>
            <w:r>
              <w:rPr>
                <w:rFonts w:ascii="Courier New" w:cs="Courier New" w:eastAsia="Courier New" w:hAnsi="Courier New"/>
                <w:sz w:val="16"/>
                <w:szCs w:val="16"/>
                <w:color w:val="auto"/>
              </w:rPr>
              <w:t>500,000</w:t>
            </w:r>
          </w:p>
        </w:tc>
        <w:tc>
          <w:tcPr>
            <w:tcW w:w="1840" w:type="dxa"/>
            <w:vAlign w:val="bottom"/>
          </w:tcPr>
          <w:p>
            <w:pPr>
              <w:jc w:val="right"/>
              <w:ind w:right="659"/>
              <w:spacing w:after="0"/>
              <w:rPr>
                <w:sz w:val="20"/>
                <w:szCs w:val="20"/>
                <w:color w:val="auto"/>
              </w:rPr>
            </w:pPr>
            <w:r>
              <w:rPr>
                <w:rFonts w:ascii="Courier New" w:cs="Courier New" w:eastAsia="Courier New" w:hAnsi="Courier New"/>
                <w:sz w:val="16"/>
                <w:szCs w:val="16"/>
                <w:color w:val="auto"/>
              </w:rPr>
              <w:t>0.29%</w:t>
            </w:r>
          </w:p>
        </w:tc>
        <w:tc>
          <w:tcPr>
            <w:tcW w:w="1400" w:type="dxa"/>
            <w:vAlign w:val="bottom"/>
          </w:tcPr>
          <w:p>
            <w:pPr>
              <w:jc w:val="right"/>
              <w:spacing w:after="0"/>
              <w:rPr>
                <w:sz w:val="20"/>
                <w:szCs w:val="20"/>
                <w:color w:val="auto"/>
              </w:rPr>
            </w:pPr>
            <w:r>
              <w:rPr>
                <w:rFonts w:ascii="Courier New" w:cs="Courier New" w:eastAsia="Courier New" w:hAnsi="Courier New"/>
                <w:sz w:val="16"/>
                <w:szCs w:val="16"/>
                <w:color w:val="auto"/>
              </w:rPr>
              <w:t>6,831</w:t>
            </w:r>
          </w:p>
        </w:tc>
      </w:tr>
      <w:tr>
        <w:trPr>
          <w:trHeight w:val="373"/>
        </w:trPr>
        <w:tc>
          <w:tcPr>
            <w:tcW w:w="4980" w:type="dxa"/>
            <w:vAlign w:val="bottom"/>
            <w:gridSpan w:val="2"/>
          </w:tcPr>
          <w:p>
            <w:pPr>
              <w:spacing w:after="0"/>
              <w:rPr>
                <w:sz w:val="20"/>
                <w:szCs w:val="20"/>
                <w:color w:val="auto"/>
              </w:rPr>
            </w:pPr>
            <w:r>
              <w:rPr>
                <w:rFonts w:ascii="Courier New" w:cs="Courier New" w:eastAsia="Courier New" w:hAnsi="Courier New"/>
                <w:sz w:val="16"/>
                <w:szCs w:val="16"/>
                <w:color w:val="auto"/>
              </w:rPr>
              <w:t>Lehman Brothers, Inc.</w:t>
            </w:r>
          </w:p>
        </w:tc>
        <w:tc>
          <w:tcPr>
            <w:tcW w:w="78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186"/>
        </w:trPr>
        <w:tc>
          <w:tcPr>
            <w:tcW w:w="1360" w:type="dxa"/>
            <w:vAlign w:val="bottom"/>
          </w:tcPr>
          <w:p>
            <w:pPr>
              <w:spacing w:after="0"/>
              <w:rPr>
                <w:sz w:val="20"/>
                <w:szCs w:val="20"/>
                <w:color w:val="auto"/>
              </w:rPr>
            </w:pPr>
            <w:r>
              <w:rPr>
                <w:rFonts w:ascii="Courier New" w:cs="Courier New" w:eastAsia="Courier New" w:hAnsi="Courier New"/>
                <w:sz w:val="16"/>
                <w:szCs w:val="16"/>
                <w:color w:val="auto"/>
              </w:rPr>
              <w:t>c/o BSSC</w:t>
            </w:r>
          </w:p>
        </w:tc>
        <w:tc>
          <w:tcPr>
            <w:tcW w:w="36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1400" w:type="dxa"/>
            <w:vAlign w:val="bottom"/>
          </w:tcPr>
          <w:p>
            <w:pPr>
              <w:spacing w:after="0"/>
              <w:rPr>
                <w:sz w:val="16"/>
                <w:szCs w:val="16"/>
                <w:color w:val="auto"/>
              </w:rPr>
            </w:pPr>
          </w:p>
        </w:tc>
      </w:tr>
      <w:tr>
        <w:trPr>
          <w:trHeight w:val="186"/>
        </w:trPr>
        <w:tc>
          <w:tcPr>
            <w:tcW w:w="1360" w:type="dxa"/>
            <w:vAlign w:val="bottom"/>
          </w:tcPr>
          <w:p>
            <w:pPr>
              <w:spacing w:after="0"/>
              <w:rPr>
                <w:sz w:val="20"/>
                <w:szCs w:val="20"/>
                <w:color w:val="auto"/>
              </w:rPr>
            </w:pPr>
            <w:r>
              <w:rPr>
                <w:rFonts w:ascii="Courier New" w:cs="Courier New" w:eastAsia="Courier New" w:hAnsi="Courier New"/>
                <w:sz w:val="16"/>
                <w:szCs w:val="16"/>
                <w:color w:val="auto"/>
                <w:w w:val="99"/>
              </w:rPr>
              <w:t>P.O. Box 29198</w:t>
            </w:r>
          </w:p>
        </w:tc>
        <w:tc>
          <w:tcPr>
            <w:tcW w:w="36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1400" w:type="dxa"/>
            <w:vAlign w:val="bottom"/>
          </w:tcPr>
          <w:p>
            <w:pPr>
              <w:spacing w:after="0"/>
              <w:rPr>
                <w:sz w:val="16"/>
                <w:szCs w:val="16"/>
                <w:color w:val="auto"/>
              </w:rPr>
            </w:pPr>
          </w:p>
        </w:tc>
      </w:tr>
      <w:tr>
        <w:trPr>
          <w:trHeight w:val="186"/>
        </w:trPr>
        <w:tc>
          <w:tcPr>
            <w:tcW w:w="1360" w:type="dxa"/>
            <w:vAlign w:val="bottom"/>
          </w:tcPr>
          <w:p>
            <w:pPr>
              <w:spacing w:after="0"/>
              <w:rPr>
                <w:sz w:val="20"/>
                <w:szCs w:val="20"/>
                <w:color w:val="auto"/>
              </w:rPr>
            </w:pPr>
            <w:r>
              <w:rPr>
                <w:rFonts w:ascii="Courier New" w:cs="Courier New" w:eastAsia="Courier New" w:hAnsi="Courier New"/>
                <w:sz w:val="16"/>
                <w:szCs w:val="16"/>
                <w:color w:val="auto"/>
              </w:rPr>
              <w:t>Brooklyn, New</w:t>
            </w:r>
          </w:p>
        </w:tc>
        <w:tc>
          <w:tcPr>
            <w:tcW w:w="3620" w:type="dxa"/>
            <w:vAlign w:val="bottom"/>
          </w:tcPr>
          <w:p>
            <w:pPr>
              <w:spacing w:after="0"/>
              <w:rPr>
                <w:sz w:val="20"/>
                <w:szCs w:val="20"/>
                <w:color w:val="auto"/>
              </w:rPr>
            </w:pPr>
            <w:r>
              <w:rPr>
                <w:rFonts w:ascii="Courier New" w:cs="Courier New" w:eastAsia="Courier New" w:hAnsi="Courier New"/>
                <w:sz w:val="16"/>
                <w:szCs w:val="16"/>
                <w:color w:val="auto"/>
              </w:rPr>
              <w:t>York 11202.....................</w:t>
            </w:r>
          </w:p>
        </w:tc>
        <w:tc>
          <w:tcPr>
            <w:tcW w:w="7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660" w:type="dxa"/>
            <w:vAlign w:val="bottom"/>
          </w:tcPr>
          <w:p>
            <w:pPr>
              <w:jc w:val="right"/>
              <w:ind w:right="559"/>
              <w:spacing w:after="0"/>
              <w:rPr>
                <w:sz w:val="20"/>
                <w:szCs w:val="20"/>
                <w:color w:val="auto"/>
              </w:rPr>
            </w:pPr>
            <w:r>
              <w:rPr>
                <w:rFonts w:ascii="Courier New" w:cs="Courier New" w:eastAsia="Courier New" w:hAnsi="Courier New"/>
                <w:sz w:val="16"/>
                <w:szCs w:val="16"/>
                <w:color w:val="auto"/>
              </w:rPr>
              <w:t>12,800,000</w:t>
            </w:r>
          </w:p>
        </w:tc>
        <w:tc>
          <w:tcPr>
            <w:tcW w:w="1840" w:type="dxa"/>
            <w:vAlign w:val="bottom"/>
          </w:tcPr>
          <w:p>
            <w:pPr>
              <w:jc w:val="right"/>
              <w:ind w:right="659"/>
              <w:spacing w:after="0"/>
              <w:rPr>
                <w:sz w:val="20"/>
                <w:szCs w:val="20"/>
                <w:color w:val="auto"/>
              </w:rPr>
            </w:pPr>
            <w:r>
              <w:rPr>
                <w:rFonts w:ascii="Courier New" w:cs="Courier New" w:eastAsia="Courier New" w:hAnsi="Courier New"/>
                <w:sz w:val="16"/>
                <w:szCs w:val="16"/>
                <w:color w:val="auto"/>
              </w:rPr>
              <w:t>7.42%</w:t>
            </w:r>
          </w:p>
        </w:tc>
        <w:tc>
          <w:tcPr>
            <w:tcW w:w="1400" w:type="dxa"/>
            <w:vAlign w:val="bottom"/>
          </w:tcPr>
          <w:p>
            <w:pPr>
              <w:jc w:val="right"/>
              <w:spacing w:after="0"/>
              <w:rPr>
                <w:sz w:val="20"/>
                <w:szCs w:val="20"/>
                <w:color w:val="auto"/>
              </w:rPr>
            </w:pPr>
            <w:r>
              <w:rPr>
                <w:rFonts w:ascii="Courier New" w:cs="Courier New" w:eastAsia="Courier New" w:hAnsi="Courier New"/>
                <w:sz w:val="16"/>
                <w:szCs w:val="16"/>
                <w:color w:val="auto"/>
              </w:rPr>
              <w:t>174,863</w:t>
            </w:r>
          </w:p>
        </w:tc>
      </w:tr>
      <w:tr>
        <w:trPr>
          <w:trHeight w:val="373"/>
        </w:trPr>
        <w:tc>
          <w:tcPr>
            <w:tcW w:w="4980" w:type="dxa"/>
            <w:vAlign w:val="bottom"/>
            <w:gridSpan w:val="2"/>
          </w:tcPr>
          <w:p>
            <w:pPr>
              <w:spacing w:after="0"/>
              <w:rPr>
                <w:sz w:val="20"/>
                <w:szCs w:val="20"/>
                <w:color w:val="auto"/>
              </w:rPr>
            </w:pPr>
            <w:r>
              <w:rPr>
                <w:rFonts w:ascii="Courier New" w:cs="Courier New" w:eastAsia="Courier New" w:hAnsi="Courier New"/>
                <w:sz w:val="16"/>
                <w:szCs w:val="16"/>
                <w:color w:val="auto"/>
              </w:rPr>
              <w:t>Mercantile-Safe Deposit &amp; Trust Co.</w:t>
            </w:r>
          </w:p>
        </w:tc>
        <w:tc>
          <w:tcPr>
            <w:tcW w:w="78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186"/>
        </w:trPr>
        <w:tc>
          <w:tcPr>
            <w:tcW w:w="4980" w:type="dxa"/>
            <w:vAlign w:val="bottom"/>
            <w:gridSpan w:val="2"/>
          </w:tcPr>
          <w:p>
            <w:pPr>
              <w:spacing w:after="0"/>
              <w:rPr>
                <w:sz w:val="20"/>
                <w:szCs w:val="20"/>
                <w:color w:val="auto"/>
              </w:rPr>
            </w:pPr>
            <w:r>
              <w:rPr>
                <w:rFonts w:ascii="Courier New" w:cs="Courier New" w:eastAsia="Courier New" w:hAnsi="Courier New"/>
                <w:sz w:val="16"/>
                <w:szCs w:val="16"/>
                <w:color w:val="auto"/>
              </w:rPr>
              <w:t>766 Old Hammonds Ferry Road</w:t>
            </w:r>
          </w:p>
        </w:tc>
        <w:tc>
          <w:tcPr>
            <w:tcW w:w="78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1400" w:type="dxa"/>
            <w:vAlign w:val="bottom"/>
          </w:tcPr>
          <w:p>
            <w:pPr>
              <w:spacing w:after="0"/>
              <w:rPr>
                <w:sz w:val="16"/>
                <w:szCs w:val="16"/>
                <w:color w:val="auto"/>
              </w:rPr>
            </w:pPr>
          </w:p>
        </w:tc>
      </w:tr>
      <w:tr>
        <w:trPr>
          <w:trHeight w:val="186"/>
        </w:trPr>
        <w:tc>
          <w:tcPr>
            <w:tcW w:w="4980" w:type="dxa"/>
            <w:vAlign w:val="bottom"/>
            <w:gridSpan w:val="2"/>
          </w:tcPr>
          <w:p>
            <w:pPr>
              <w:spacing w:after="0"/>
              <w:rPr>
                <w:sz w:val="20"/>
                <w:szCs w:val="20"/>
                <w:color w:val="auto"/>
              </w:rPr>
            </w:pPr>
            <w:r>
              <w:rPr>
                <w:rFonts w:ascii="Courier New" w:cs="Courier New" w:eastAsia="Courier New" w:hAnsi="Courier New"/>
                <w:sz w:val="16"/>
                <w:szCs w:val="16"/>
                <w:color w:val="auto"/>
              </w:rPr>
              <w:t>Linthicon, Maryland 21090....................</w:t>
            </w:r>
          </w:p>
        </w:tc>
        <w:tc>
          <w:tcPr>
            <w:tcW w:w="7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660" w:type="dxa"/>
            <w:vAlign w:val="bottom"/>
          </w:tcPr>
          <w:p>
            <w:pPr>
              <w:jc w:val="right"/>
              <w:ind w:right="559"/>
              <w:spacing w:after="0"/>
              <w:rPr>
                <w:sz w:val="20"/>
                <w:szCs w:val="20"/>
                <w:color w:val="auto"/>
              </w:rPr>
            </w:pPr>
            <w:r>
              <w:rPr>
                <w:rFonts w:ascii="Courier New" w:cs="Courier New" w:eastAsia="Courier New" w:hAnsi="Courier New"/>
                <w:sz w:val="16"/>
                <w:szCs w:val="16"/>
                <w:color w:val="auto"/>
              </w:rPr>
              <w:t>1,725,000</w:t>
            </w:r>
          </w:p>
        </w:tc>
        <w:tc>
          <w:tcPr>
            <w:tcW w:w="1840" w:type="dxa"/>
            <w:vAlign w:val="bottom"/>
          </w:tcPr>
          <w:p>
            <w:pPr>
              <w:jc w:val="right"/>
              <w:ind w:right="659"/>
              <w:spacing w:after="0"/>
              <w:rPr>
                <w:sz w:val="20"/>
                <w:szCs w:val="20"/>
                <w:color w:val="auto"/>
              </w:rPr>
            </w:pPr>
            <w:r>
              <w:rPr>
                <w:rFonts w:ascii="Courier New" w:cs="Courier New" w:eastAsia="Courier New" w:hAnsi="Courier New"/>
                <w:sz w:val="16"/>
                <w:szCs w:val="16"/>
                <w:color w:val="auto"/>
              </w:rPr>
              <w:t>1.00%</w:t>
            </w:r>
          </w:p>
        </w:tc>
        <w:tc>
          <w:tcPr>
            <w:tcW w:w="1400" w:type="dxa"/>
            <w:vAlign w:val="bottom"/>
          </w:tcPr>
          <w:p>
            <w:pPr>
              <w:jc w:val="right"/>
              <w:spacing w:after="0"/>
              <w:rPr>
                <w:sz w:val="20"/>
                <w:szCs w:val="20"/>
                <w:color w:val="auto"/>
              </w:rPr>
            </w:pPr>
            <w:r>
              <w:rPr>
                <w:rFonts w:ascii="Courier New" w:cs="Courier New" w:eastAsia="Courier New" w:hAnsi="Courier New"/>
                <w:sz w:val="16"/>
                <w:szCs w:val="16"/>
                <w:color w:val="auto"/>
              </w:rPr>
              <w:t>23,566</w:t>
            </w:r>
          </w:p>
        </w:tc>
      </w:tr>
      <w:tr>
        <w:trPr>
          <w:trHeight w:val="373"/>
        </w:trPr>
        <w:tc>
          <w:tcPr>
            <w:tcW w:w="4980" w:type="dxa"/>
            <w:vAlign w:val="bottom"/>
            <w:gridSpan w:val="2"/>
          </w:tcPr>
          <w:p>
            <w:pPr>
              <w:spacing w:after="0"/>
              <w:rPr>
                <w:sz w:val="20"/>
                <w:szCs w:val="20"/>
                <w:color w:val="auto"/>
              </w:rPr>
            </w:pPr>
            <w:r>
              <w:rPr>
                <w:rFonts w:ascii="Courier New" w:cs="Courier New" w:eastAsia="Courier New" w:hAnsi="Courier New"/>
                <w:sz w:val="16"/>
                <w:szCs w:val="16"/>
                <w:color w:val="auto"/>
              </w:rPr>
              <w:t>Merrill Lynch, Pierce, Fenner &amp; Smith, Inc.</w:t>
            </w:r>
          </w:p>
        </w:tc>
        <w:tc>
          <w:tcPr>
            <w:tcW w:w="78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186"/>
        </w:trPr>
        <w:tc>
          <w:tcPr>
            <w:tcW w:w="4980" w:type="dxa"/>
            <w:vAlign w:val="bottom"/>
            <w:gridSpan w:val="2"/>
          </w:tcPr>
          <w:p>
            <w:pPr>
              <w:spacing w:after="0"/>
              <w:rPr>
                <w:sz w:val="20"/>
                <w:szCs w:val="20"/>
                <w:color w:val="auto"/>
              </w:rPr>
            </w:pPr>
            <w:r>
              <w:rPr>
                <w:rFonts w:ascii="Courier New" w:cs="Courier New" w:eastAsia="Courier New" w:hAnsi="Courier New"/>
                <w:sz w:val="16"/>
                <w:szCs w:val="16"/>
                <w:color w:val="auto"/>
              </w:rPr>
              <w:t>4 Corporate Place</w:t>
            </w:r>
          </w:p>
        </w:tc>
        <w:tc>
          <w:tcPr>
            <w:tcW w:w="78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1400" w:type="dxa"/>
            <w:vAlign w:val="bottom"/>
          </w:tcPr>
          <w:p>
            <w:pPr>
              <w:spacing w:after="0"/>
              <w:rPr>
                <w:sz w:val="16"/>
                <w:szCs w:val="16"/>
                <w:color w:val="auto"/>
              </w:rPr>
            </w:pPr>
          </w:p>
        </w:tc>
      </w:tr>
      <w:tr>
        <w:trPr>
          <w:trHeight w:val="186"/>
        </w:trPr>
        <w:tc>
          <w:tcPr>
            <w:tcW w:w="4980" w:type="dxa"/>
            <w:vAlign w:val="bottom"/>
            <w:gridSpan w:val="2"/>
          </w:tcPr>
          <w:p>
            <w:pPr>
              <w:spacing w:after="0"/>
              <w:rPr>
                <w:sz w:val="20"/>
                <w:szCs w:val="20"/>
                <w:color w:val="auto"/>
              </w:rPr>
            </w:pPr>
            <w:r>
              <w:rPr>
                <w:rFonts w:ascii="Courier New" w:cs="Courier New" w:eastAsia="Courier New" w:hAnsi="Courier New"/>
                <w:sz w:val="16"/>
                <w:szCs w:val="16"/>
                <w:color w:val="auto"/>
              </w:rPr>
              <w:t>Piscataway, New Jersey 08855.................</w:t>
            </w:r>
          </w:p>
        </w:tc>
        <w:tc>
          <w:tcPr>
            <w:tcW w:w="7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660" w:type="dxa"/>
            <w:vAlign w:val="bottom"/>
          </w:tcPr>
          <w:p>
            <w:pPr>
              <w:jc w:val="right"/>
              <w:ind w:right="559"/>
              <w:spacing w:after="0"/>
              <w:rPr>
                <w:sz w:val="20"/>
                <w:szCs w:val="20"/>
                <w:color w:val="auto"/>
              </w:rPr>
            </w:pPr>
            <w:r>
              <w:rPr>
                <w:rFonts w:ascii="Courier New" w:cs="Courier New" w:eastAsia="Courier New" w:hAnsi="Courier New"/>
                <w:sz w:val="16"/>
                <w:szCs w:val="16"/>
                <w:color w:val="auto"/>
              </w:rPr>
              <w:t>9,798,000</w:t>
            </w:r>
          </w:p>
        </w:tc>
        <w:tc>
          <w:tcPr>
            <w:tcW w:w="1840" w:type="dxa"/>
            <w:vAlign w:val="bottom"/>
          </w:tcPr>
          <w:p>
            <w:pPr>
              <w:jc w:val="right"/>
              <w:ind w:right="659"/>
              <w:spacing w:after="0"/>
              <w:rPr>
                <w:sz w:val="20"/>
                <w:szCs w:val="20"/>
                <w:color w:val="auto"/>
              </w:rPr>
            </w:pPr>
            <w:r>
              <w:rPr>
                <w:rFonts w:ascii="Courier New" w:cs="Courier New" w:eastAsia="Courier New" w:hAnsi="Courier New"/>
                <w:sz w:val="16"/>
                <w:szCs w:val="16"/>
                <w:color w:val="auto"/>
              </w:rPr>
              <w:t>5.68%</w:t>
            </w:r>
          </w:p>
        </w:tc>
        <w:tc>
          <w:tcPr>
            <w:tcW w:w="1400" w:type="dxa"/>
            <w:vAlign w:val="bottom"/>
          </w:tcPr>
          <w:p>
            <w:pPr>
              <w:jc w:val="right"/>
              <w:spacing w:after="0"/>
              <w:rPr>
                <w:sz w:val="20"/>
                <w:szCs w:val="20"/>
                <w:color w:val="auto"/>
              </w:rPr>
            </w:pPr>
            <w:r>
              <w:rPr>
                <w:rFonts w:ascii="Courier New" w:cs="Courier New" w:eastAsia="Courier New" w:hAnsi="Courier New"/>
                <w:sz w:val="16"/>
                <w:szCs w:val="16"/>
                <w:color w:val="auto"/>
              </w:rPr>
              <w:t>133,852</w:t>
            </w:r>
          </w:p>
        </w:tc>
      </w:tr>
      <w:tr>
        <w:trPr>
          <w:trHeight w:val="745"/>
        </w:trPr>
        <w:tc>
          <w:tcPr>
            <w:tcW w:w="1360" w:type="dxa"/>
            <w:vAlign w:val="bottom"/>
          </w:tcPr>
          <w:p>
            <w:pPr>
              <w:spacing w:after="0"/>
              <w:rPr>
                <w:sz w:val="24"/>
                <w:szCs w:val="24"/>
                <w:color w:val="auto"/>
              </w:rPr>
            </w:pPr>
          </w:p>
        </w:tc>
        <w:tc>
          <w:tcPr>
            <w:tcW w:w="3620" w:type="dxa"/>
            <w:vAlign w:val="bottom"/>
          </w:tcPr>
          <w:p>
            <w:pPr>
              <w:ind w:left="2420"/>
              <w:spacing w:after="0"/>
              <w:rPr>
                <w:sz w:val="20"/>
                <w:szCs w:val="20"/>
                <w:color w:val="auto"/>
              </w:rPr>
            </w:pPr>
            <w:r>
              <w:rPr>
                <w:rFonts w:ascii="Courier New" w:cs="Courier New" w:eastAsia="Courier New" w:hAnsi="Courier New"/>
                <w:sz w:val="16"/>
                <w:szCs w:val="16"/>
                <w:color w:val="auto"/>
              </w:rPr>
              <w:t>38</w:t>
            </w:r>
          </w:p>
        </w:tc>
        <w:tc>
          <w:tcPr>
            <w:tcW w:w="78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1400" w:type="dxa"/>
            <w:vAlign w:val="bottom"/>
          </w:tcPr>
          <w:p>
            <w:pPr>
              <w:spacing w:after="0"/>
              <w:rPr>
                <w:sz w:val="24"/>
                <w:szCs w:val="24"/>
                <w:color w:val="auto"/>
              </w:rPr>
            </w:pPr>
          </w:p>
        </w:tc>
      </w:tr>
    </w:tbl>
    <w:p>
      <w:pPr>
        <w:sectPr>
          <w:pgSz w:w="11900" w:h="16838" w:orient="portrait"/>
          <w:cols w:equalWidth="0" w:num="1">
            <w:col w:w="10660"/>
          </w:cols>
          <w:pgMar w:left="240" w:top="303" w:right="999" w:bottom="1440" w:gutter="0" w:footer="0" w:header="0"/>
        </w:sectPr>
      </w:pPr>
    </w:p>
    <w:bookmarkStart w:id="44" w:name="page45"/>
    <w:bookmarkEnd w:id="4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3780" w:type="dxa"/>
            <w:vAlign w:val="bottom"/>
          </w:tcPr>
          <w:p>
            <w:pPr>
              <w:ind w:left="300"/>
              <w:spacing w:after="0"/>
              <w:rPr>
                <w:sz w:val="20"/>
                <w:szCs w:val="20"/>
                <w:color w:val="auto"/>
              </w:rPr>
            </w:pPr>
            <w:r>
              <w:rPr>
                <w:rFonts w:ascii="Courier New" w:cs="Courier New" w:eastAsia="Courier New" w:hAnsi="Courier New"/>
                <w:sz w:val="16"/>
                <w:szCs w:val="16"/>
                <w:color w:val="auto"/>
              </w:rPr>
              <w:t>39</w:t>
            </w:r>
          </w:p>
        </w:tc>
        <w:tc>
          <w:tcPr>
            <w:tcW w:w="194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1500" w:type="dxa"/>
            <w:vAlign w:val="bottom"/>
          </w:tcPr>
          <w:p>
            <w:pPr>
              <w:spacing w:after="0"/>
              <w:rPr>
                <w:sz w:val="15"/>
                <w:szCs w:val="15"/>
                <w:color w:val="auto"/>
              </w:rPr>
            </w:pPr>
          </w:p>
        </w:tc>
      </w:tr>
      <w:tr>
        <w:trPr>
          <w:trHeight w:val="745"/>
        </w:trPr>
        <w:tc>
          <w:tcPr>
            <w:tcW w:w="3780" w:type="dxa"/>
            <w:vAlign w:val="bottom"/>
          </w:tcPr>
          <w:p>
            <w:pPr>
              <w:spacing w:after="0"/>
              <w:rPr>
                <w:sz w:val="20"/>
                <w:szCs w:val="20"/>
                <w:color w:val="auto"/>
              </w:rPr>
            </w:pPr>
            <w:r>
              <w:rPr>
                <w:rFonts w:ascii="Courier New" w:cs="Courier New" w:eastAsia="Courier New" w:hAnsi="Courier New"/>
                <w:sz w:val="16"/>
                <w:szCs w:val="16"/>
                <w:color w:val="auto"/>
              </w:rPr>
              <w:t>Morgan Stanley &amp; Co. Incorporated</w:t>
            </w:r>
          </w:p>
        </w:tc>
        <w:tc>
          <w:tcPr>
            <w:tcW w:w="19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1500" w:type="dxa"/>
            <w:vAlign w:val="bottom"/>
          </w:tcPr>
          <w:p>
            <w:pPr>
              <w:spacing w:after="0"/>
              <w:rPr>
                <w:sz w:val="24"/>
                <w:szCs w:val="24"/>
                <w:color w:val="auto"/>
              </w:rPr>
            </w:pPr>
          </w:p>
        </w:tc>
      </w:tr>
      <w:tr>
        <w:trPr>
          <w:trHeight w:val="186"/>
        </w:trPr>
        <w:tc>
          <w:tcPr>
            <w:tcW w:w="3780" w:type="dxa"/>
            <w:vAlign w:val="bottom"/>
          </w:tcPr>
          <w:p>
            <w:pPr>
              <w:spacing w:after="0"/>
              <w:rPr>
                <w:sz w:val="20"/>
                <w:szCs w:val="20"/>
                <w:color w:val="auto"/>
              </w:rPr>
            </w:pPr>
            <w:r>
              <w:rPr>
                <w:rFonts w:ascii="Courier New" w:cs="Courier New" w:eastAsia="Courier New" w:hAnsi="Courier New"/>
                <w:sz w:val="16"/>
                <w:szCs w:val="16"/>
                <w:color w:val="auto"/>
              </w:rPr>
              <w:t>One Pierrepont Plaza 7th Floor</w:t>
            </w:r>
          </w:p>
        </w:tc>
        <w:tc>
          <w:tcPr>
            <w:tcW w:w="194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1500" w:type="dxa"/>
            <w:vAlign w:val="bottom"/>
          </w:tcPr>
          <w:p>
            <w:pPr>
              <w:spacing w:after="0"/>
              <w:rPr>
                <w:sz w:val="16"/>
                <w:szCs w:val="16"/>
                <w:color w:val="auto"/>
              </w:rPr>
            </w:pPr>
          </w:p>
        </w:tc>
      </w:tr>
      <w:tr>
        <w:trPr>
          <w:trHeight w:val="186"/>
        </w:trPr>
        <w:tc>
          <w:tcPr>
            <w:tcW w:w="3780" w:type="dxa"/>
            <w:vAlign w:val="bottom"/>
          </w:tcPr>
          <w:p>
            <w:pPr>
              <w:spacing w:after="0"/>
              <w:rPr>
                <w:sz w:val="20"/>
                <w:szCs w:val="20"/>
                <w:color w:val="auto"/>
              </w:rPr>
            </w:pPr>
            <w:r>
              <w:rPr>
                <w:rFonts w:ascii="Courier New" w:cs="Courier New" w:eastAsia="Courier New" w:hAnsi="Courier New"/>
                <w:sz w:val="16"/>
                <w:szCs w:val="16"/>
                <w:color w:val="auto"/>
                <w:w w:val="87"/>
              </w:rPr>
              <w:t>Brooklyn, New York 11201.....................</w:t>
            </w:r>
          </w:p>
        </w:tc>
        <w:tc>
          <w:tcPr>
            <w:tcW w:w="19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600" w:type="dxa"/>
            <w:vAlign w:val="bottom"/>
          </w:tcPr>
          <w:p>
            <w:pPr>
              <w:jc w:val="right"/>
              <w:ind w:right="459"/>
              <w:spacing w:after="0"/>
              <w:rPr>
                <w:sz w:val="20"/>
                <w:szCs w:val="20"/>
                <w:color w:val="auto"/>
              </w:rPr>
            </w:pPr>
            <w:r>
              <w:rPr>
                <w:rFonts w:ascii="Courier New" w:cs="Courier New" w:eastAsia="Courier New" w:hAnsi="Courier New"/>
                <w:sz w:val="16"/>
                <w:szCs w:val="16"/>
                <w:color w:val="auto"/>
              </w:rPr>
              <w:t>24,940,000</w:t>
            </w:r>
          </w:p>
        </w:tc>
        <w:tc>
          <w:tcPr>
            <w:tcW w:w="1840" w:type="dxa"/>
            <w:vAlign w:val="bottom"/>
          </w:tcPr>
          <w:p>
            <w:pPr>
              <w:jc w:val="right"/>
              <w:ind w:right="559"/>
              <w:spacing w:after="0"/>
              <w:rPr>
                <w:sz w:val="20"/>
                <w:szCs w:val="20"/>
                <w:color w:val="auto"/>
              </w:rPr>
            </w:pPr>
            <w:r>
              <w:rPr>
                <w:rFonts w:ascii="Courier New" w:cs="Courier New" w:eastAsia="Courier New" w:hAnsi="Courier New"/>
                <w:sz w:val="16"/>
                <w:szCs w:val="16"/>
                <w:color w:val="auto"/>
              </w:rPr>
              <w:t>14.46%</w:t>
            </w:r>
          </w:p>
        </w:tc>
        <w:tc>
          <w:tcPr>
            <w:tcW w:w="1500" w:type="dxa"/>
            <w:vAlign w:val="bottom"/>
          </w:tcPr>
          <w:p>
            <w:pPr>
              <w:jc w:val="right"/>
              <w:spacing w:after="0"/>
              <w:rPr>
                <w:sz w:val="20"/>
                <w:szCs w:val="20"/>
                <w:color w:val="auto"/>
              </w:rPr>
            </w:pPr>
            <w:r>
              <w:rPr>
                <w:rFonts w:ascii="Courier New" w:cs="Courier New" w:eastAsia="Courier New" w:hAnsi="Courier New"/>
                <w:sz w:val="16"/>
                <w:szCs w:val="16"/>
                <w:color w:val="auto"/>
              </w:rPr>
              <w:t>340,710</w:t>
            </w:r>
          </w:p>
        </w:tc>
      </w:tr>
      <w:tr>
        <w:trPr>
          <w:trHeight w:val="373"/>
        </w:trPr>
        <w:tc>
          <w:tcPr>
            <w:tcW w:w="3780" w:type="dxa"/>
            <w:vAlign w:val="bottom"/>
          </w:tcPr>
          <w:p>
            <w:pPr>
              <w:spacing w:after="0"/>
              <w:rPr>
                <w:sz w:val="20"/>
                <w:szCs w:val="20"/>
                <w:color w:val="auto"/>
              </w:rPr>
            </w:pPr>
            <w:r>
              <w:rPr>
                <w:rFonts w:ascii="Courier New" w:cs="Courier New" w:eastAsia="Courier New" w:hAnsi="Courier New"/>
                <w:sz w:val="16"/>
                <w:szCs w:val="16"/>
                <w:color w:val="auto"/>
              </w:rPr>
              <w:t>The Northern Trust Company</w:t>
            </w:r>
          </w:p>
        </w:tc>
        <w:tc>
          <w:tcPr>
            <w:tcW w:w="19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1500" w:type="dxa"/>
            <w:vAlign w:val="bottom"/>
          </w:tcPr>
          <w:p>
            <w:pPr>
              <w:spacing w:after="0"/>
              <w:rPr>
                <w:sz w:val="24"/>
                <w:szCs w:val="24"/>
                <w:color w:val="auto"/>
              </w:rPr>
            </w:pPr>
          </w:p>
        </w:tc>
      </w:tr>
      <w:tr>
        <w:trPr>
          <w:trHeight w:val="186"/>
        </w:trPr>
        <w:tc>
          <w:tcPr>
            <w:tcW w:w="3780" w:type="dxa"/>
            <w:vAlign w:val="bottom"/>
          </w:tcPr>
          <w:p>
            <w:pPr>
              <w:spacing w:after="0"/>
              <w:rPr>
                <w:sz w:val="20"/>
                <w:szCs w:val="20"/>
                <w:color w:val="auto"/>
              </w:rPr>
            </w:pPr>
            <w:r>
              <w:rPr>
                <w:rFonts w:ascii="Courier New" w:cs="Courier New" w:eastAsia="Courier New" w:hAnsi="Courier New"/>
                <w:sz w:val="16"/>
                <w:szCs w:val="16"/>
                <w:color w:val="auto"/>
              </w:rPr>
              <w:t>801 South Canal Street</w:t>
            </w:r>
          </w:p>
        </w:tc>
        <w:tc>
          <w:tcPr>
            <w:tcW w:w="194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1500" w:type="dxa"/>
            <w:vAlign w:val="bottom"/>
          </w:tcPr>
          <w:p>
            <w:pPr>
              <w:spacing w:after="0"/>
              <w:rPr>
                <w:sz w:val="16"/>
                <w:szCs w:val="16"/>
                <w:color w:val="auto"/>
              </w:rPr>
            </w:pPr>
          </w:p>
        </w:tc>
      </w:tr>
      <w:tr>
        <w:trPr>
          <w:trHeight w:val="186"/>
        </w:trPr>
        <w:tc>
          <w:tcPr>
            <w:tcW w:w="3780" w:type="dxa"/>
            <w:vAlign w:val="bottom"/>
          </w:tcPr>
          <w:p>
            <w:pPr>
              <w:spacing w:after="0"/>
              <w:rPr>
                <w:sz w:val="20"/>
                <w:szCs w:val="20"/>
                <w:color w:val="auto"/>
              </w:rPr>
            </w:pPr>
            <w:r>
              <w:rPr>
                <w:rFonts w:ascii="Courier New" w:cs="Courier New" w:eastAsia="Courier New" w:hAnsi="Courier New"/>
                <w:sz w:val="16"/>
                <w:szCs w:val="16"/>
                <w:color w:val="auto"/>
                <w:w w:val="87"/>
              </w:rPr>
              <w:t>Chicago, Illinois 60607......................</w:t>
            </w:r>
          </w:p>
        </w:tc>
        <w:tc>
          <w:tcPr>
            <w:tcW w:w="19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600" w:type="dxa"/>
            <w:vAlign w:val="bottom"/>
          </w:tcPr>
          <w:p>
            <w:pPr>
              <w:jc w:val="right"/>
              <w:ind w:right="459"/>
              <w:spacing w:after="0"/>
              <w:rPr>
                <w:sz w:val="20"/>
                <w:szCs w:val="20"/>
                <w:color w:val="auto"/>
              </w:rPr>
            </w:pPr>
            <w:r>
              <w:rPr>
                <w:rFonts w:ascii="Courier New" w:cs="Courier New" w:eastAsia="Courier New" w:hAnsi="Courier New"/>
                <w:sz w:val="16"/>
                <w:szCs w:val="16"/>
                <w:color w:val="auto"/>
              </w:rPr>
              <w:t>1,009,000</w:t>
            </w:r>
          </w:p>
        </w:tc>
        <w:tc>
          <w:tcPr>
            <w:tcW w:w="1840" w:type="dxa"/>
            <w:vAlign w:val="bottom"/>
          </w:tcPr>
          <w:p>
            <w:pPr>
              <w:jc w:val="right"/>
              <w:ind w:right="559"/>
              <w:spacing w:after="0"/>
              <w:rPr>
                <w:sz w:val="20"/>
                <w:szCs w:val="20"/>
                <w:color w:val="auto"/>
              </w:rPr>
            </w:pPr>
            <w:r>
              <w:rPr>
                <w:rFonts w:ascii="Courier New" w:cs="Courier New" w:eastAsia="Courier New" w:hAnsi="Courier New"/>
                <w:sz w:val="16"/>
                <w:szCs w:val="16"/>
                <w:color w:val="auto"/>
              </w:rPr>
              <w:t>0.58%</w:t>
            </w:r>
          </w:p>
        </w:tc>
        <w:tc>
          <w:tcPr>
            <w:tcW w:w="1500" w:type="dxa"/>
            <w:vAlign w:val="bottom"/>
          </w:tcPr>
          <w:p>
            <w:pPr>
              <w:jc w:val="right"/>
              <w:spacing w:after="0"/>
              <w:rPr>
                <w:sz w:val="20"/>
                <w:szCs w:val="20"/>
                <w:color w:val="auto"/>
              </w:rPr>
            </w:pPr>
            <w:r>
              <w:rPr>
                <w:rFonts w:ascii="Courier New" w:cs="Courier New" w:eastAsia="Courier New" w:hAnsi="Courier New"/>
                <w:sz w:val="16"/>
                <w:szCs w:val="16"/>
                <w:color w:val="auto"/>
              </w:rPr>
              <w:t>13,784</w:t>
            </w:r>
          </w:p>
        </w:tc>
      </w:tr>
      <w:tr>
        <w:trPr>
          <w:trHeight w:val="373"/>
        </w:trPr>
        <w:tc>
          <w:tcPr>
            <w:tcW w:w="3780" w:type="dxa"/>
            <w:vAlign w:val="bottom"/>
          </w:tcPr>
          <w:p>
            <w:pPr>
              <w:spacing w:after="0"/>
              <w:rPr>
                <w:sz w:val="20"/>
                <w:szCs w:val="20"/>
                <w:color w:val="auto"/>
              </w:rPr>
            </w:pPr>
            <w:r>
              <w:rPr>
                <w:rFonts w:ascii="Courier New" w:cs="Courier New" w:eastAsia="Courier New" w:hAnsi="Courier New"/>
                <w:sz w:val="16"/>
                <w:szCs w:val="16"/>
                <w:color w:val="auto"/>
              </w:rPr>
              <w:t>Paine Webber Incorporated</w:t>
            </w:r>
          </w:p>
        </w:tc>
        <w:tc>
          <w:tcPr>
            <w:tcW w:w="19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1500" w:type="dxa"/>
            <w:vAlign w:val="bottom"/>
          </w:tcPr>
          <w:p>
            <w:pPr>
              <w:spacing w:after="0"/>
              <w:rPr>
                <w:sz w:val="24"/>
                <w:szCs w:val="24"/>
                <w:color w:val="auto"/>
              </w:rPr>
            </w:pPr>
          </w:p>
        </w:tc>
      </w:tr>
      <w:tr>
        <w:trPr>
          <w:trHeight w:val="186"/>
        </w:trPr>
        <w:tc>
          <w:tcPr>
            <w:tcW w:w="3780" w:type="dxa"/>
            <w:vAlign w:val="bottom"/>
          </w:tcPr>
          <w:p>
            <w:pPr>
              <w:spacing w:after="0"/>
              <w:rPr>
                <w:sz w:val="20"/>
                <w:szCs w:val="20"/>
                <w:color w:val="auto"/>
              </w:rPr>
            </w:pPr>
            <w:r>
              <w:rPr>
                <w:rFonts w:ascii="Courier New" w:cs="Courier New" w:eastAsia="Courier New" w:hAnsi="Courier New"/>
                <w:sz w:val="16"/>
                <w:szCs w:val="16"/>
                <w:color w:val="auto"/>
              </w:rPr>
              <w:t>1000 Harbor Blvd.</w:t>
            </w:r>
          </w:p>
        </w:tc>
        <w:tc>
          <w:tcPr>
            <w:tcW w:w="194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1500" w:type="dxa"/>
            <w:vAlign w:val="bottom"/>
          </w:tcPr>
          <w:p>
            <w:pPr>
              <w:spacing w:after="0"/>
              <w:rPr>
                <w:sz w:val="16"/>
                <w:szCs w:val="16"/>
                <w:color w:val="auto"/>
              </w:rPr>
            </w:pPr>
          </w:p>
        </w:tc>
      </w:tr>
      <w:tr>
        <w:trPr>
          <w:trHeight w:val="186"/>
        </w:trPr>
        <w:tc>
          <w:tcPr>
            <w:tcW w:w="3780" w:type="dxa"/>
            <w:vAlign w:val="bottom"/>
          </w:tcPr>
          <w:p>
            <w:pPr>
              <w:spacing w:after="0"/>
              <w:rPr>
                <w:sz w:val="20"/>
                <w:szCs w:val="20"/>
                <w:color w:val="auto"/>
              </w:rPr>
            </w:pPr>
            <w:r>
              <w:rPr>
                <w:rFonts w:ascii="Courier New" w:cs="Courier New" w:eastAsia="Courier New" w:hAnsi="Courier New"/>
                <w:sz w:val="16"/>
                <w:szCs w:val="16"/>
                <w:color w:val="auto"/>
                <w:w w:val="87"/>
              </w:rPr>
              <w:t>Weehawken, New Jersey 07087..................</w:t>
            </w:r>
          </w:p>
        </w:tc>
        <w:tc>
          <w:tcPr>
            <w:tcW w:w="19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600" w:type="dxa"/>
            <w:vAlign w:val="bottom"/>
          </w:tcPr>
          <w:p>
            <w:pPr>
              <w:jc w:val="right"/>
              <w:ind w:right="459"/>
              <w:spacing w:after="0"/>
              <w:rPr>
                <w:sz w:val="20"/>
                <w:szCs w:val="20"/>
                <w:color w:val="auto"/>
              </w:rPr>
            </w:pPr>
            <w:r>
              <w:rPr>
                <w:rFonts w:ascii="Courier New" w:cs="Courier New" w:eastAsia="Courier New" w:hAnsi="Courier New"/>
                <w:sz w:val="16"/>
                <w:szCs w:val="16"/>
                <w:color w:val="auto"/>
              </w:rPr>
              <w:t>2,876,000</w:t>
            </w:r>
          </w:p>
        </w:tc>
        <w:tc>
          <w:tcPr>
            <w:tcW w:w="1840" w:type="dxa"/>
            <w:vAlign w:val="bottom"/>
          </w:tcPr>
          <w:p>
            <w:pPr>
              <w:jc w:val="right"/>
              <w:ind w:right="559"/>
              <w:spacing w:after="0"/>
              <w:rPr>
                <w:sz w:val="20"/>
                <w:szCs w:val="20"/>
                <w:color w:val="auto"/>
              </w:rPr>
            </w:pPr>
            <w:r>
              <w:rPr>
                <w:rFonts w:ascii="Courier New" w:cs="Courier New" w:eastAsia="Courier New" w:hAnsi="Courier New"/>
                <w:sz w:val="16"/>
                <w:szCs w:val="16"/>
                <w:color w:val="auto"/>
              </w:rPr>
              <w:t>1.67%</w:t>
            </w:r>
          </w:p>
        </w:tc>
        <w:tc>
          <w:tcPr>
            <w:tcW w:w="1500" w:type="dxa"/>
            <w:vAlign w:val="bottom"/>
          </w:tcPr>
          <w:p>
            <w:pPr>
              <w:jc w:val="right"/>
              <w:spacing w:after="0"/>
              <w:rPr>
                <w:sz w:val="20"/>
                <w:szCs w:val="20"/>
                <w:color w:val="auto"/>
              </w:rPr>
            </w:pPr>
            <w:r>
              <w:rPr>
                <w:rFonts w:ascii="Courier New" w:cs="Courier New" w:eastAsia="Courier New" w:hAnsi="Courier New"/>
                <w:sz w:val="16"/>
                <w:szCs w:val="16"/>
                <w:color w:val="auto"/>
              </w:rPr>
              <w:t>39,290</w:t>
            </w:r>
          </w:p>
        </w:tc>
      </w:tr>
      <w:tr>
        <w:trPr>
          <w:trHeight w:val="373"/>
        </w:trPr>
        <w:tc>
          <w:tcPr>
            <w:tcW w:w="3780" w:type="dxa"/>
            <w:vAlign w:val="bottom"/>
          </w:tcPr>
          <w:p>
            <w:pPr>
              <w:spacing w:after="0"/>
              <w:rPr>
                <w:sz w:val="20"/>
                <w:szCs w:val="20"/>
                <w:color w:val="auto"/>
              </w:rPr>
            </w:pPr>
            <w:r>
              <w:rPr>
                <w:rFonts w:ascii="Courier New" w:cs="Courier New" w:eastAsia="Courier New" w:hAnsi="Courier New"/>
                <w:sz w:val="16"/>
                <w:szCs w:val="16"/>
                <w:color w:val="auto"/>
              </w:rPr>
              <w:t>Salomon Smith Barney Inc.</w:t>
            </w:r>
          </w:p>
        </w:tc>
        <w:tc>
          <w:tcPr>
            <w:tcW w:w="19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1500" w:type="dxa"/>
            <w:vAlign w:val="bottom"/>
          </w:tcPr>
          <w:p>
            <w:pPr>
              <w:spacing w:after="0"/>
              <w:rPr>
                <w:sz w:val="24"/>
                <w:szCs w:val="24"/>
                <w:color w:val="auto"/>
              </w:rPr>
            </w:pPr>
          </w:p>
        </w:tc>
      </w:tr>
      <w:tr>
        <w:trPr>
          <w:trHeight w:val="186"/>
        </w:trPr>
        <w:tc>
          <w:tcPr>
            <w:tcW w:w="3780" w:type="dxa"/>
            <w:vAlign w:val="bottom"/>
          </w:tcPr>
          <w:p>
            <w:pPr>
              <w:spacing w:after="0"/>
              <w:rPr>
                <w:sz w:val="20"/>
                <w:szCs w:val="20"/>
                <w:color w:val="auto"/>
              </w:rPr>
            </w:pPr>
            <w:r>
              <w:rPr>
                <w:rFonts w:ascii="Courier New" w:cs="Courier New" w:eastAsia="Courier New" w:hAnsi="Courier New"/>
                <w:sz w:val="16"/>
                <w:szCs w:val="16"/>
                <w:color w:val="auto"/>
              </w:rPr>
              <w:t>333 West 34th Street</w:t>
            </w:r>
          </w:p>
        </w:tc>
        <w:tc>
          <w:tcPr>
            <w:tcW w:w="194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1500" w:type="dxa"/>
            <w:vAlign w:val="bottom"/>
          </w:tcPr>
          <w:p>
            <w:pPr>
              <w:spacing w:after="0"/>
              <w:rPr>
                <w:sz w:val="16"/>
                <w:szCs w:val="16"/>
                <w:color w:val="auto"/>
              </w:rPr>
            </w:pPr>
          </w:p>
        </w:tc>
      </w:tr>
      <w:tr>
        <w:trPr>
          <w:trHeight w:val="186"/>
        </w:trPr>
        <w:tc>
          <w:tcPr>
            <w:tcW w:w="3780" w:type="dxa"/>
            <w:vAlign w:val="bottom"/>
          </w:tcPr>
          <w:p>
            <w:pPr>
              <w:spacing w:after="0"/>
              <w:rPr>
                <w:sz w:val="20"/>
                <w:szCs w:val="20"/>
                <w:color w:val="auto"/>
              </w:rPr>
            </w:pPr>
            <w:r>
              <w:rPr>
                <w:rFonts w:ascii="Courier New" w:cs="Courier New" w:eastAsia="Courier New" w:hAnsi="Courier New"/>
                <w:sz w:val="16"/>
                <w:szCs w:val="16"/>
                <w:color w:val="auto"/>
                <w:w w:val="87"/>
              </w:rPr>
              <w:t>New York, New York 10001.....................</w:t>
            </w:r>
          </w:p>
        </w:tc>
        <w:tc>
          <w:tcPr>
            <w:tcW w:w="19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600" w:type="dxa"/>
            <w:vAlign w:val="bottom"/>
          </w:tcPr>
          <w:p>
            <w:pPr>
              <w:jc w:val="right"/>
              <w:ind w:right="459"/>
              <w:spacing w:after="0"/>
              <w:rPr>
                <w:sz w:val="20"/>
                <w:szCs w:val="20"/>
                <w:color w:val="auto"/>
              </w:rPr>
            </w:pPr>
            <w:r>
              <w:rPr>
                <w:rFonts w:ascii="Courier New" w:cs="Courier New" w:eastAsia="Courier New" w:hAnsi="Courier New"/>
                <w:sz w:val="16"/>
                <w:szCs w:val="16"/>
                <w:color w:val="auto"/>
              </w:rPr>
              <w:t>914,000</w:t>
            </w:r>
          </w:p>
        </w:tc>
        <w:tc>
          <w:tcPr>
            <w:tcW w:w="1840" w:type="dxa"/>
            <w:vAlign w:val="bottom"/>
          </w:tcPr>
          <w:p>
            <w:pPr>
              <w:jc w:val="right"/>
              <w:ind w:right="559"/>
              <w:spacing w:after="0"/>
              <w:rPr>
                <w:sz w:val="20"/>
                <w:szCs w:val="20"/>
                <w:color w:val="auto"/>
              </w:rPr>
            </w:pPr>
            <w:r>
              <w:rPr>
                <w:rFonts w:ascii="Courier New" w:cs="Courier New" w:eastAsia="Courier New" w:hAnsi="Courier New"/>
                <w:sz w:val="16"/>
                <w:szCs w:val="16"/>
                <w:color w:val="auto"/>
              </w:rPr>
              <w:t>0.53%</w:t>
            </w:r>
          </w:p>
        </w:tc>
        <w:tc>
          <w:tcPr>
            <w:tcW w:w="1500" w:type="dxa"/>
            <w:vAlign w:val="bottom"/>
          </w:tcPr>
          <w:p>
            <w:pPr>
              <w:jc w:val="right"/>
              <w:spacing w:after="0"/>
              <w:rPr>
                <w:sz w:val="20"/>
                <w:szCs w:val="20"/>
                <w:color w:val="auto"/>
              </w:rPr>
            </w:pPr>
            <w:r>
              <w:rPr>
                <w:rFonts w:ascii="Courier New" w:cs="Courier New" w:eastAsia="Courier New" w:hAnsi="Courier New"/>
                <w:sz w:val="16"/>
                <w:szCs w:val="16"/>
                <w:color w:val="auto"/>
              </w:rPr>
              <w:t>12,486</w:t>
            </w:r>
          </w:p>
        </w:tc>
      </w:tr>
      <w:tr>
        <w:trPr>
          <w:trHeight w:val="373"/>
        </w:trPr>
        <w:tc>
          <w:tcPr>
            <w:tcW w:w="3780" w:type="dxa"/>
            <w:vAlign w:val="bottom"/>
          </w:tcPr>
          <w:p>
            <w:pPr>
              <w:spacing w:after="0"/>
              <w:rPr>
                <w:sz w:val="20"/>
                <w:szCs w:val="20"/>
                <w:color w:val="auto"/>
              </w:rPr>
            </w:pPr>
            <w:r>
              <w:rPr>
                <w:rFonts w:ascii="Courier New" w:cs="Courier New" w:eastAsia="Courier New" w:hAnsi="Courier New"/>
                <w:sz w:val="16"/>
                <w:szCs w:val="16"/>
                <w:color w:val="auto"/>
              </w:rPr>
              <w:t>State Street Bank and Trust Company</w:t>
            </w:r>
          </w:p>
        </w:tc>
        <w:tc>
          <w:tcPr>
            <w:tcW w:w="19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1500" w:type="dxa"/>
            <w:vAlign w:val="bottom"/>
          </w:tcPr>
          <w:p>
            <w:pPr>
              <w:spacing w:after="0"/>
              <w:rPr>
                <w:sz w:val="24"/>
                <w:szCs w:val="24"/>
                <w:color w:val="auto"/>
              </w:rPr>
            </w:pPr>
          </w:p>
        </w:tc>
      </w:tr>
      <w:tr>
        <w:trPr>
          <w:trHeight w:val="186"/>
        </w:trPr>
        <w:tc>
          <w:tcPr>
            <w:tcW w:w="3780" w:type="dxa"/>
            <w:vAlign w:val="bottom"/>
          </w:tcPr>
          <w:p>
            <w:pPr>
              <w:spacing w:after="0"/>
              <w:rPr>
                <w:sz w:val="20"/>
                <w:szCs w:val="20"/>
                <w:color w:val="auto"/>
              </w:rPr>
            </w:pPr>
            <w:r>
              <w:rPr>
                <w:rFonts w:ascii="Courier New" w:cs="Courier New" w:eastAsia="Courier New" w:hAnsi="Courier New"/>
                <w:sz w:val="16"/>
                <w:szCs w:val="16"/>
                <w:color w:val="auto"/>
              </w:rPr>
              <w:t>1776 Heritage Drive</w:t>
            </w:r>
          </w:p>
        </w:tc>
        <w:tc>
          <w:tcPr>
            <w:tcW w:w="194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1500" w:type="dxa"/>
            <w:vAlign w:val="bottom"/>
          </w:tcPr>
          <w:p>
            <w:pPr>
              <w:spacing w:after="0"/>
              <w:rPr>
                <w:sz w:val="16"/>
                <w:szCs w:val="16"/>
                <w:color w:val="auto"/>
              </w:rPr>
            </w:pPr>
          </w:p>
        </w:tc>
      </w:tr>
      <w:tr>
        <w:trPr>
          <w:trHeight w:val="186"/>
        </w:trPr>
        <w:tc>
          <w:tcPr>
            <w:tcW w:w="3780" w:type="dxa"/>
            <w:vAlign w:val="bottom"/>
          </w:tcPr>
          <w:p>
            <w:pPr>
              <w:spacing w:after="0"/>
              <w:rPr>
                <w:sz w:val="20"/>
                <w:szCs w:val="20"/>
                <w:color w:val="auto"/>
              </w:rPr>
            </w:pPr>
            <w:r>
              <w:rPr>
                <w:rFonts w:ascii="Courier New" w:cs="Courier New" w:eastAsia="Courier New" w:hAnsi="Courier New"/>
                <w:sz w:val="16"/>
                <w:szCs w:val="16"/>
                <w:color w:val="auto"/>
                <w:w w:val="87"/>
              </w:rPr>
              <w:t>North Quincy, Massachusetts 02171............</w:t>
            </w:r>
          </w:p>
        </w:tc>
        <w:tc>
          <w:tcPr>
            <w:tcW w:w="19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600" w:type="dxa"/>
            <w:vAlign w:val="bottom"/>
          </w:tcPr>
          <w:p>
            <w:pPr>
              <w:jc w:val="right"/>
              <w:ind w:right="459"/>
              <w:spacing w:after="0"/>
              <w:rPr>
                <w:sz w:val="20"/>
                <w:szCs w:val="20"/>
                <w:color w:val="auto"/>
              </w:rPr>
            </w:pPr>
            <w:r>
              <w:rPr>
                <w:rFonts w:ascii="Courier New" w:cs="Courier New" w:eastAsia="Courier New" w:hAnsi="Courier New"/>
                <w:sz w:val="16"/>
                <w:szCs w:val="16"/>
                <w:color w:val="auto"/>
              </w:rPr>
              <w:t>8,675,000</w:t>
            </w:r>
          </w:p>
        </w:tc>
        <w:tc>
          <w:tcPr>
            <w:tcW w:w="1840" w:type="dxa"/>
            <w:vAlign w:val="bottom"/>
          </w:tcPr>
          <w:p>
            <w:pPr>
              <w:jc w:val="right"/>
              <w:ind w:right="559"/>
              <w:spacing w:after="0"/>
              <w:rPr>
                <w:sz w:val="20"/>
                <w:szCs w:val="20"/>
                <w:color w:val="auto"/>
              </w:rPr>
            </w:pPr>
            <w:r>
              <w:rPr>
                <w:rFonts w:ascii="Courier New" w:cs="Courier New" w:eastAsia="Courier New" w:hAnsi="Courier New"/>
                <w:sz w:val="16"/>
                <w:szCs w:val="16"/>
                <w:color w:val="auto"/>
              </w:rPr>
              <w:t>5.03%</w:t>
            </w:r>
          </w:p>
        </w:tc>
        <w:tc>
          <w:tcPr>
            <w:tcW w:w="1500" w:type="dxa"/>
            <w:vAlign w:val="bottom"/>
          </w:tcPr>
          <w:p>
            <w:pPr>
              <w:jc w:val="right"/>
              <w:spacing w:after="0"/>
              <w:rPr>
                <w:sz w:val="20"/>
                <w:szCs w:val="20"/>
                <w:color w:val="auto"/>
              </w:rPr>
            </w:pPr>
            <w:r>
              <w:rPr>
                <w:rFonts w:ascii="Courier New" w:cs="Courier New" w:eastAsia="Courier New" w:hAnsi="Courier New"/>
                <w:sz w:val="16"/>
                <w:szCs w:val="16"/>
                <w:color w:val="auto"/>
              </w:rPr>
              <w:t>118,511</w:t>
            </w:r>
          </w:p>
        </w:tc>
      </w:tr>
      <w:tr>
        <w:trPr>
          <w:trHeight w:val="373"/>
        </w:trPr>
        <w:tc>
          <w:tcPr>
            <w:tcW w:w="3780" w:type="dxa"/>
            <w:vAlign w:val="bottom"/>
          </w:tcPr>
          <w:p>
            <w:pPr>
              <w:spacing w:after="0"/>
              <w:rPr>
                <w:sz w:val="20"/>
                <w:szCs w:val="20"/>
                <w:color w:val="auto"/>
              </w:rPr>
            </w:pPr>
            <w:r>
              <w:rPr>
                <w:rFonts w:ascii="Courier New" w:cs="Courier New" w:eastAsia="Courier New" w:hAnsi="Courier New"/>
                <w:sz w:val="16"/>
                <w:szCs w:val="16"/>
                <w:color w:val="auto"/>
              </w:rPr>
              <w:t>Warburg Dillon Read LLC</w:t>
            </w:r>
          </w:p>
        </w:tc>
        <w:tc>
          <w:tcPr>
            <w:tcW w:w="19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1500" w:type="dxa"/>
            <w:vAlign w:val="bottom"/>
          </w:tcPr>
          <w:p>
            <w:pPr>
              <w:spacing w:after="0"/>
              <w:rPr>
                <w:sz w:val="24"/>
                <w:szCs w:val="24"/>
                <w:color w:val="auto"/>
              </w:rPr>
            </w:pPr>
          </w:p>
        </w:tc>
      </w:tr>
      <w:tr>
        <w:trPr>
          <w:trHeight w:val="186"/>
        </w:trPr>
        <w:tc>
          <w:tcPr>
            <w:tcW w:w="3780" w:type="dxa"/>
            <w:vAlign w:val="bottom"/>
          </w:tcPr>
          <w:p>
            <w:pPr>
              <w:spacing w:after="0"/>
              <w:rPr>
                <w:sz w:val="20"/>
                <w:szCs w:val="20"/>
                <w:color w:val="auto"/>
              </w:rPr>
            </w:pPr>
            <w:r>
              <w:rPr>
                <w:rFonts w:ascii="Courier New" w:cs="Courier New" w:eastAsia="Courier New" w:hAnsi="Courier New"/>
                <w:sz w:val="16"/>
                <w:szCs w:val="16"/>
                <w:color w:val="auto"/>
              </w:rPr>
              <w:t>677 Washington Blvd.</w:t>
            </w:r>
          </w:p>
        </w:tc>
        <w:tc>
          <w:tcPr>
            <w:tcW w:w="194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1500" w:type="dxa"/>
            <w:vAlign w:val="bottom"/>
          </w:tcPr>
          <w:p>
            <w:pPr>
              <w:spacing w:after="0"/>
              <w:rPr>
                <w:sz w:val="16"/>
                <w:szCs w:val="16"/>
                <w:color w:val="auto"/>
              </w:rPr>
            </w:pPr>
          </w:p>
        </w:tc>
      </w:tr>
      <w:tr>
        <w:trPr>
          <w:trHeight w:val="186"/>
        </w:trPr>
        <w:tc>
          <w:tcPr>
            <w:tcW w:w="3780" w:type="dxa"/>
            <w:vAlign w:val="bottom"/>
          </w:tcPr>
          <w:p>
            <w:pPr>
              <w:spacing w:after="0"/>
              <w:rPr>
                <w:sz w:val="20"/>
                <w:szCs w:val="20"/>
                <w:color w:val="auto"/>
              </w:rPr>
            </w:pPr>
            <w:r>
              <w:rPr>
                <w:rFonts w:ascii="Courier New" w:cs="Courier New" w:eastAsia="Courier New" w:hAnsi="Courier New"/>
                <w:sz w:val="16"/>
                <w:szCs w:val="16"/>
                <w:color w:val="auto"/>
                <w:w w:val="87"/>
              </w:rPr>
              <w:t>Stamford, Connecticut 06901..................</w:t>
            </w:r>
          </w:p>
        </w:tc>
        <w:tc>
          <w:tcPr>
            <w:tcW w:w="19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600" w:type="dxa"/>
            <w:vAlign w:val="bottom"/>
          </w:tcPr>
          <w:p>
            <w:pPr>
              <w:jc w:val="right"/>
              <w:ind w:right="459"/>
              <w:spacing w:after="0"/>
              <w:rPr>
                <w:sz w:val="20"/>
                <w:szCs w:val="20"/>
                <w:color w:val="auto"/>
              </w:rPr>
            </w:pPr>
            <w:r>
              <w:rPr>
                <w:rFonts w:ascii="Courier New" w:cs="Courier New" w:eastAsia="Courier New" w:hAnsi="Courier New"/>
                <w:sz w:val="16"/>
                <w:szCs w:val="16"/>
                <w:color w:val="auto"/>
              </w:rPr>
              <w:t>6,000,000</w:t>
            </w:r>
          </w:p>
        </w:tc>
        <w:tc>
          <w:tcPr>
            <w:tcW w:w="1840" w:type="dxa"/>
            <w:vAlign w:val="bottom"/>
          </w:tcPr>
          <w:p>
            <w:pPr>
              <w:jc w:val="right"/>
              <w:ind w:right="559"/>
              <w:spacing w:after="0"/>
              <w:rPr>
                <w:sz w:val="20"/>
                <w:szCs w:val="20"/>
                <w:color w:val="auto"/>
              </w:rPr>
            </w:pPr>
            <w:r>
              <w:rPr>
                <w:rFonts w:ascii="Courier New" w:cs="Courier New" w:eastAsia="Courier New" w:hAnsi="Courier New"/>
                <w:sz w:val="16"/>
                <w:szCs w:val="16"/>
                <w:color w:val="auto"/>
              </w:rPr>
              <w:t>3.48%</w:t>
            </w:r>
          </w:p>
        </w:tc>
        <w:tc>
          <w:tcPr>
            <w:tcW w:w="1500" w:type="dxa"/>
            <w:vAlign w:val="bottom"/>
          </w:tcPr>
          <w:p>
            <w:pPr>
              <w:jc w:val="right"/>
              <w:spacing w:after="0"/>
              <w:rPr>
                <w:sz w:val="20"/>
                <w:szCs w:val="20"/>
                <w:color w:val="auto"/>
              </w:rPr>
            </w:pPr>
            <w:r>
              <w:rPr>
                <w:rFonts w:ascii="Courier New" w:cs="Courier New" w:eastAsia="Courier New" w:hAnsi="Courier New"/>
                <w:sz w:val="16"/>
                <w:szCs w:val="16"/>
                <w:color w:val="auto"/>
              </w:rPr>
              <w:t>81,967</w:t>
            </w:r>
          </w:p>
        </w:tc>
      </w:tr>
      <w:tr>
        <w:trPr>
          <w:trHeight w:val="373"/>
        </w:trPr>
        <w:tc>
          <w:tcPr>
            <w:tcW w:w="3780" w:type="dxa"/>
            <w:vAlign w:val="bottom"/>
          </w:tcPr>
          <w:p>
            <w:pPr>
              <w:spacing w:after="0"/>
              <w:rPr>
                <w:sz w:val="20"/>
                <w:szCs w:val="20"/>
                <w:color w:val="auto"/>
              </w:rPr>
            </w:pPr>
            <w:r>
              <w:rPr>
                <w:rFonts w:ascii="Courier New" w:cs="Courier New" w:eastAsia="Courier New" w:hAnsi="Courier New"/>
                <w:sz w:val="16"/>
                <w:szCs w:val="16"/>
                <w:color w:val="auto"/>
              </w:rPr>
              <w:t>Dean Witter Reynolds, Inc.</w:t>
            </w:r>
          </w:p>
        </w:tc>
        <w:tc>
          <w:tcPr>
            <w:tcW w:w="19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1500" w:type="dxa"/>
            <w:vAlign w:val="bottom"/>
          </w:tcPr>
          <w:p>
            <w:pPr>
              <w:spacing w:after="0"/>
              <w:rPr>
                <w:sz w:val="24"/>
                <w:szCs w:val="24"/>
                <w:color w:val="auto"/>
              </w:rPr>
            </w:pPr>
          </w:p>
        </w:tc>
      </w:tr>
      <w:tr>
        <w:trPr>
          <w:trHeight w:val="186"/>
        </w:trPr>
        <w:tc>
          <w:tcPr>
            <w:tcW w:w="3780" w:type="dxa"/>
            <w:vAlign w:val="bottom"/>
          </w:tcPr>
          <w:p>
            <w:pPr>
              <w:spacing w:after="0"/>
              <w:rPr>
                <w:sz w:val="20"/>
                <w:szCs w:val="20"/>
                <w:color w:val="auto"/>
              </w:rPr>
            </w:pPr>
            <w:r>
              <w:rPr>
                <w:rFonts w:ascii="Courier New" w:cs="Courier New" w:eastAsia="Courier New" w:hAnsi="Courier New"/>
                <w:sz w:val="16"/>
                <w:szCs w:val="16"/>
                <w:color w:val="auto"/>
              </w:rPr>
              <w:t>c/o ADP Proxy Services</w:t>
            </w:r>
          </w:p>
        </w:tc>
        <w:tc>
          <w:tcPr>
            <w:tcW w:w="194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1500" w:type="dxa"/>
            <w:vAlign w:val="bottom"/>
          </w:tcPr>
          <w:p>
            <w:pPr>
              <w:spacing w:after="0"/>
              <w:rPr>
                <w:sz w:val="16"/>
                <w:szCs w:val="16"/>
                <w:color w:val="auto"/>
              </w:rPr>
            </w:pPr>
          </w:p>
        </w:tc>
      </w:tr>
      <w:tr>
        <w:trPr>
          <w:trHeight w:val="186"/>
        </w:trPr>
        <w:tc>
          <w:tcPr>
            <w:tcW w:w="3780" w:type="dxa"/>
            <w:vAlign w:val="bottom"/>
          </w:tcPr>
          <w:p>
            <w:pPr>
              <w:spacing w:after="0"/>
              <w:rPr>
                <w:sz w:val="20"/>
                <w:szCs w:val="20"/>
                <w:color w:val="auto"/>
              </w:rPr>
            </w:pPr>
            <w:r>
              <w:rPr>
                <w:rFonts w:ascii="Courier New" w:cs="Courier New" w:eastAsia="Courier New" w:hAnsi="Courier New"/>
                <w:sz w:val="16"/>
                <w:szCs w:val="16"/>
                <w:color w:val="auto"/>
              </w:rPr>
              <w:t>51 Mercedes Way</w:t>
            </w:r>
          </w:p>
        </w:tc>
        <w:tc>
          <w:tcPr>
            <w:tcW w:w="194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1500" w:type="dxa"/>
            <w:vAlign w:val="bottom"/>
          </w:tcPr>
          <w:p>
            <w:pPr>
              <w:spacing w:after="0"/>
              <w:rPr>
                <w:sz w:val="16"/>
                <w:szCs w:val="16"/>
                <w:color w:val="auto"/>
              </w:rPr>
            </w:pPr>
          </w:p>
        </w:tc>
      </w:tr>
      <w:tr>
        <w:trPr>
          <w:trHeight w:val="186"/>
        </w:trPr>
        <w:tc>
          <w:tcPr>
            <w:tcW w:w="3780" w:type="dxa"/>
            <w:vAlign w:val="bottom"/>
          </w:tcPr>
          <w:p>
            <w:pPr>
              <w:spacing w:after="0"/>
              <w:rPr>
                <w:sz w:val="20"/>
                <w:szCs w:val="20"/>
                <w:color w:val="auto"/>
              </w:rPr>
            </w:pPr>
            <w:r>
              <w:rPr>
                <w:rFonts w:ascii="Courier New" w:cs="Courier New" w:eastAsia="Courier New" w:hAnsi="Courier New"/>
                <w:sz w:val="16"/>
                <w:szCs w:val="16"/>
                <w:color w:val="auto"/>
                <w:w w:val="87"/>
              </w:rPr>
              <w:t>Edgewood, New York 11717.....................</w:t>
            </w:r>
          </w:p>
        </w:tc>
        <w:tc>
          <w:tcPr>
            <w:tcW w:w="19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600" w:type="dxa"/>
            <w:vAlign w:val="bottom"/>
          </w:tcPr>
          <w:p>
            <w:pPr>
              <w:jc w:val="right"/>
              <w:ind w:right="459"/>
              <w:spacing w:after="0"/>
              <w:rPr>
                <w:sz w:val="20"/>
                <w:szCs w:val="20"/>
                <w:color w:val="auto"/>
              </w:rPr>
            </w:pPr>
            <w:r>
              <w:rPr>
                <w:rFonts w:ascii="Courier New" w:cs="Courier New" w:eastAsia="Courier New" w:hAnsi="Courier New"/>
                <w:sz w:val="16"/>
                <w:szCs w:val="16"/>
                <w:color w:val="auto"/>
              </w:rPr>
              <w:t>335,000</w:t>
            </w:r>
          </w:p>
        </w:tc>
        <w:tc>
          <w:tcPr>
            <w:tcW w:w="1840" w:type="dxa"/>
            <w:vAlign w:val="bottom"/>
          </w:tcPr>
          <w:p>
            <w:pPr>
              <w:jc w:val="right"/>
              <w:ind w:right="559"/>
              <w:spacing w:after="0"/>
              <w:rPr>
                <w:sz w:val="20"/>
                <w:szCs w:val="20"/>
                <w:color w:val="auto"/>
              </w:rPr>
            </w:pPr>
            <w:r>
              <w:rPr>
                <w:rFonts w:ascii="Courier New" w:cs="Courier New" w:eastAsia="Courier New" w:hAnsi="Courier New"/>
                <w:sz w:val="16"/>
                <w:szCs w:val="16"/>
                <w:color w:val="auto"/>
              </w:rPr>
              <w:t>0.19%</w:t>
            </w:r>
          </w:p>
        </w:tc>
        <w:tc>
          <w:tcPr>
            <w:tcW w:w="1500" w:type="dxa"/>
            <w:vAlign w:val="bottom"/>
          </w:tcPr>
          <w:p>
            <w:pPr>
              <w:jc w:val="right"/>
              <w:spacing w:after="0"/>
              <w:rPr>
                <w:sz w:val="20"/>
                <w:szCs w:val="20"/>
                <w:color w:val="auto"/>
              </w:rPr>
            </w:pPr>
            <w:r>
              <w:rPr>
                <w:rFonts w:ascii="Courier New" w:cs="Courier New" w:eastAsia="Courier New" w:hAnsi="Courier New"/>
                <w:sz w:val="16"/>
                <w:szCs w:val="16"/>
                <w:color w:val="auto"/>
              </w:rPr>
              <w:t>4,577</w:t>
            </w:r>
          </w:p>
        </w:tc>
      </w:tr>
      <w:tr>
        <w:trPr>
          <w:trHeight w:val="186"/>
        </w:trPr>
        <w:tc>
          <w:tcPr>
            <w:tcW w:w="3780" w:type="dxa"/>
            <w:vAlign w:val="bottom"/>
          </w:tcPr>
          <w:p>
            <w:pPr>
              <w:spacing w:after="0"/>
              <w:rPr>
                <w:sz w:val="16"/>
                <w:szCs w:val="16"/>
                <w:color w:val="auto"/>
              </w:rPr>
            </w:pPr>
          </w:p>
        </w:tc>
        <w:tc>
          <w:tcPr>
            <w:tcW w:w="3540" w:type="dxa"/>
            <w:vAlign w:val="bottom"/>
            <w:gridSpan w:val="2"/>
          </w:tcPr>
          <w:p>
            <w:pPr>
              <w:jc w:val="right"/>
              <w:ind w:right="459"/>
              <w:spacing w:after="0"/>
              <w:rPr>
                <w:sz w:val="20"/>
                <w:szCs w:val="20"/>
                <w:color w:val="auto"/>
              </w:rPr>
            </w:pPr>
            <w:r>
              <w:rPr>
                <w:rFonts w:ascii="Courier New" w:cs="Courier New" w:eastAsia="Courier New" w:hAnsi="Courier New"/>
                <w:sz w:val="16"/>
                <w:szCs w:val="16"/>
                <w:color w:val="auto"/>
              </w:rPr>
              <w:t>------------</w:t>
            </w:r>
          </w:p>
        </w:tc>
        <w:tc>
          <w:tcPr>
            <w:tcW w:w="1840" w:type="dxa"/>
            <w:vAlign w:val="bottom"/>
          </w:tcPr>
          <w:p>
            <w:pPr>
              <w:jc w:val="right"/>
              <w:ind w:right="559"/>
              <w:spacing w:after="0"/>
              <w:rPr>
                <w:sz w:val="20"/>
                <w:szCs w:val="20"/>
                <w:color w:val="auto"/>
              </w:rPr>
            </w:pPr>
            <w:r>
              <w:rPr>
                <w:rFonts w:ascii="Courier New" w:cs="Courier New" w:eastAsia="Courier New" w:hAnsi="Courier New"/>
                <w:sz w:val="16"/>
                <w:szCs w:val="16"/>
                <w:color w:val="auto"/>
              </w:rPr>
              <w:t>-------</w:t>
            </w:r>
          </w:p>
        </w:tc>
        <w:tc>
          <w:tcPr>
            <w:tcW w:w="15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373"/>
        </w:trPr>
        <w:tc>
          <w:tcPr>
            <w:tcW w:w="3780" w:type="dxa"/>
            <w:vAlign w:val="bottom"/>
          </w:tcPr>
          <w:p>
            <w:pPr>
              <w:ind w:left="880"/>
              <w:spacing w:after="0"/>
              <w:rPr>
                <w:sz w:val="20"/>
                <w:szCs w:val="20"/>
                <w:color w:val="auto"/>
              </w:rPr>
            </w:pPr>
            <w:r>
              <w:rPr>
                <w:rFonts w:ascii="Courier New" w:cs="Courier New" w:eastAsia="Courier New" w:hAnsi="Courier New"/>
                <w:sz w:val="16"/>
                <w:szCs w:val="16"/>
                <w:color w:val="auto"/>
                <w:w w:val="83"/>
              </w:rPr>
              <w:t>Total...............................</w:t>
            </w:r>
          </w:p>
        </w:tc>
        <w:tc>
          <w:tcPr>
            <w:tcW w:w="19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600" w:type="dxa"/>
            <w:vAlign w:val="bottom"/>
          </w:tcPr>
          <w:p>
            <w:pPr>
              <w:jc w:val="right"/>
              <w:ind w:right="459"/>
              <w:spacing w:after="0"/>
              <w:rPr>
                <w:sz w:val="20"/>
                <w:szCs w:val="20"/>
                <w:color w:val="auto"/>
              </w:rPr>
            </w:pPr>
            <w:r>
              <w:rPr>
                <w:rFonts w:ascii="Courier New" w:cs="Courier New" w:eastAsia="Courier New" w:hAnsi="Courier New"/>
                <w:sz w:val="16"/>
                <w:szCs w:val="16"/>
                <w:color w:val="auto"/>
                <w:w w:val="98"/>
              </w:rPr>
              <w:t>172,500,000</w:t>
            </w:r>
          </w:p>
        </w:tc>
        <w:tc>
          <w:tcPr>
            <w:tcW w:w="1840" w:type="dxa"/>
            <w:vAlign w:val="bottom"/>
          </w:tcPr>
          <w:p>
            <w:pPr>
              <w:jc w:val="right"/>
              <w:ind w:right="559"/>
              <w:spacing w:after="0"/>
              <w:rPr>
                <w:sz w:val="20"/>
                <w:szCs w:val="20"/>
                <w:color w:val="auto"/>
              </w:rPr>
            </w:pPr>
            <w:r>
              <w:rPr>
                <w:rFonts w:ascii="Courier New" w:cs="Courier New" w:eastAsia="Courier New" w:hAnsi="Courier New"/>
                <w:sz w:val="16"/>
                <w:szCs w:val="16"/>
                <w:color w:val="auto"/>
              </w:rPr>
              <w:t>100.00%</w:t>
            </w:r>
          </w:p>
        </w:tc>
        <w:tc>
          <w:tcPr>
            <w:tcW w:w="1500" w:type="dxa"/>
            <w:vAlign w:val="bottom"/>
          </w:tcPr>
          <w:p>
            <w:pPr>
              <w:jc w:val="right"/>
              <w:spacing w:after="0"/>
              <w:rPr>
                <w:sz w:val="20"/>
                <w:szCs w:val="20"/>
                <w:color w:val="auto"/>
              </w:rPr>
            </w:pPr>
            <w:r>
              <w:rPr>
                <w:rFonts w:ascii="Courier New" w:cs="Courier New" w:eastAsia="Courier New" w:hAnsi="Courier New"/>
                <w:sz w:val="16"/>
                <w:szCs w:val="16"/>
                <w:color w:val="auto"/>
              </w:rPr>
              <w:t>2,356,557</w:t>
            </w:r>
          </w:p>
        </w:tc>
      </w:tr>
      <w:tr>
        <w:trPr>
          <w:trHeight w:val="186"/>
        </w:trPr>
        <w:tc>
          <w:tcPr>
            <w:tcW w:w="3780" w:type="dxa"/>
            <w:vAlign w:val="bottom"/>
          </w:tcPr>
          <w:p>
            <w:pPr>
              <w:spacing w:after="0"/>
              <w:rPr>
                <w:sz w:val="16"/>
                <w:szCs w:val="16"/>
                <w:color w:val="auto"/>
              </w:rPr>
            </w:pPr>
          </w:p>
        </w:tc>
        <w:tc>
          <w:tcPr>
            <w:tcW w:w="3540" w:type="dxa"/>
            <w:vAlign w:val="bottom"/>
            <w:gridSpan w:val="2"/>
          </w:tcPr>
          <w:p>
            <w:pPr>
              <w:jc w:val="right"/>
              <w:ind w:right="459"/>
              <w:spacing w:after="0"/>
              <w:rPr>
                <w:sz w:val="20"/>
                <w:szCs w:val="20"/>
                <w:color w:val="auto"/>
              </w:rPr>
            </w:pPr>
            <w:r>
              <w:rPr>
                <w:rFonts w:ascii="Courier New" w:cs="Courier New" w:eastAsia="Courier New" w:hAnsi="Courier New"/>
                <w:sz w:val="16"/>
                <w:szCs w:val="16"/>
                <w:color w:val="auto"/>
              </w:rPr>
              <w:t>============</w:t>
            </w:r>
          </w:p>
        </w:tc>
        <w:tc>
          <w:tcPr>
            <w:tcW w:w="1840" w:type="dxa"/>
            <w:vAlign w:val="bottom"/>
          </w:tcPr>
          <w:p>
            <w:pPr>
              <w:jc w:val="right"/>
              <w:ind w:right="559"/>
              <w:spacing w:after="0"/>
              <w:rPr>
                <w:sz w:val="20"/>
                <w:szCs w:val="20"/>
                <w:color w:val="auto"/>
              </w:rPr>
            </w:pPr>
            <w:r>
              <w:rPr>
                <w:rFonts w:ascii="Courier New" w:cs="Courier New" w:eastAsia="Courier New" w:hAnsi="Courier New"/>
                <w:sz w:val="16"/>
                <w:szCs w:val="16"/>
                <w:color w:val="auto"/>
              </w:rPr>
              <w:t>=======</w:t>
            </w:r>
          </w:p>
        </w:tc>
        <w:tc>
          <w:tcPr>
            <w:tcW w:w="15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745"/>
        </w:trPr>
        <w:tc>
          <w:tcPr>
            <w:tcW w:w="3780" w:type="dxa"/>
            <w:vAlign w:val="bottom"/>
          </w:tcPr>
          <w:p>
            <w:pPr>
              <w:spacing w:after="0"/>
              <w:rPr>
                <w:sz w:val="24"/>
                <w:szCs w:val="24"/>
                <w:color w:val="auto"/>
              </w:rPr>
            </w:pPr>
          </w:p>
        </w:tc>
        <w:tc>
          <w:tcPr>
            <w:tcW w:w="1940" w:type="dxa"/>
            <w:vAlign w:val="bottom"/>
          </w:tcPr>
          <w:p>
            <w:pPr>
              <w:jc w:val="right"/>
              <w:ind w:right="1659"/>
              <w:spacing w:after="0"/>
              <w:rPr>
                <w:sz w:val="20"/>
                <w:szCs w:val="20"/>
                <w:color w:val="auto"/>
              </w:rPr>
            </w:pPr>
            <w:r>
              <w:rPr>
                <w:rFonts w:ascii="Courier New" w:cs="Courier New" w:eastAsia="Courier New" w:hAnsi="Courier New"/>
                <w:sz w:val="16"/>
                <w:szCs w:val="16"/>
                <w:color w:val="auto"/>
                <w:w w:val="93"/>
              </w:rPr>
              <w:t>39</w:t>
            </w:r>
          </w:p>
        </w:tc>
        <w:tc>
          <w:tcPr>
            <w:tcW w:w="160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1500" w:type="dxa"/>
            <w:vAlign w:val="bottom"/>
          </w:tcPr>
          <w:p>
            <w:pPr>
              <w:spacing w:after="0"/>
              <w:rPr>
                <w:sz w:val="24"/>
                <w:szCs w:val="24"/>
                <w:color w:val="auto"/>
              </w:rPr>
            </w:pPr>
          </w:p>
        </w:tc>
      </w:tr>
    </w:tbl>
    <w:p>
      <w:pPr>
        <w:sectPr>
          <w:pgSz w:w="11900" w:h="16838" w:orient="portrait"/>
          <w:cols w:equalWidth="0" w:num="1">
            <w:col w:w="10660"/>
          </w:cols>
          <w:pgMar w:left="240" w:top="303" w:right="999" w:bottom="1440" w:gutter="0" w:footer="0" w:header="0"/>
        </w:sectPr>
      </w:pPr>
    </w:p>
    <w:bookmarkStart w:id="45" w:name="page46"/>
    <w:bookmarkEnd w:id="45"/>
    <w:p>
      <w:pPr>
        <w:ind w:left="300"/>
        <w:spacing w:after="0"/>
        <w:rPr>
          <w:sz w:val="20"/>
          <w:szCs w:val="20"/>
          <w:color w:val="auto"/>
        </w:rPr>
      </w:pPr>
      <w:r>
        <w:rPr>
          <w:rFonts w:ascii="Courier New" w:cs="Courier New" w:eastAsia="Courier New" w:hAnsi="Courier New"/>
          <w:sz w:val="16"/>
          <w:szCs w:val="16"/>
          <w:color w:val="auto"/>
        </w:rPr>
        <w:t>40</w:t>
      </w:r>
    </w:p>
    <w:p>
      <w:pPr>
        <w:spacing w:after="0" w:line="191" w:lineRule="exact"/>
        <w:rPr>
          <w:sz w:val="20"/>
          <w:szCs w:val="20"/>
          <w:color w:val="auto"/>
        </w:rPr>
      </w:pPr>
    </w:p>
    <w:p>
      <w:pPr>
        <w:ind w:right="2459" w:firstLine="872"/>
        <w:spacing w:after="0" w:line="246" w:lineRule="auto"/>
        <w:rPr>
          <w:sz w:val="20"/>
          <w:szCs w:val="20"/>
          <w:color w:val="auto"/>
        </w:rPr>
      </w:pPr>
      <w:r>
        <w:rPr>
          <w:rFonts w:ascii="Courier New" w:cs="Courier New" w:eastAsia="Courier New" w:hAnsi="Courier New"/>
          <w:sz w:val="16"/>
          <w:szCs w:val="16"/>
          <w:color w:val="auto"/>
        </w:rPr>
        <w:t>Prior to any use of this prospectus in connection with a resale of the notes and/or the common stock issuable upon conversion of the notes, this prospectus will be supplemented to update the name and number of shares beneficially owned by the selling securityholder intending to sell notes and/or common stock and the principal amount of notes and/or number of shares of common stock to be offered. The prospectus supplement will also disclose whether any selling securityholder selling in connection with the prospectus supplement has held any position or office with, been employed by or otherwise has had a material relationship with us or any of our affiliates during the three years prior to the date of the prospectus supplement.</w:t>
      </w:r>
    </w:p>
    <w:p>
      <w:pPr>
        <w:spacing w:after="0" w:line="378" w:lineRule="exact"/>
        <w:rPr>
          <w:sz w:val="20"/>
          <w:szCs w:val="20"/>
          <w:color w:val="auto"/>
        </w:rPr>
      </w:pPr>
    </w:p>
    <w:p>
      <w:pPr>
        <w:ind w:left="2900"/>
        <w:spacing w:after="0"/>
        <w:rPr>
          <w:sz w:val="20"/>
          <w:szCs w:val="20"/>
          <w:color w:val="auto"/>
        </w:rPr>
      </w:pPr>
      <w:r>
        <w:rPr>
          <w:rFonts w:ascii="Courier New" w:cs="Courier New" w:eastAsia="Courier New" w:hAnsi="Courier New"/>
          <w:sz w:val="16"/>
          <w:szCs w:val="16"/>
          <w:color w:val="auto"/>
        </w:rPr>
        <w:t>PLAN OF DISTRIBUTION</w:t>
      </w:r>
    </w:p>
    <w:p>
      <w:pPr>
        <w:spacing w:after="0" w:line="378" w:lineRule="exact"/>
        <w:rPr>
          <w:sz w:val="20"/>
          <w:szCs w:val="20"/>
          <w:color w:val="auto"/>
        </w:rPr>
      </w:pPr>
    </w:p>
    <w:p>
      <w:pPr>
        <w:ind w:right="2459" w:firstLine="872"/>
        <w:spacing w:after="0" w:line="246" w:lineRule="auto"/>
        <w:rPr>
          <w:sz w:val="20"/>
          <w:szCs w:val="20"/>
          <w:color w:val="auto"/>
        </w:rPr>
      </w:pPr>
      <w:r>
        <w:rPr>
          <w:rFonts w:ascii="Courier New" w:cs="Courier New" w:eastAsia="Courier New" w:hAnsi="Courier New"/>
          <w:sz w:val="16"/>
          <w:szCs w:val="16"/>
          <w:color w:val="auto"/>
        </w:rPr>
        <w:t>The notes and our common stock may be sold from time to time to purchasers directly by the selling securityholders. Alternatively, the selling securityholders may from time to time offer the notes with discounts, concessions or commissions from the selling securityholders and/or the purchasers of the notes and our common stock for whom they may act as agent. The selling securityholders and any such brokers, dealers or agents who participate in the distribution of the notes and our common stock may be deemed to be "underwriters," and any profits on the sale of the notes and our common stock by them and any discounts, commissions or concessions received by any such brokers, dealers or agents might be deemed to be underwriting discounts and commissions under the Securities Act. To the extent the selling securityholder may be deemed to be underwriters, the selling securityholders may be subject to certain statutory liabilities, including, but not limited to, Sections 11, 12 and 17 of the Securities Act and Rule 10b-5 under the Securities Exchange Act of 1934.</w:t>
      </w:r>
    </w:p>
    <w:p>
      <w:pPr>
        <w:spacing w:after="0" w:line="381" w:lineRule="exact"/>
        <w:rPr>
          <w:sz w:val="20"/>
          <w:szCs w:val="20"/>
          <w:color w:val="auto"/>
        </w:rPr>
      </w:pPr>
    </w:p>
    <w:p>
      <w:pPr>
        <w:ind w:right="2459" w:firstLine="872"/>
        <w:spacing w:after="0" w:line="247" w:lineRule="auto"/>
        <w:rPr>
          <w:sz w:val="20"/>
          <w:szCs w:val="20"/>
          <w:color w:val="auto"/>
        </w:rPr>
      </w:pPr>
      <w:r>
        <w:rPr>
          <w:rFonts w:ascii="Courier New" w:cs="Courier New" w:eastAsia="Courier New" w:hAnsi="Courier New"/>
          <w:sz w:val="16"/>
          <w:szCs w:val="16"/>
          <w:color w:val="auto"/>
        </w:rPr>
        <w:t>The notes and our underlying common stock may be sold from time to time in one or more transactions at fixed prices, at prevailing market prices at the time of sale, at varying prices determined at the time of sale or at negotiated prices. The notes and our common stock may be sold by one or more of the following methods:</w:t>
      </w:r>
    </w:p>
    <w:p>
      <w:pPr>
        <w:spacing w:after="0" w:line="372" w:lineRule="exact"/>
        <w:rPr>
          <w:sz w:val="20"/>
          <w:szCs w:val="20"/>
          <w:color w:val="auto"/>
        </w:rPr>
      </w:pPr>
    </w:p>
    <w:p>
      <w:pPr>
        <w:ind w:left="1060" w:right="2659" w:hanging="189"/>
        <w:spacing w:after="0" w:line="247" w:lineRule="auto"/>
        <w:tabs>
          <w:tab w:leader="none" w:pos="1060" w:val="left"/>
        </w:tabs>
        <w:numPr>
          <w:ilvl w:val="0"/>
          <w:numId w:val="60"/>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block trade in which the broker or dealer so engaged will attempt to sell the notes and our common stock issuable upon conversion thereof as agent but may position and resell a portion of the block as principal to facilitate the transaction;</w:t>
      </w:r>
    </w:p>
    <w:p>
      <w:pPr>
        <w:spacing w:after="0" w:line="371" w:lineRule="exact"/>
        <w:rPr>
          <w:rFonts w:ascii="Courier New" w:cs="Courier New" w:eastAsia="Courier New" w:hAnsi="Courier New"/>
          <w:sz w:val="16"/>
          <w:szCs w:val="16"/>
          <w:color w:val="auto"/>
        </w:rPr>
      </w:pPr>
    </w:p>
    <w:p>
      <w:pPr>
        <w:ind w:left="1060" w:right="3039" w:hanging="189"/>
        <w:spacing w:after="0" w:line="248" w:lineRule="auto"/>
        <w:tabs>
          <w:tab w:leader="none" w:pos="1060" w:val="left"/>
        </w:tabs>
        <w:numPr>
          <w:ilvl w:val="0"/>
          <w:numId w:val="60"/>
        </w:numPr>
        <w:rPr>
          <w:rFonts w:ascii="Courier New" w:cs="Courier New" w:eastAsia="Courier New" w:hAnsi="Courier New"/>
          <w:sz w:val="16"/>
          <w:szCs w:val="16"/>
          <w:color w:val="auto"/>
        </w:rPr>
      </w:pPr>
      <w:r>
        <w:rPr>
          <w:rFonts w:ascii="Courier New" w:cs="Courier New" w:eastAsia="Courier New" w:hAnsi="Courier New"/>
          <w:sz w:val="16"/>
          <w:szCs w:val="16"/>
          <w:color w:val="auto"/>
        </w:rPr>
        <w:t>purchases by a broker or dealer as principal and resale by such broker or dealer for its account pursuant to this prospectus;</w:t>
      </w:r>
    </w:p>
    <w:p>
      <w:pPr>
        <w:spacing w:after="0" w:line="184" w:lineRule="exact"/>
        <w:rPr>
          <w:rFonts w:ascii="Courier New" w:cs="Courier New" w:eastAsia="Courier New" w:hAnsi="Courier New"/>
          <w:sz w:val="16"/>
          <w:szCs w:val="16"/>
          <w:color w:val="auto"/>
        </w:rPr>
      </w:pPr>
    </w:p>
    <w:p>
      <w:pPr>
        <w:ind w:left="1060" w:right="2559" w:hanging="189"/>
        <w:spacing w:after="0" w:line="248" w:lineRule="auto"/>
        <w:tabs>
          <w:tab w:leader="none" w:pos="1060" w:val="left"/>
        </w:tabs>
        <w:numPr>
          <w:ilvl w:val="0"/>
          <w:numId w:val="60"/>
        </w:numPr>
        <w:rPr>
          <w:rFonts w:ascii="Courier New" w:cs="Courier New" w:eastAsia="Courier New" w:hAnsi="Courier New"/>
          <w:sz w:val="16"/>
          <w:szCs w:val="16"/>
          <w:color w:val="auto"/>
        </w:rPr>
      </w:pPr>
      <w:r>
        <w:rPr>
          <w:rFonts w:ascii="Courier New" w:cs="Courier New" w:eastAsia="Courier New" w:hAnsi="Courier New"/>
          <w:sz w:val="16"/>
          <w:szCs w:val="16"/>
          <w:color w:val="auto"/>
        </w:rPr>
        <w:t>ordinary brokerage transactions and transactions in which the broker solicits purchasers;</w:t>
      </w:r>
    </w:p>
    <w:p>
      <w:pPr>
        <w:spacing w:after="0" w:line="184" w:lineRule="exact"/>
        <w:rPr>
          <w:rFonts w:ascii="Courier New" w:cs="Courier New" w:eastAsia="Courier New" w:hAnsi="Courier New"/>
          <w:sz w:val="16"/>
          <w:szCs w:val="16"/>
          <w:color w:val="auto"/>
        </w:rPr>
      </w:pPr>
    </w:p>
    <w:p>
      <w:pPr>
        <w:ind w:left="1060" w:right="3239" w:hanging="189"/>
        <w:spacing w:after="0" w:line="248" w:lineRule="auto"/>
        <w:tabs>
          <w:tab w:leader="none" w:pos="1060" w:val="left"/>
        </w:tabs>
        <w:numPr>
          <w:ilvl w:val="0"/>
          <w:numId w:val="60"/>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 exchange distribution in accordance with the rules of such exchange;</w:t>
      </w:r>
    </w:p>
    <w:p>
      <w:pPr>
        <w:spacing w:after="0" w:line="184" w:lineRule="exact"/>
        <w:rPr>
          <w:rFonts w:ascii="Courier New" w:cs="Courier New" w:eastAsia="Courier New" w:hAnsi="Courier New"/>
          <w:sz w:val="16"/>
          <w:szCs w:val="16"/>
          <w:color w:val="auto"/>
        </w:rPr>
      </w:pPr>
    </w:p>
    <w:p>
      <w:pPr>
        <w:ind w:left="1060" w:right="2759" w:hanging="189"/>
        <w:spacing w:after="0" w:line="248" w:lineRule="auto"/>
        <w:tabs>
          <w:tab w:leader="none" w:pos="1060" w:val="left"/>
        </w:tabs>
        <w:numPr>
          <w:ilvl w:val="0"/>
          <w:numId w:val="60"/>
        </w:numPr>
        <w:rPr>
          <w:rFonts w:ascii="Courier New" w:cs="Courier New" w:eastAsia="Courier New" w:hAnsi="Courier New"/>
          <w:sz w:val="16"/>
          <w:szCs w:val="16"/>
          <w:color w:val="auto"/>
        </w:rPr>
      </w:pPr>
      <w:r>
        <w:rPr>
          <w:rFonts w:ascii="Courier New" w:cs="Courier New" w:eastAsia="Courier New" w:hAnsi="Courier New"/>
          <w:sz w:val="16"/>
          <w:szCs w:val="16"/>
          <w:color w:val="auto"/>
        </w:rPr>
        <w:t>face-to-face transactions between sellers and purchasers without a broker-dealer;</w:t>
      </w:r>
    </w:p>
    <w:p>
      <w:pPr>
        <w:spacing w:after="0" w:line="184" w:lineRule="exact"/>
        <w:rPr>
          <w:rFonts w:ascii="Courier New" w:cs="Courier New" w:eastAsia="Courier New" w:hAnsi="Courier New"/>
          <w:sz w:val="16"/>
          <w:szCs w:val="16"/>
          <w:color w:val="auto"/>
        </w:rPr>
      </w:pPr>
    </w:p>
    <w:p>
      <w:pPr>
        <w:ind w:left="1060" w:hanging="189"/>
        <w:spacing w:after="0"/>
        <w:tabs>
          <w:tab w:leader="none" w:pos="1060" w:val="left"/>
        </w:tabs>
        <w:numPr>
          <w:ilvl w:val="0"/>
          <w:numId w:val="6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through the writing of options; and</w:t>
      </w:r>
    </w:p>
    <w:p>
      <w:pPr>
        <w:spacing w:after="0" w:line="191" w:lineRule="exact"/>
        <w:rPr>
          <w:rFonts w:ascii="Courier New" w:cs="Courier New" w:eastAsia="Courier New" w:hAnsi="Courier New"/>
          <w:sz w:val="16"/>
          <w:szCs w:val="16"/>
          <w:color w:val="auto"/>
        </w:rPr>
      </w:pPr>
    </w:p>
    <w:p>
      <w:pPr>
        <w:ind w:left="1060" w:hanging="189"/>
        <w:spacing w:after="0"/>
        <w:tabs>
          <w:tab w:leader="none" w:pos="1060" w:val="left"/>
        </w:tabs>
        <w:numPr>
          <w:ilvl w:val="0"/>
          <w:numId w:val="60"/>
        </w:numPr>
        <w:rPr>
          <w:rFonts w:ascii="Courier New" w:cs="Courier New" w:eastAsia="Courier New" w:hAnsi="Courier New"/>
          <w:sz w:val="16"/>
          <w:szCs w:val="16"/>
          <w:color w:val="auto"/>
        </w:rPr>
      </w:pPr>
      <w:r>
        <w:rPr>
          <w:rFonts w:ascii="Courier New" w:cs="Courier New" w:eastAsia="Courier New" w:hAnsi="Courier New"/>
          <w:sz w:val="16"/>
          <w:szCs w:val="16"/>
          <w:color w:val="auto"/>
        </w:rPr>
        <w:t>other transactions.</w:t>
      </w:r>
    </w:p>
    <w:p>
      <w:pPr>
        <w:spacing w:after="0" w:line="191" w:lineRule="exact"/>
        <w:rPr>
          <w:sz w:val="20"/>
          <w:szCs w:val="20"/>
          <w:color w:val="auto"/>
        </w:rPr>
      </w:pPr>
    </w:p>
    <w:p>
      <w:pPr>
        <w:ind w:right="2559" w:firstLine="872"/>
        <w:spacing w:after="0" w:line="246" w:lineRule="auto"/>
        <w:rPr>
          <w:sz w:val="20"/>
          <w:szCs w:val="20"/>
          <w:color w:val="auto"/>
        </w:rPr>
      </w:pPr>
      <w:r>
        <w:rPr>
          <w:rFonts w:ascii="Courier New" w:cs="Courier New" w:eastAsia="Courier New" w:hAnsi="Courier New"/>
          <w:sz w:val="16"/>
          <w:szCs w:val="16"/>
          <w:color w:val="auto"/>
        </w:rPr>
        <w:t>At any time a particular offer of the notes and our common stock is made, a revised prospectus or prospectus supplement, if required, will be distributed which will set forth the aggregate amount and type of securities being offered and the terms of the offering, including the name or names of any underwriters, dealers or agents, any discounts, commissions, concessions and other items constituting compensation from the selling securityholders and any discounts, commissions or concessions allowed or reallowed or paid to dealers. The</w:t>
      </w:r>
    </w:p>
    <w:p>
      <w:pPr>
        <w:sectPr>
          <w:pgSz w:w="11900" w:h="16838" w:orient="portrait"/>
          <w:cols w:equalWidth="0" w:num="1">
            <w:col w:w="10219"/>
          </w:cols>
          <w:pgMar w:left="240" w:top="303" w:right="1440" w:bottom="1440" w:gutter="0" w:footer="0" w:header="0"/>
        </w:sectPr>
      </w:pPr>
    </w:p>
    <w:p>
      <w:pPr>
        <w:spacing w:after="0" w:line="191"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40</w:t>
      </w:r>
    </w:p>
    <w:p>
      <w:pPr>
        <w:sectPr>
          <w:pgSz w:w="11900" w:h="16838" w:orient="portrait"/>
          <w:cols w:equalWidth="0" w:num="1">
            <w:col w:w="10219"/>
          </w:cols>
          <w:pgMar w:left="240" w:top="303" w:right="1440" w:bottom="1440" w:gutter="0" w:footer="0" w:header="0"/>
          <w:type w:val="continuous"/>
        </w:sectPr>
      </w:pPr>
    </w:p>
    <w:bookmarkStart w:id="46" w:name="page47"/>
    <w:bookmarkEnd w:id="46"/>
    <w:p>
      <w:pPr>
        <w:spacing w:after="0" w:line="59" w:lineRule="exact"/>
        <w:rPr>
          <w:sz w:val="20"/>
          <w:szCs w:val="20"/>
          <w:color w:val="auto"/>
        </w:rPr>
      </w:pPr>
    </w:p>
    <w:p>
      <w:pPr>
        <w:ind w:left="300"/>
        <w:spacing w:after="0"/>
        <w:rPr>
          <w:sz w:val="20"/>
          <w:szCs w:val="20"/>
          <w:color w:val="auto"/>
        </w:rPr>
      </w:pPr>
      <w:r>
        <w:rPr>
          <w:rFonts w:ascii="Courier New" w:cs="Courier New" w:eastAsia="Courier New" w:hAnsi="Courier New"/>
          <w:sz w:val="16"/>
          <w:szCs w:val="16"/>
          <w:color w:val="auto"/>
        </w:rPr>
        <w:t>41</w:t>
      </w:r>
    </w:p>
    <w:p>
      <w:pPr>
        <w:spacing w:after="0" w:line="5" w:lineRule="exact"/>
        <w:rPr>
          <w:sz w:val="20"/>
          <w:szCs w:val="20"/>
          <w:color w:val="auto"/>
        </w:rPr>
      </w:pPr>
    </w:p>
    <w:p>
      <w:pPr>
        <w:ind w:right="2559"/>
        <w:spacing w:after="0" w:line="247" w:lineRule="auto"/>
        <w:rPr>
          <w:sz w:val="20"/>
          <w:szCs w:val="20"/>
          <w:color w:val="auto"/>
        </w:rPr>
      </w:pPr>
      <w:r>
        <w:rPr>
          <w:rFonts w:ascii="Courier New" w:cs="Courier New" w:eastAsia="Courier New" w:hAnsi="Courier New"/>
          <w:sz w:val="16"/>
          <w:szCs w:val="16"/>
          <w:color w:val="auto"/>
        </w:rPr>
        <w:t>prospectus supplement and, if necessary, a post-effective amendment to the registration statement of which this prospectus is a part, will be filed with the SEC to reflect the disclosure of additional information with respect to the distribution of the notes and our common stock. In addition, the notes and our common stock covered by this prospectus may be sold in private transactions or under Rule 144 rather than pursuant to this prospectus.</w:t>
      </w:r>
    </w:p>
    <w:p>
      <w:pPr>
        <w:spacing w:after="0" w:line="372" w:lineRule="exact"/>
        <w:rPr>
          <w:sz w:val="20"/>
          <w:szCs w:val="20"/>
          <w:color w:val="auto"/>
        </w:rPr>
      </w:pPr>
    </w:p>
    <w:p>
      <w:pPr>
        <w:ind w:right="2459" w:firstLine="872"/>
        <w:spacing w:after="0" w:line="246" w:lineRule="auto"/>
        <w:rPr>
          <w:sz w:val="20"/>
          <w:szCs w:val="20"/>
          <w:color w:val="auto"/>
        </w:rPr>
      </w:pPr>
      <w:r>
        <w:rPr>
          <w:rFonts w:ascii="Courier New" w:cs="Courier New" w:eastAsia="Courier New" w:hAnsi="Courier New"/>
          <w:sz w:val="16"/>
          <w:szCs w:val="16"/>
          <w:color w:val="auto"/>
        </w:rPr>
        <w:t>We have agreed in the registration rights agreement to keep this prospectus useable until the notes or our common stock issuable upon conversion thereof are no longer registrable securities, as described in the registration rights agreement. To our knowledge currently no plans, arrangements or understandings exist between any selling securityholders and any broker, dealer, agent or underwriter regarding the sale of the securities by the selling securityholders. We cannot assure you that any selling securityholder will sell any or all of the securities offered by it under this prospectus or that any selling securityholder will not transfer, devise or gift such securities by other means not described in this prospectus.</w:t>
      </w:r>
    </w:p>
    <w:p>
      <w:pPr>
        <w:spacing w:after="0" w:line="192" w:lineRule="exact"/>
        <w:rPr>
          <w:sz w:val="20"/>
          <w:szCs w:val="20"/>
          <w:color w:val="auto"/>
        </w:rPr>
      </w:pPr>
    </w:p>
    <w:p>
      <w:pPr>
        <w:ind w:right="2459" w:firstLine="872"/>
        <w:spacing w:after="0" w:line="246" w:lineRule="auto"/>
        <w:rPr>
          <w:sz w:val="20"/>
          <w:szCs w:val="20"/>
          <w:color w:val="auto"/>
        </w:rPr>
      </w:pPr>
      <w:r>
        <w:rPr>
          <w:rFonts w:ascii="Courier New" w:cs="Courier New" w:eastAsia="Courier New" w:hAnsi="Courier New"/>
          <w:sz w:val="16"/>
          <w:szCs w:val="16"/>
          <w:color w:val="auto"/>
        </w:rPr>
        <w:t>The selling securityholders and any other person participating in such distribution will be subject to applicable provisions of the Securities Exchange Act of 1934 and the rules and regulations thereunder, including, without limitation, Regulation M. That regulation may limit the timing of purchases and sales of any of the notes and our common stock by the selling securityholders and any other participating person. Furthermore, Regulation M of the Securities Exchange Act of 1934 may restrict the ability of any person engaged in the distribution of the notes and our common stock to engage in market-making activities with respect to the particular notes and our common stock being distributed for a period of up to five business days prior to the commencement of the distribution. All of the foregoing may affect the marketability of the notes and our common stock and the ability of any person or entity to engage in market-making activities with respect to the notes and our common stock.</w:t>
      </w:r>
    </w:p>
    <w:p>
      <w:pPr>
        <w:spacing w:after="0" w:line="194" w:lineRule="exact"/>
        <w:rPr>
          <w:sz w:val="20"/>
          <w:szCs w:val="20"/>
          <w:color w:val="auto"/>
        </w:rPr>
      </w:pPr>
    </w:p>
    <w:p>
      <w:pPr>
        <w:ind w:right="2759" w:firstLine="872"/>
        <w:spacing w:after="0" w:line="247" w:lineRule="auto"/>
        <w:rPr>
          <w:sz w:val="20"/>
          <w:szCs w:val="20"/>
          <w:color w:val="auto"/>
        </w:rPr>
      </w:pPr>
      <w:r>
        <w:rPr>
          <w:rFonts w:ascii="Courier New" w:cs="Courier New" w:eastAsia="Courier New" w:hAnsi="Courier New"/>
          <w:sz w:val="16"/>
          <w:szCs w:val="16"/>
          <w:color w:val="auto"/>
        </w:rPr>
        <w:t>Pursuant to the registration rights agreement entered into in connection with our initial private placement, we and each of the selling securityholders will be indemnified by the other against certain liabilities, including certain liabilities under the Securities Act of 1933, or will be entitled to contribution in connection with these matters.</w:t>
      </w:r>
    </w:p>
    <w:p>
      <w:pPr>
        <w:spacing w:after="0" w:line="372" w:lineRule="exact"/>
        <w:rPr>
          <w:sz w:val="20"/>
          <w:szCs w:val="20"/>
          <w:color w:val="auto"/>
        </w:rPr>
      </w:pPr>
    </w:p>
    <w:p>
      <w:pPr>
        <w:ind w:right="2559" w:firstLine="872"/>
        <w:spacing w:after="0" w:line="247" w:lineRule="auto"/>
        <w:rPr>
          <w:sz w:val="20"/>
          <w:szCs w:val="20"/>
          <w:color w:val="auto"/>
        </w:rPr>
      </w:pPr>
      <w:r>
        <w:rPr>
          <w:rFonts w:ascii="Courier New" w:cs="Courier New" w:eastAsia="Courier New" w:hAnsi="Courier New"/>
          <w:sz w:val="16"/>
          <w:szCs w:val="16"/>
          <w:color w:val="auto"/>
        </w:rPr>
        <w:t>We have agreed to pay substantially all of the expenses incidental to the registration, offering and resale by the selling securityholders of the notes to the public other than commissions, fees and discounts of underwriters, brokers, dealers and agents.</w:t>
      </w:r>
    </w:p>
    <w:p>
      <w:pPr>
        <w:spacing w:after="0" w:line="186" w:lineRule="exact"/>
        <w:rPr>
          <w:sz w:val="20"/>
          <w:szCs w:val="20"/>
          <w:color w:val="auto"/>
        </w:rPr>
      </w:pPr>
    </w:p>
    <w:p>
      <w:pPr>
        <w:ind w:right="2759" w:firstLine="872"/>
        <w:spacing w:after="0" w:line="248" w:lineRule="auto"/>
        <w:rPr>
          <w:sz w:val="20"/>
          <w:szCs w:val="20"/>
          <w:color w:val="auto"/>
        </w:rPr>
      </w:pPr>
      <w:r>
        <w:rPr>
          <w:rFonts w:ascii="Courier New" w:cs="Courier New" w:eastAsia="Courier New" w:hAnsi="Courier New"/>
          <w:sz w:val="16"/>
          <w:szCs w:val="16"/>
          <w:color w:val="auto"/>
        </w:rPr>
        <w:t>We will not receive any of the proceeds of the sale of the notes and our underlying common stock covered by this prospectus.</w:t>
      </w:r>
    </w:p>
    <w:p>
      <w:pPr>
        <w:spacing w:after="0" w:line="184" w:lineRule="exact"/>
        <w:rPr>
          <w:sz w:val="20"/>
          <w:szCs w:val="20"/>
          <w:color w:val="auto"/>
        </w:rPr>
      </w:pPr>
    </w:p>
    <w:p>
      <w:pPr>
        <w:ind w:left="3300"/>
        <w:spacing w:after="0"/>
        <w:rPr>
          <w:sz w:val="20"/>
          <w:szCs w:val="20"/>
          <w:color w:val="auto"/>
        </w:rPr>
      </w:pPr>
      <w:r>
        <w:rPr>
          <w:rFonts w:ascii="Courier New" w:cs="Courier New" w:eastAsia="Courier New" w:hAnsi="Courier New"/>
          <w:sz w:val="16"/>
          <w:szCs w:val="16"/>
          <w:color w:val="auto"/>
        </w:rPr>
        <w:t>LEGAL MATTERS</w:t>
      </w:r>
    </w:p>
    <w:p>
      <w:pPr>
        <w:spacing w:after="0" w:line="378" w:lineRule="exact"/>
        <w:rPr>
          <w:sz w:val="20"/>
          <w:szCs w:val="20"/>
          <w:color w:val="auto"/>
        </w:rPr>
      </w:pPr>
    </w:p>
    <w:p>
      <w:pPr>
        <w:jc w:val="both"/>
        <w:ind w:right="2559" w:firstLine="872"/>
        <w:spacing w:after="0" w:line="246" w:lineRule="auto"/>
        <w:rPr>
          <w:sz w:val="20"/>
          <w:szCs w:val="20"/>
          <w:color w:val="auto"/>
        </w:rPr>
      </w:pPr>
      <w:r>
        <w:rPr>
          <w:rFonts w:ascii="Courier New" w:cs="Courier New" w:eastAsia="Courier New" w:hAnsi="Courier New"/>
          <w:sz w:val="16"/>
          <w:szCs w:val="16"/>
          <w:color w:val="auto"/>
        </w:rPr>
        <w:t>The validity of the notes and any shares of our common stock issuable upon conversion of the notes offered in connection with this prospectus will be passed upon for us by Porter, Wright, Morris &amp; Arthur LLP, Columbus, Ohio.</w:t>
      </w:r>
    </w:p>
    <w:p>
      <w:pPr>
        <w:spacing w:after="0" w:line="2" w:lineRule="exact"/>
        <w:rPr>
          <w:sz w:val="20"/>
          <w:szCs w:val="20"/>
          <w:color w:val="auto"/>
        </w:rPr>
      </w:pPr>
    </w:p>
    <w:p>
      <w:pPr>
        <w:ind w:right="2459"/>
        <w:spacing w:after="0" w:line="247" w:lineRule="auto"/>
        <w:rPr>
          <w:sz w:val="20"/>
          <w:szCs w:val="20"/>
          <w:color w:val="auto"/>
        </w:rPr>
      </w:pPr>
      <w:r>
        <w:rPr>
          <w:rFonts w:ascii="Courier New" w:cs="Courier New" w:eastAsia="Courier New" w:hAnsi="Courier New"/>
          <w:sz w:val="16"/>
          <w:szCs w:val="16"/>
          <w:color w:val="auto"/>
        </w:rPr>
        <w:t>Partners of Porter, Wright, Morris &amp; Arthur LLP who participated in the preparation of this prospectus beneficially own an aggregate of 26,507 shares of our common stock consisting of a combination of stock and options exercisable within 60 days after the date of this prospectus.</w:t>
      </w:r>
    </w:p>
    <w:p>
      <w:pPr>
        <w:spacing w:after="0" w:line="372" w:lineRule="exact"/>
        <w:rPr>
          <w:sz w:val="20"/>
          <w:szCs w:val="20"/>
          <w:color w:val="auto"/>
        </w:rPr>
      </w:pPr>
    </w:p>
    <w:p>
      <w:pPr>
        <w:jc w:val="center"/>
        <w:ind w:right="2559"/>
        <w:spacing w:after="0"/>
        <w:rPr>
          <w:sz w:val="20"/>
          <w:szCs w:val="20"/>
          <w:color w:val="auto"/>
        </w:rPr>
      </w:pPr>
      <w:r>
        <w:rPr>
          <w:rFonts w:ascii="Courier New" w:cs="Courier New" w:eastAsia="Courier New" w:hAnsi="Courier New"/>
          <w:sz w:val="16"/>
          <w:szCs w:val="16"/>
          <w:color w:val="auto"/>
        </w:rPr>
        <w:t>EXPERTS</w:t>
      </w:r>
    </w:p>
    <w:p>
      <w:pPr>
        <w:spacing w:after="0" w:line="191" w:lineRule="exact"/>
        <w:rPr>
          <w:sz w:val="20"/>
          <w:szCs w:val="20"/>
          <w:color w:val="auto"/>
        </w:rPr>
      </w:pPr>
    </w:p>
    <w:p>
      <w:pPr>
        <w:ind w:right="2559" w:firstLine="872"/>
        <w:spacing w:after="0" w:line="247" w:lineRule="auto"/>
        <w:rPr>
          <w:sz w:val="20"/>
          <w:szCs w:val="20"/>
          <w:color w:val="auto"/>
        </w:rPr>
      </w:pPr>
      <w:r>
        <w:rPr>
          <w:rFonts w:ascii="Courier New" w:cs="Courier New" w:eastAsia="Courier New" w:hAnsi="Courier New"/>
          <w:sz w:val="16"/>
          <w:szCs w:val="16"/>
          <w:color w:val="auto"/>
        </w:rPr>
        <w:t>The consolidated financial statements and the related financial statement schedule incorporated in this prospectus by reference from our Annual Report on Form 10-K for the year ended June 30, 1999 have been audited by Deloitte &amp; Touche LLP, independent auditors, as stated in their reports, which are incorporated herein by reference, and have been so incorporated in reliance upon the reports of such firm given upon their authority as experts in accounting and auditing.</w:t>
      </w:r>
    </w:p>
    <w:p>
      <w:pPr>
        <w:spacing w:after="0" w:line="371" w:lineRule="exact"/>
        <w:rPr>
          <w:sz w:val="20"/>
          <w:szCs w:val="20"/>
          <w:color w:val="auto"/>
        </w:rPr>
      </w:pPr>
    </w:p>
    <w:p>
      <w:pPr>
        <w:ind w:right="2459" w:firstLine="872"/>
        <w:spacing w:after="0" w:line="247" w:lineRule="auto"/>
        <w:rPr>
          <w:sz w:val="20"/>
          <w:szCs w:val="20"/>
          <w:color w:val="auto"/>
        </w:rPr>
      </w:pPr>
      <w:r>
        <w:rPr>
          <w:rFonts w:ascii="Courier New" w:cs="Courier New" w:eastAsia="Courier New" w:hAnsi="Courier New"/>
          <w:sz w:val="16"/>
          <w:szCs w:val="16"/>
          <w:color w:val="auto"/>
        </w:rPr>
        <w:t>The consolidated financial statements of TransPoint incorporated in this prospectus by reference from the Form 8-K of CheckFree Holdings Corporation filed March 22, 2000 have been audited by Deloitte &amp; Touche LLP, independent auditors, as stated in their reports, which are incorporated herein by reference, and have been so incorporated in reliance upon the reports of such firm given upon their authority as experts in accounting and auditing.</w:t>
      </w:r>
    </w:p>
    <w:p>
      <w:pPr>
        <w:spacing w:after="0" w:line="185" w:lineRule="exact"/>
        <w:rPr>
          <w:sz w:val="20"/>
          <w:szCs w:val="20"/>
          <w:color w:val="auto"/>
        </w:rPr>
      </w:pPr>
    </w:p>
    <w:p>
      <w:pPr>
        <w:ind w:right="2559" w:firstLine="872"/>
        <w:spacing w:after="0" w:line="247" w:lineRule="auto"/>
        <w:rPr>
          <w:sz w:val="20"/>
          <w:szCs w:val="20"/>
          <w:color w:val="auto"/>
        </w:rPr>
      </w:pPr>
      <w:r>
        <w:rPr>
          <w:rFonts w:ascii="Courier New" w:cs="Courier New" w:eastAsia="Courier New" w:hAnsi="Courier New"/>
          <w:sz w:val="16"/>
          <w:szCs w:val="16"/>
          <w:color w:val="auto"/>
        </w:rPr>
        <w:t>The consolidated financial statements of BlueGill Technologies, Inc. incorporated in this prospectus by reference from the Form 8-K of CheckFree Holdings Corporation filed March 22, 2000 have been audited by Arthur Andersen LLP, independent public accountants, as indicated in their reports with respect thereto, and are included herein in reliance upon the authority of said firm as experts in accounting and auditing in giving said reports.</w:t>
      </w:r>
    </w:p>
    <w:p>
      <w:pPr>
        <w:sectPr>
          <w:pgSz w:w="11900" w:h="16897" w:orient="portrait"/>
          <w:cols w:equalWidth="0" w:num="1">
            <w:col w:w="10219"/>
          </w:cols>
          <w:pgMar w:left="240" w:top="303" w:right="1440" w:bottom="0" w:gutter="0" w:footer="0" w:header="0"/>
        </w:sectPr>
      </w:pPr>
    </w:p>
    <w:p>
      <w:pPr>
        <w:spacing w:after="0" w:line="372"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41</w:t>
      </w:r>
    </w:p>
    <w:p>
      <w:pPr>
        <w:sectPr>
          <w:pgSz w:w="11900" w:h="16897" w:orient="portrait"/>
          <w:cols w:equalWidth="0" w:num="1">
            <w:col w:w="10219"/>
          </w:cols>
          <w:pgMar w:left="240" w:top="303" w:right="1440" w:bottom="0" w:gutter="0" w:footer="0" w:header="0"/>
          <w:type w:val="continuous"/>
        </w:sectPr>
      </w:pPr>
    </w:p>
    <w:bookmarkStart w:id="47" w:name="page48"/>
    <w:bookmarkEnd w:id="47"/>
    <w:p>
      <w:pPr>
        <w:ind w:left="300"/>
        <w:spacing w:after="0"/>
        <w:rPr>
          <w:sz w:val="20"/>
          <w:szCs w:val="20"/>
          <w:color w:val="auto"/>
        </w:rPr>
      </w:pPr>
      <w:r>
        <w:rPr>
          <w:rFonts w:ascii="Courier New" w:cs="Courier New" w:eastAsia="Courier New" w:hAnsi="Courier New"/>
          <w:sz w:val="16"/>
          <w:szCs w:val="16"/>
          <w:color w:val="auto"/>
        </w:rPr>
        <w:t>42</w:t>
      </w:r>
    </w:p>
    <w:p>
      <w:pPr>
        <w:spacing w:after="0" w:line="5" w:lineRule="exact"/>
        <w:rPr>
          <w:sz w:val="20"/>
          <w:szCs w:val="20"/>
          <w:color w:val="auto"/>
        </w:rPr>
      </w:pPr>
    </w:p>
    <w:p>
      <w:pPr>
        <w:ind w:left="2220"/>
        <w:spacing w:after="0"/>
        <w:rPr>
          <w:sz w:val="20"/>
          <w:szCs w:val="20"/>
          <w:color w:val="auto"/>
        </w:rPr>
      </w:pPr>
      <w:r>
        <w:rPr>
          <w:rFonts w:ascii="Courier New" w:cs="Courier New" w:eastAsia="Courier New" w:hAnsi="Courier New"/>
          <w:sz w:val="16"/>
          <w:szCs w:val="16"/>
          <w:color w:val="auto"/>
        </w:rPr>
        <w:t>WHERE YOU CAN FIND MORE INFORMATION</w:t>
      </w:r>
    </w:p>
    <w:p>
      <w:pPr>
        <w:spacing w:after="0" w:line="191" w:lineRule="exact"/>
        <w:rPr>
          <w:sz w:val="20"/>
          <w:szCs w:val="20"/>
          <w:color w:val="auto"/>
        </w:rPr>
      </w:pPr>
    </w:p>
    <w:p>
      <w:pPr>
        <w:ind w:right="2459" w:firstLine="872"/>
        <w:spacing w:after="0" w:line="247" w:lineRule="auto"/>
        <w:rPr>
          <w:sz w:val="20"/>
          <w:szCs w:val="20"/>
          <w:color w:val="auto"/>
        </w:rPr>
      </w:pPr>
      <w:r>
        <w:rPr>
          <w:rFonts w:ascii="Courier New" w:cs="Courier New" w:eastAsia="Courier New" w:hAnsi="Courier New"/>
          <w:sz w:val="16"/>
          <w:szCs w:val="16"/>
          <w:color w:val="auto"/>
        </w:rPr>
        <w:t>We are subject to the informational requirements of the Securities Exchange Act of 1934 and, therefore, we file annual, quarterly and special reports, proxy statements and other information with the Securities and Exchange Commission. You can inspect and copy any document we file with the Commission at the following locations:</w:t>
      </w:r>
    </w:p>
    <w:p>
      <w:pPr>
        <w:spacing w:after="0" w:line="372" w:lineRule="exact"/>
        <w:rPr>
          <w:sz w:val="20"/>
          <w:szCs w:val="20"/>
          <w:color w:val="auto"/>
        </w:rPr>
      </w:pPr>
    </w:p>
    <w:p>
      <w:pPr>
        <w:ind w:left="1060" w:right="2659" w:hanging="189"/>
        <w:spacing w:after="0" w:line="248" w:lineRule="auto"/>
        <w:tabs>
          <w:tab w:leader="none" w:pos="1060" w:val="left"/>
        </w:tabs>
        <w:numPr>
          <w:ilvl w:val="0"/>
          <w:numId w:val="61"/>
        </w:numPr>
        <w:rPr>
          <w:rFonts w:ascii="Courier New" w:cs="Courier New" w:eastAsia="Courier New" w:hAnsi="Courier New"/>
          <w:sz w:val="16"/>
          <w:szCs w:val="16"/>
          <w:color w:val="auto"/>
        </w:rPr>
      </w:pPr>
      <w:r>
        <w:rPr>
          <w:rFonts w:ascii="Courier New" w:cs="Courier New" w:eastAsia="Courier New" w:hAnsi="Courier New"/>
          <w:sz w:val="16"/>
          <w:szCs w:val="16"/>
          <w:color w:val="auto"/>
        </w:rPr>
        <w:t>at the Public Reference Room of the Commission, Room 1024-Judiciary Plaza, 450 Fifth Street, N.W., Washington, D.C. 20549;</w:t>
      </w:r>
    </w:p>
    <w:p>
      <w:pPr>
        <w:spacing w:after="0" w:line="184" w:lineRule="exact"/>
        <w:rPr>
          <w:rFonts w:ascii="Courier New" w:cs="Courier New" w:eastAsia="Courier New" w:hAnsi="Courier New"/>
          <w:sz w:val="16"/>
          <w:szCs w:val="16"/>
          <w:color w:val="auto"/>
        </w:rPr>
      </w:pPr>
    </w:p>
    <w:p>
      <w:pPr>
        <w:ind w:left="1060" w:right="2659" w:hanging="189"/>
        <w:spacing w:after="0" w:line="248" w:lineRule="auto"/>
        <w:tabs>
          <w:tab w:leader="none" w:pos="1060" w:val="left"/>
        </w:tabs>
        <w:numPr>
          <w:ilvl w:val="0"/>
          <w:numId w:val="61"/>
        </w:numPr>
        <w:rPr>
          <w:rFonts w:ascii="Courier New" w:cs="Courier New" w:eastAsia="Courier New" w:hAnsi="Courier New"/>
          <w:sz w:val="16"/>
          <w:szCs w:val="16"/>
          <w:color w:val="auto"/>
        </w:rPr>
      </w:pPr>
      <w:r>
        <w:rPr>
          <w:rFonts w:ascii="Courier New" w:cs="Courier New" w:eastAsia="Courier New" w:hAnsi="Courier New"/>
          <w:sz w:val="16"/>
          <w:szCs w:val="16"/>
          <w:color w:val="auto"/>
        </w:rPr>
        <w:t>at the Public Reference Room of the Commission's regional office at Seven World Trade Center, 13th Floor, New York, New York 10048;</w:t>
      </w:r>
    </w:p>
    <w:p>
      <w:pPr>
        <w:spacing w:after="0" w:line="184" w:lineRule="exact"/>
        <w:rPr>
          <w:rFonts w:ascii="Courier New" w:cs="Courier New" w:eastAsia="Courier New" w:hAnsi="Courier New"/>
          <w:sz w:val="16"/>
          <w:szCs w:val="16"/>
          <w:color w:val="auto"/>
        </w:rPr>
      </w:pPr>
    </w:p>
    <w:p>
      <w:pPr>
        <w:ind w:left="1060" w:right="2659" w:hanging="189"/>
        <w:spacing w:after="0" w:line="247" w:lineRule="auto"/>
        <w:tabs>
          <w:tab w:leader="none" w:pos="1060" w:val="left"/>
        </w:tabs>
        <w:numPr>
          <w:ilvl w:val="0"/>
          <w:numId w:val="61"/>
        </w:numPr>
        <w:rPr>
          <w:rFonts w:ascii="Courier New" w:cs="Courier New" w:eastAsia="Courier New" w:hAnsi="Courier New"/>
          <w:sz w:val="16"/>
          <w:szCs w:val="16"/>
          <w:color w:val="auto"/>
        </w:rPr>
      </w:pPr>
      <w:r>
        <w:rPr>
          <w:rFonts w:ascii="Courier New" w:cs="Courier New" w:eastAsia="Courier New" w:hAnsi="Courier New"/>
          <w:sz w:val="16"/>
          <w:szCs w:val="16"/>
          <w:color w:val="auto"/>
        </w:rPr>
        <w:t>at the Public Reference Room of the Commission's regional office at Northwestern Atrium Center, 500 West Madison Street, Suite 1400, Chicago, Illinois 60661;</w:t>
      </w:r>
    </w:p>
    <w:p>
      <w:pPr>
        <w:spacing w:after="0" w:line="185" w:lineRule="exact"/>
        <w:rPr>
          <w:rFonts w:ascii="Courier New" w:cs="Courier New" w:eastAsia="Courier New" w:hAnsi="Courier New"/>
          <w:sz w:val="16"/>
          <w:szCs w:val="16"/>
          <w:color w:val="auto"/>
        </w:rPr>
      </w:pPr>
    </w:p>
    <w:p>
      <w:pPr>
        <w:ind w:left="1060" w:right="2459" w:hanging="189"/>
        <w:spacing w:after="0" w:line="248" w:lineRule="auto"/>
        <w:tabs>
          <w:tab w:leader="none" w:pos="1060" w:val="left"/>
        </w:tabs>
        <w:numPr>
          <w:ilvl w:val="0"/>
          <w:numId w:val="61"/>
        </w:numPr>
        <w:rPr>
          <w:rFonts w:ascii="Courier New" w:cs="Courier New" w:eastAsia="Courier New" w:hAnsi="Courier New"/>
          <w:sz w:val="16"/>
          <w:szCs w:val="16"/>
          <w:color w:val="auto"/>
        </w:rPr>
      </w:pPr>
      <w:r>
        <w:rPr>
          <w:rFonts w:ascii="Courier New" w:cs="Courier New" w:eastAsia="Courier New" w:hAnsi="Courier New"/>
          <w:sz w:val="16"/>
          <w:szCs w:val="16"/>
          <w:color w:val="auto"/>
        </w:rPr>
        <w:t>by writing the Commission, Public Reference Section, Judiciary Plaza, 450 Fifth Street, N.W., Washington, D.C. 20549;</w:t>
      </w:r>
    </w:p>
    <w:p>
      <w:pPr>
        <w:spacing w:after="0" w:line="184" w:lineRule="exact"/>
        <w:rPr>
          <w:rFonts w:ascii="Courier New" w:cs="Courier New" w:eastAsia="Courier New" w:hAnsi="Courier New"/>
          <w:sz w:val="16"/>
          <w:szCs w:val="16"/>
          <w:color w:val="auto"/>
        </w:rPr>
      </w:pPr>
    </w:p>
    <w:p>
      <w:pPr>
        <w:ind w:left="1060" w:right="2659" w:hanging="189"/>
        <w:spacing w:after="0" w:line="247" w:lineRule="auto"/>
        <w:tabs>
          <w:tab w:leader="none" w:pos="1060" w:val="left"/>
        </w:tabs>
        <w:numPr>
          <w:ilvl w:val="0"/>
          <w:numId w:val="61"/>
        </w:numPr>
        <w:rPr>
          <w:rFonts w:ascii="Courier New" w:cs="Courier New" w:eastAsia="Courier New" w:hAnsi="Courier New"/>
          <w:sz w:val="16"/>
          <w:szCs w:val="16"/>
          <w:color w:val="auto"/>
        </w:rPr>
      </w:pPr>
      <w:r>
        <w:rPr>
          <w:rFonts w:ascii="Courier New" w:cs="Courier New" w:eastAsia="Courier New" w:hAnsi="Courier New"/>
          <w:sz w:val="16"/>
          <w:szCs w:val="16"/>
          <w:color w:val="auto"/>
        </w:rPr>
        <w:t>at the offices of the National Association of Securities Dealers, Inc., Reports Section, 1735 K Street, N.W., Washington, D.C. 20006; or</w:t>
      </w:r>
    </w:p>
    <w:p>
      <w:pPr>
        <w:spacing w:after="0" w:line="185" w:lineRule="exact"/>
        <w:rPr>
          <w:rFonts w:ascii="Courier New" w:cs="Courier New" w:eastAsia="Courier New" w:hAnsi="Courier New"/>
          <w:sz w:val="16"/>
          <w:szCs w:val="16"/>
          <w:color w:val="auto"/>
        </w:rPr>
      </w:pPr>
    </w:p>
    <w:p>
      <w:pPr>
        <w:ind w:left="1060" w:hanging="189"/>
        <w:spacing w:after="0"/>
        <w:tabs>
          <w:tab w:leader="none" w:pos="1060" w:val="left"/>
        </w:tabs>
        <w:numPr>
          <w:ilvl w:val="0"/>
          <w:numId w:val="61"/>
        </w:numPr>
        <w:rPr>
          <w:rFonts w:ascii="Courier New" w:cs="Courier New" w:eastAsia="Courier New" w:hAnsi="Courier New"/>
          <w:sz w:val="16"/>
          <w:szCs w:val="16"/>
          <w:color w:val="auto"/>
        </w:rPr>
      </w:pPr>
      <w:r>
        <w:rPr>
          <w:rFonts w:ascii="Courier New" w:cs="Courier New" w:eastAsia="Courier New" w:hAnsi="Courier New"/>
          <w:sz w:val="16"/>
          <w:szCs w:val="16"/>
          <w:color w:val="auto"/>
        </w:rPr>
        <w:t>from the Commission's web site at www.sec.gov.</w:t>
      </w:r>
    </w:p>
    <w:p>
      <w:pPr>
        <w:spacing w:after="0" w:line="378" w:lineRule="exact"/>
        <w:rPr>
          <w:sz w:val="20"/>
          <w:szCs w:val="20"/>
          <w:color w:val="auto"/>
        </w:rPr>
      </w:pPr>
    </w:p>
    <w:p>
      <w:pPr>
        <w:ind w:left="880"/>
        <w:spacing w:after="0"/>
        <w:rPr>
          <w:sz w:val="20"/>
          <w:szCs w:val="20"/>
          <w:color w:val="auto"/>
        </w:rPr>
      </w:pPr>
      <w:r>
        <w:rPr>
          <w:rFonts w:ascii="Courier New" w:cs="Courier New" w:eastAsia="Courier New" w:hAnsi="Courier New"/>
          <w:sz w:val="16"/>
          <w:szCs w:val="16"/>
          <w:color w:val="auto"/>
        </w:rPr>
        <w:t>Some of these locations may charge a prescribed fee or modest fee for</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copies.</w:t>
      </w:r>
    </w:p>
    <w:p>
      <w:pPr>
        <w:spacing w:after="0" w:line="191" w:lineRule="exact"/>
        <w:rPr>
          <w:sz w:val="20"/>
          <w:szCs w:val="20"/>
          <w:color w:val="auto"/>
        </w:rPr>
      </w:pPr>
    </w:p>
    <w:p>
      <w:pPr>
        <w:ind w:right="2459" w:firstLine="872"/>
        <w:spacing w:after="0" w:line="246" w:lineRule="auto"/>
        <w:rPr>
          <w:sz w:val="20"/>
          <w:szCs w:val="20"/>
          <w:color w:val="auto"/>
        </w:rPr>
      </w:pPr>
      <w:r>
        <w:rPr>
          <w:rFonts w:ascii="Courier New" w:cs="Courier New" w:eastAsia="Courier New" w:hAnsi="Courier New"/>
          <w:sz w:val="16"/>
          <w:szCs w:val="16"/>
          <w:color w:val="auto"/>
        </w:rPr>
        <w:t>We have filed with the Commission a registration statement and related exhibits under the Securities Act of 1933. The registration statement relates to the securities offered by the selling securityholders. As permitted by the Commission, this prospectus, which constitutes a part of the registration statement, does not contain all the information included in the registration statement. Such additional information may be obtained from the locations described above. Statement contained in this prospectus as to contents of any contract or other document are not necessarily complete. You should refer to the contract or other document for all the details.</w:t>
      </w:r>
    </w:p>
    <w:p>
      <w:pPr>
        <w:spacing w:after="0" w:line="378"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42</w:t>
      </w:r>
    </w:p>
    <w:p>
      <w:pPr>
        <w:sectPr>
          <w:pgSz w:w="11900" w:h="16838" w:orient="portrait"/>
          <w:cols w:equalWidth="0" w:num="1">
            <w:col w:w="10219"/>
          </w:cols>
          <w:pgMar w:left="240" w:top="303" w:right="1440" w:bottom="1440" w:gutter="0" w:footer="0" w:header="0"/>
        </w:sectPr>
      </w:pPr>
    </w:p>
    <w:bookmarkStart w:id="48" w:name="page49"/>
    <w:bookmarkEnd w:id="48"/>
    <w:p>
      <w:pPr>
        <w:ind w:left="300"/>
        <w:spacing w:after="0"/>
        <w:rPr>
          <w:sz w:val="20"/>
          <w:szCs w:val="20"/>
          <w:color w:val="auto"/>
        </w:rPr>
      </w:pPr>
      <w:r>
        <w:rPr>
          <w:rFonts w:ascii="Courier New" w:cs="Courier New" w:eastAsia="Courier New" w:hAnsi="Courier New"/>
          <w:sz w:val="16"/>
          <w:szCs w:val="16"/>
          <w:color w:val="auto"/>
        </w:rPr>
        <w:t>43</w:t>
      </w:r>
    </w:p>
    <w:p>
      <w:pPr>
        <w:spacing w:after="0" w:line="5" w:lineRule="exact"/>
        <w:rPr>
          <w:sz w:val="20"/>
          <w:szCs w:val="20"/>
          <w:color w:val="auto"/>
        </w:rPr>
      </w:pPr>
    </w:p>
    <w:p>
      <w:pPr>
        <w:ind w:left="2040"/>
        <w:spacing w:after="0"/>
        <w:rPr>
          <w:sz w:val="20"/>
          <w:szCs w:val="20"/>
          <w:color w:val="auto"/>
        </w:rPr>
      </w:pPr>
      <w:r>
        <w:rPr>
          <w:rFonts w:ascii="Courier New" w:cs="Courier New" w:eastAsia="Courier New" w:hAnsi="Courier New"/>
          <w:sz w:val="16"/>
          <w:szCs w:val="16"/>
          <w:color w:val="auto"/>
        </w:rPr>
        <w:t>INCORPORATION OF DOCUMENTS BY REFERENCE</w:t>
      </w:r>
    </w:p>
    <w:p>
      <w:pPr>
        <w:spacing w:after="0" w:line="191" w:lineRule="exact"/>
        <w:rPr>
          <w:sz w:val="20"/>
          <w:szCs w:val="20"/>
          <w:color w:val="auto"/>
        </w:rPr>
      </w:pPr>
    </w:p>
    <w:p>
      <w:pPr>
        <w:ind w:right="2459" w:firstLine="872"/>
        <w:spacing w:after="0" w:line="247" w:lineRule="auto"/>
        <w:rPr>
          <w:sz w:val="20"/>
          <w:szCs w:val="20"/>
          <w:color w:val="auto"/>
        </w:rPr>
      </w:pPr>
      <w:r>
        <w:rPr>
          <w:rFonts w:ascii="Courier New" w:cs="Courier New" w:eastAsia="Courier New" w:hAnsi="Courier New"/>
          <w:sz w:val="16"/>
          <w:szCs w:val="16"/>
          <w:color w:val="auto"/>
        </w:rPr>
        <w:t>The following documents, previously filed by us with the Commission pursuant to the Securities Exchange Act of 1934, are incorporated by reference into this prospectus and should be considered a part of the prospectus. Information that we later file with the Commission will automatically update and supersede the information contained in this prospectus and is incorporated by reference.</w:t>
      </w:r>
    </w:p>
    <w:p>
      <w:pPr>
        <w:spacing w:after="0" w:line="372" w:lineRule="exact"/>
        <w:rPr>
          <w:sz w:val="20"/>
          <w:szCs w:val="20"/>
          <w:color w:val="auto"/>
        </w:rPr>
      </w:pPr>
    </w:p>
    <w:p>
      <w:pPr>
        <w:ind w:left="1060" w:right="2859" w:hanging="189"/>
        <w:spacing w:after="0" w:line="248" w:lineRule="auto"/>
        <w:tabs>
          <w:tab w:leader="none" w:pos="1060" w:val="left"/>
        </w:tabs>
        <w:numPr>
          <w:ilvl w:val="0"/>
          <w:numId w:val="62"/>
        </w:numPr>
        <w:rPr>
          <w:rFonts w:ascii="Courier New" w:cs="Courier New" w:eastAsia="Courier New" w:hAnsi="Courier New"/>
          <w:sz w:val="16"/>
          <w:szCs w:val="16"/>
          <w:color w:val="auto"/>
        </w:rPr>
      </w:pPr>
      <w:r>
        <w:rPr>
          <w:rFonts w:ascii="Courier New" w:cs="Courier New" w:eastAsia="Courier New" w:hAnsi="Courier New"/>
          <w:sz w:val="16"/>
          <w:szCs w:val="16"/>
          <w:color w:val="auto"/>
        </w:rPr>
        <w:t>Our Annual Report on Form 10-K for the fiscal year ended June 30, 1999 (filed September 28, 1999);</w:t>
      </w:r>
    </w:p>
    <w:p>
      <w:pPr>
        <w:spacing w:after="0" w:line="370" w:lineRule="exact"/>
        <w:rPr>
          <w:rFonts w:ascii="Courier New" w:cs="Courier New" w:eastAsia="Courier New" w:hAnsi="Courier New"/>
          <w:sz w:val="16"/>
          <w:szCs w:val="16"/>
          <w:color w:val="auto"/>
        </w:rPr>
      </w:pPr>
    </w:p>
    <w:p>
      <w:pPr>
        <w:ind w:left="1060" w:right="2759" w:hanging="189"/>
        <w:spacing w:after="0" w:line="248" w:lineRule="auto"/>
        <w:tabs>
          <w:tab w:leader="none" w:pos="1060" w:val="left"/>
        </w:tabs>
        <w:numPr>
          <w:ilvl w:val="0"/>
          <w:numId w:val="62"/>
        </w:numPr>
        <w:rPr>
          <w:rFonts w:ascii="Courier New" w:cs="Courier New" w:eastAsia="Courier New" w:hAnsi="Courier New"/>
          <w:sz w:val="16"/>
          <w:szCs w:val="16"/>
          <w:color w:val="auto"/>
        </w:rPr>
      </w:pPr>
      <w:r>
        <w:rPr>
          <w:rFonts w:ascii="Courier New" w:cs="Courier New" w:eastAsia="Courier New" w:hAnsi="Courier New"/>
          <w:sz w:val="16"/>
          <w:szCs w:val="16"/>
          <w:color w:val="auto"/>
        </w:rPr>
        <w:t>Our Proxy Statement for the Annual Meeting of Stockholders held on November 4, 1999 (filed October 8, 1999);</w:t>
      </w:r>
    </w:p>
    <w:p>
      <w:pPr>
        <w:spacing w:after="0" w:line="370" w:lineRule="exact"/>
        <w:rPr>
          <w:rFonts w:ascii="Courier New" w:cs="Courier New" w:eastAsia="Courier New" w:hAnsi="Courier New"/>
          <w:sz w:val="16"/>
          <w:szCs w:val="16"/>
          <w:color w:val="auto"/>
        </w:rPr>
      </w:pPr>
    </w:p>
    <w:p>
      <w:pPr>
        <w:ind w:left="1060" w:right="2459" w:hanging="189"/>
        <w:spacing w:after="0" w:line="247" w:lineRule="auto"/>
        <w:tabs>
          <w:tab w:leader="none" w:pos="1060" w:val="left"/>
        </w:tabs>
        <w:numPr>
          <w:ilvl w:val="0"/>
          <w:numId w:val="62"/>
        </w:numPr>
        <w:rPr>
          <w:rFonts w:ascii="Courier New" w:cs="Courier New" w:eastAsia="Courier New" w:hAnsi="Courier New"/>
          <w:sz w:val="16"/>
          <w:szCs w:val="16"/>
          <w:color w:val="auto"/>
        </w:rPr>
      </w:pPr>
      <w:r>
        <w:rPr>
          <w:rFonts w:ascii="Courier New" w:cs="Courier New" w:eastAsia="Courier New" w:hAnsi="Courier New"/>
          <w:sz w:val="16"/>
          <w:szCs w:val="16"/>
          <w:color w:val="auto"/>
        </w:rPr>
        <w:t>Our Quarterly Reports on Form 10-Q for the quarter ended September 30, 1999 (filed November 15, 1999) and for the quarter ended December 31, 1999 (filed February 10, 2000);</w:t>
      </w:r>
    </w:p>
    <w:p>
      <w:pPr>
        <w:spacing w:after="0" w:line="185" w:lineRule="exact"/>
        <w:rPr>
          <w:rFonts w:ascii="Courier New" w:cs="Courier New" w:eastAsia="Courier New" w:hAnsi="Courier New"/>
          <w:sz w:val="16"/>
          <w:szCs w:val="16"/>
          <w:color w:val="auto"/>
        </w:rPr>
      </w:pPr>
    </w:p>
    <w:p>
      <w:pPr>
        <w:ind w:left="1060" w:right="3139" w:hanging="189"/>
        <w:spacing w:after="0" w:line="246" w:lineRule="auto"/>
        <w:tabs>
          <w:tab w:leader="none" w:pos="1060" w:val="left"/>
        </w:tabs>
        <w:numPr>
          <w:ilvl w:val="0"/>
          <w:numId w:val="62"/>
        </w:numPr>
        <w:rPr>
          <w:rFonts w:ascii="Courier New" w:cs="Courier New" w:eastAsia="Courier New" w:hAnsi="Courier New"/>
          <w:sz w:val="16"/>
          <w:szCs w:val="16"/>
          <w:color w:val="auto"/>
        </w:rPr>
      </w:pPr>
      <w:r>
        <w:rPr>
          <w:rFonts w:ascii="Courier New" w:cs="Courier New" w:eastAsia="Courier New" w:hAnsi="Courier New"/>
          <w:sz w:val="16"/>
          <w:szCs w:val="16"/>
          <w:color w:val="auto"/>
        </w:rPr>
        <w:t>Our Current Reports on Form 8-K dated November 29, 1999 (filed December 2, 1999), December 20, 1999 (filed December 23,</w:t>
      </w:r>
    </w:p>
    <w:p>
      <w:pPr>
        <w:spacing w:after="0" w:line="1" w:lineRule="exact"/>
        <w:rPr>
          <w:rFonts w:ascii="Courier New" w:cs="Courier New" w:eastAsia="Courier New" w:hAnsi="Courier New"/>
          <w:sz w:val="16"/>
          <w:szCs w:val="16"/>
          <w:color w:val="auto"/>
        </w:rPr>
      </w:pPr>
    </w:p>
    <w:p>
      <w:pPr>
        <w:ind w:left="1060" w:right="2459"/>
        <w:spacing w:after="0" w:line="247"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1999), dated January 11, 2000 (filed January 11, 2000) dated February 15, 2000 (filed February 17, 2000), dated March 16, 2000 (filed March 22, 2000), dated March 28, 2000 (filed March 28, 2000), and dated April 2, 2000 (filed April 3, 2000);</w:t>
      </w:r>
    </w:p>
    <w:p>
      <w:pPr>
        <w:spacing w:after="0" w:line="371" w:lineRule="exact"/>
        <w:rPr>
          <w:rFonts w:ascii="Courier New" w:cs="Courier New" w:eastAsia="Courier New" w:hAnsi="Courier New"/>
          <w:sz w:val="16"/>
          <w:szCs w:val="16"/>
          <w:color w:val="auto"/>
        </w:rPr>
      </w:pPr>
    </w:p>
    <w:p>
      <w:pPr>
        <w:ind w:left="1060" w:right="2559" w:hanging="189"/>
        <w:spacing w:after="0" w:line="247" w:lineRule="auto"/>
        <w:tabs>
          <w:tab w:leader="none" w:pos="1060" w:val="left"/>
        </w:tabs>
        <w:numPr>
          <w:ilvl w:val="0"/>
          <w:numId w:val="6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description of our common stock, contained in the registration statement on Form 8-A filed with the Commission pursuant to Section 12 of the Securities Exchange Act of 1934 and all amendments thereto and reports filed for the purpose of updating such description; and</w:t>
      </w:r>
    </w:p>
    <w:p>
      <w:pPr>
        <w:spacing w:after="0" w:line="185" w:lineRule="exact"/>
        <w:rPr>
          <w:rFonts w:ascii="Courier New" w:cs="Courier New" w:eastAsia="Courier New" w:hAnsi="Courier New"/>
          <w:sz w:val="16"/>
          <w:szCs w:val="16"/>
          <w:color w:val="auto"/>
        </w:rPr>
      </w:pPr>
    </w:p>
    <w:p>
      <w:pPr>
        <w:ind w:left="1060" w:right="2759" w:hanging="189"/>
        <w:spacing w:after="0" w:line="247" w:lineRule="auto"/>
        <w:tabs>
          <w:tab w:leader="none" w:pos="1060" w:val="left"/>
        </w:tabs>
        <w:numPr>
          <w:ilvl w:val="0"/>
          <w:numId w:val="62"/>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All documents filed by us with the Commission pursuant to Sections 13(a), 13(c), 14 or 15(d) of the Securities Exchange Act of 1934 after the date of this prospectus and before the offering of the notes thereby is completed (other than portions of such documents described in paragraphs (i), (k) and (l) of Item 402 of Regulation S-K promulgated by the Commission).</w:t>
      </w:r>
    </w:p>
    <w:p>
      <w:pPr>
        <w:spacing w:after="0" w:line="185" w:lineRule="exact"/>
        <w:rPr>
          <w:sz w:val="20"/>
          <w:szCs w:val="20"/>
          <w:color w:val="auto"/>
        </w:rPr>
      </w:pPr>
    </w:p>
    <w:p>
      <w:pPr>
        <w:ind w:right="2459" w:firstLine="872"/>
        <w:spacing w:after="0" w:line="247" w:lineRule="auto"/>
        <w:rPr>
          <w:sz w:val="20"/>
          <w:szCs w:val="20"/>
          <w:color w:val="auto"/>
        </w:rPr>
      </w:pPr>
      <w:r>
        <w:rPr>
          <w:rFonts w:ascii="Courier New" w:cs="Courier New" w:eastAsia="Courier New" w:hAnsi="Courier New"/>
          <w:sz w:val="16"/>
          <w:szCs w:val="16"/>
          <w:color w:val="auto"/>
        </w:rPr>
        <w:t>These documents are or will be available for inspection or copying at the locations identified above under the caption "Where You Can Find More Information." We will provide without charge to each to whom this prospectus is delivered, upon written or oral request, a copy of any and all of the documents that have been incorporated by reference in this prospectus (other than exhibits to such documents unless such exhibits are specifically incorporated by reference). You should direct requests for documents to:</w:t>
      </w:r>
    </w:p>
    <w:p>
      <w:pPr>
        <w:spacing w:after="0" w:line="371" w:lineRule="exact"/>
        <w:rPr>
          <w:sz w:val="20"/>
          <w:szCs w:val="20"/>
          <w:color w:val="auto"/>
        </w:rPr>
      </w:pPr>
    </w:p>
    <w:p>
      <w:pPr>
        <w:ind w:left="880"/>
        <w:spacing w:after="0"/>
        <w:rPr>
          <w:sz w:val="20"/>
          <w:szCs w:val="20"/>
          <w:color w:val="auto"/>
        </w:rPr>
      </w:pPr>
      <w:r>
        <w:rPr>
          <w:rFonts w:ascii="Courier New" w:cs="Courier New" w:eastAsia="Courier New" w:hAnsi="Courier New"/>
          <w:sz w:val="16"/>
          <w:szCs w:val="16"/>
          <w:color w:val="auto"/>
        </w:rPr>
        <w:t>CheckFree Holdings Corporation</w:t>
      </w:r>
    </w:p>
    <w:p>
      <w:pPr>
        <w:spacing w:after="0" w:line="5" w:lineRule="exact"/>
        <w:rPr>
          <w:sz w:val="20"/>
          <w:szCs w:val="20"/>
          <w:color w:val="auto"/>
        </w:rPr>
      </w:pPr>
    </w:p>
    <w:p>
      <w:pPr>
        <w:ind w:left="880"/>
        <w:spacing w:after="0"/>
        <w:rPr>
          <w:sz w:val="20"/>
          <w:szCs w:val="20"/>
          <w:color w:val="auto"/>
        </w:rPr>
      </w:pPr>
      <w:r>
        <w:rPr>
          <w:rFonts w:ascii="Courier New" w:cs="Courier New" w:eastAsia="Courier New" w:hAnsi="Courier New"/>
          <w:sz w:val="16"/>
          <w:szCs w:val="16"/>
          <w:color w:val="auto"/>
        </w:rPr>
        <w:t>4411 East Jones Bridge Road</w:t>
      </w:r>
    </w:p>
    <w:p>
      <w:pPr>
        <w:spacing w:after="0" w:line="5" w:lineRule="exact"/>
        <w:rPr>
          <w:sz w:val="20"/>
          <w:szCs w:val="20"/>
          <w:color w:val="auto"/>
        </w:rPr>
      </w:pPr>
    </w:p>
    <w:p>
      <w:pPr>
        <w:ind w:left="880"/>
        <w:spacing w:after="0"/>
        <w:rPr>
          <w:sz w:val="20"/>
          <w:szCs w:val="20"/>
          <w:color w:val="auto"/>
        </w:rPr>
      </w:pPr>
      <w:r>
        <w:rPr>
          <w:rFonts w:ascii="Courier New" w:cs="Courier New" w:eastAsia="Courier New" w:hAnsi="Courier New"/>
          <w:sz w:val="16"/>
          <w:szCs w:val="16"/>
          <w:color w:val="auto"/>
        </w:rPr>
        <w:t>Norcross, Georgia 30092</w:t>
      </w:r>
    </w:p>
    <w:p>
      <w:pPr>
        <w:spacing w:after="0" w:line="5" w:lineRule="exact"/>
        <w:rPr>
          <w:sz w:val="20"/>
          <w:szCs w:val="20"/>
          <w:color w:val="auto"/>
        </w:rPr>
      </w:pPr>
    </w:p>
    <w:p>
      <w:pPr>
        <w:ind w:left="880"/>
        <w:spacing w:after="0"/>
        <w:rPr>
          <w:sz w:val="20"/>
          <w:szCs w:val="20"/>
          <w:color w:val="auto"/>
        </w:rPr>
      </w:pPr>
      <w:r>
        <w:rPr>
          <w:rFonts w:ascii="Courier New" w:cs="Courier New" w:eastAsia="Courier New" w:hAnsi="Courier New"/>
          <w:sz w:val="16"/>
          <w:szCs w:val="16"/>
          <w:color w:val="auto"/>
        </w:rPr>
        <w:t>Attention: Investor Relations</w:t>
      </w:r>
    </w:p>
    <w:p>
      <w:pPr>
        <w:spacing w:after="0" w:line="5" w:lineRule="exact"/>
        <w:rPr>
          <w:sz w:val="20"/>
          <w:szCs w:val="20"/>
          <w:color w:val="auto"/>
        </w:rPr>
      </w:pPr>
    </w:p>
    <w:p>
      <w:pPr>
        <w:ind w:left="880"/>
        <w:spacing w:after="0"/>
        <w:rPr>
          <w:sz w:val="20"/>
          <w:szCs w:val="20"/>
          <w:color w:val="auto"/>
        </w:rPr>
      </w:pPr>
      <w:r>
        <w:rPr>
          <w:rFonts w:ascii="Courier New" w:cs="Courier New" w:eastAsia="Courier New" w:hAnsi="Courier New"/>
          <w:sz w:val="16"/>
          <w:szCs w:val="16"/>
          <w:color w:val="auto"/>
        </w:rPr>
        <w:t>Telephone Number: (678) 375-3000</w:t>
      </w:r>
    </w:p>
    <w:p>
      <w:pPr>
        <w:spacing w:after="0" w:line="200" w:lineRule="exact"/>
        <w:rPr>
          <w:sz w:val="20"/>
          <w:szCs w:val="20"/>
          <w:color w:val="auto"/>
        </w:rPr>
      </w:pPr>
    </w:p>
    <w:p>
      <w:pPr>
        <w:spacing w:after="0" w:line="364"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43</w:t>
      </w:r>
    </w:p>
    <w:p>
      <w:pPr>
        <w:sectPr>
          <w:pgSz w:w="11900" w:h="16838" w:orient="portrait"/>
          <w:cols w:equalWidth="0" w:num="1">
            <w:col w:w="10219"/>
          </w:cols>
          <w:pgMar w:left="240" w:top="303" w:right="1440" w:bottom="1440" w:gutter="0" w:footer="0" w:header="0"/>
        </w:sectPr>
      </w:pPr>
    </w:p>
    <w:bookmarkStart w:id="49" w:name="page50"/>
    <w:bookmarkEnd w:id="49"/>
    <w:p>
      <w:pPr>
        <w:ind w:left="300"/>
        <w:spacing w:after="0"/>
        <w:rPr>
          <w:sz w:val="20"/>
          <w:szCs w:val="20"/>
          <w:color w:val="auto"/>
        </w:rPr>
      </w:pPr>
      <w:r>
        <w:rPr>
          <w:rFonts w:ascii="Courier New" w:cs="Courier New" w:eastAsia="Courier New" w:hAnsi="Courier New"/>
          <w:sz w:val="16"/>
          <w:szCs w:val="16"/>
          <w:color w:val="auto"/>
        </w:rPr>
        <w:t>44</w:t>
      </w:r>
    </w:p>
    <w:p>
      <w:pPr>
        <w:spacing w:after="0" w:line="200" w:lineRule="exact"/>
        <w:rPr>
          <w:sz w:val="20"/>
          <w:szCs w:val="20"/>
          <w:color w:val="auto"/>
        </w:rPr>
      </w:pPr>
    </w:p>
    <w:p>
      <w:pPr>
        <w:spacing w:after="0" w:line="364" w:lineRule="exact"/>
        <w:rPr>
          <w:sz w:val="20"/>
          <w:szCs w:val="20"/>
          <w:color w:val="auto"/>
        </w:rPr>
      </w:pPr>
    </w:p>
    <w:p>
      <w:pPr>
        <w:jc w:val="center"/>
        <w:ind w:right="2359"/>
        <w:spacing w:after="0"/>
        <w:rPr>
          <w:sz w:val="20"/>
          <w:szCs w:val="20"/>
          <w:color w:val="auto"/>
        </w:rPr>
      </w:pPr>
      <w:r>
        <w:rPr>
          <w:rFonts w:ascii="Courier New" w:cs="Courier New" w:eastAsia="Courier New" w:hAnsi="Courier New"/>
          <w:sz w:val="16"/>
          <w:szCs w:val="16"/>
          <w:color w:val="auto"/>
        </w:rPr>
        <w:t>PART II</w:t>
      </w:r>
    </w:p>
    <w:p>
      <w:pPr>
        <w:spacing w:after="0" w:line="191" w:lineRule="exact"/>
        <w:rPr>
          <w:sz w:val="20"/>
          <w:szCs w:val="20"/>
          <w:color w:val="auto"/>
        </w:rPr>
      </w:pPr>
    </w:p>
    <w:p>
      <w:pPr>
        <w:ind w:left="2040"/>
        <w:spacing w:after="0"/>
        <w:rPr>
          <w:sz w:val="20"/>
          <w:szCs w:val="20"/>
          <w:color w:val="auto"/>
        </w:rPr>
      </w:pPr>
      <w:r>
        <w:rPr>
          <w:rFonts w:ascii="Courier New" w:cs="Courier New" w:eastAsia="Courier New" w:hAnsi="Courier New"/>
          <w:sz w:val="16"/>
          <w:szCs w:val="16"/>
          <w:color w:val="auto"/>
        </w:rPr>
        <w:t>INFORMATION NOT REQUIRED IN PROSPECTUS</w:t>
      </w:r>
    </w:p>
    <w:p>
      <w:pPr>
        <w:spacing w:after="0" w:line="191" w:lineRule="exact"/>
        <w:rPr>
          <w:sz w:val="20"/>
          <w:szCs w:val="20"/>
          <w:color w:val="auto"/>
        </w:rPr>
      </w:pPr>
    </w:p>
    <w:p>
      <w:pPr>
        <w:spacing w:after="0"/>
        <w:tabs>
          <w:tab w:leader="none" w:pos="1720" w:val="left"/>
        </w:tabs>
        <w:rPr>
          <w:sz w:val="20"/>
          <w:szCs w:val="20"/>
          <w:color w:val="auto"/>
        </w:rPr>
      </w:pPr>
      <w:r>
        <w:rPr>
          <w:rFonts w:ascii="Courier New" w:cs="Courier New" w:eastAsia="Courier New" w:hAnsi="Courier New"/>
          <w:sz w:val="16"/>
          <w:szCs w:val="16"/>
          <w:color w:val="auto"/>
        </w:rPr>
        <w:t>ITEM 14.</w:t>
      </w:r>
      <w:r>
        <w:rPr>
          <w:sz w:val="20"/>
          <w:szCs w:val="20"/>
          <w:color w:val="auto"/>
        </w:rPr>
        <w:tab/>
      </w:r>
      <w:r>
        <w:rPr>
          <w:rFonts w:ascii="Courier New" w:cs="Courier New" w:eastAsia="Courier New" w:hAnsi="Courier New"/>
          <w:sz w:val="16"/>
          <w:szCs w:val="16"/>
          <w:color w:val="auto"/>
        </w:rPr>
        <w:t>OTHER EXPENSES OF ISSUANCE AND DISTRIBUTION</w:t>
      </w:r>
    </w:p>
    <w:p>
      <w:pPr>
        <w:spacing w:after="0" w:line="191" w:lineRule="exact"/>
        <w:rPr>
          <w:sz w:val="20"/>
          <w:szCs w:val="20"/>
          <w:color w:val="auto"/>
        </w:rPr>
      </w:pPr>
    </w:p>
    <w:p>
      <w:pPr>
        <w:ind w:right="2659" w:firstLine="872"/>
        <w:spacing w:after="0" w:line="247" w:lineRule="auto"/>
        <w:rPr>
          <w:sz w:val="20"/>
          <w:szCs w:val="20"/>
          <w:color w:val="auto"/>
        </w:rPr>
      </w:pPr>
      <w:r>
        <w:rPr>
          <w:rFonts w:ascii="Courier New" w:cs="Courier New" w:eastAsia="Courier New" w:hAnsi="Courier New"/>
          <w:sz w:val="16"/>
          <w:szCs w:val="16"/>
          <w:color w:val="auto"/>
        </w:rPr>
        <w:t>The following table sets forth the various expenses to be paid by the Company in connection with the sale and distribution of the securities being registered hereby, other than underwriting discounts and commissions. All amounts shown are estimates, except the SEC registration fee and the Nasdaq National Market listing fee:</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820" w:type="dxa"/>
            <w:vAlign w:val="bottom"/>
          </w:tcPr>
          <w:p>
            <w:pPr>
              <w:spacing w:after="0"/>
              <w:rPr>
                <w:sz w:val="15"/>
                <w:szCs w:val="15"/>
                <w:color w:val="auto"/>
              </w:rPr>
            </w:pPr>
          </w:p>
        </w:tc>
        <w:tc>
          <w:tcPr>
            <w:tcW w:w="5140" w:type="dxa"/>
            <w:vAlign w:val="bottom"/>
            <w:gridSpan w:val="2"/>
          </w:tcPr>
          <w:p>
            <w:pPr>
              <w:ind w:left="60"/>
              <w:spacing w:after="0"/>
              <w:rPr>
                <w:sz w:val="20"/>
                <w:szCs w:val="20"/>
                <w:color w:val="auto"/>
              </w:rPr>
            </w:pPr>
            <w:r>
              <w:rPr>
                <w:rFonts w:ascii="Courier New" w:cs="Courier New" w:eastAsia="Courier New" w:hAnsi="Courier New"/>
                <w:sz w:val="16"/>
                <w:szCs w:val="16"/>
                <w:color w:val="auto"/>
              </w:rPr>
              <w:t>SEC Registration Fee..............................</w:t>
            </w:r>
          </w:p>
        </w:tc>
        <w:tc>
          <w:tcPr>
            <w:tcW w:w="102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$ 45,540</w:t>
            </w:r>
          </w:p>
        </w:tc>
      </w:tr>
      <w:tr>
        <w:trPr>
          <w:trHeight w:val="186"/>
        </w:trPr>
        <w:tc>
          <w:tcPr>
            <w:tcW w:w="820" w:type="dxa"/>
            <w:vAlign w:val="bottom"/>
          </w:tcPr>
          <w:p>
            <w:pPr>
              <w:spacing w:after="0"/>
              <w:rPr>
                <w:sz w:val="16"/>
                <w:szCs w:val="16"/>
                <w:color w:val="auto"/>
              </w:rPr>
            </w:pPr>
          </w:p>
        </w:tc>
        <w:tc>
          <w:tcPr>
            <w:tcW w:w="2280" w:type="dxa"/>
            <w:vAlign w:val="bottom"/>
          </w:tcPr>
          <w:p>
            <w:pPr>
              <w:ind w:left="60"/>
              <w:spacing w:after="0"/>
              <w:rPr>
                <w:sz w:val="20"/>
                <w:szCs w:val="20"/>
                <w:color w:val="auto"/>
              </w:rPr>
            </w:pPr>
            <w:r>
              <w:rPr>
                <w:rFonts w:ascii="Courier New" w:cs="Courier New" w:eastAsia="Courier New" w:hAnsi="Courier New"/>
                <w:sz w:val="16"/>
                <w:szCs w:val="16"/>
                <w:color w:val="auto"/>
              </w:rPr>
              <w:t>Nasdaq National Market</w:t>
            </w:r>
          </w:p>
        </w:tc>
        <w:tc>
          <w:tcPr>
            <w:tcW w:w="286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listing fee................</w:t>
            </w:r>
          </w:p>
        </w:tc>
        <w:tc>
          <w:tcPr>
            <w:tcW w:w="102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$ 17,500</w:t>
            </w:r>
          </w:p>
        </w:tc>
      </w:tr>
      <w:tr>
        <w:trPr>
          <w:trHeight w:val="186"/>
        </w:trPr>
        <w:tc>
          <w:tcPr>
            <w:tcW w:w="820" w:type="dxa"/>
            <w:vAlign w:val="bottom"/>
          </w:tcPr>
          <w:p>
            <w:pPr>
              <w:spacing w:after="0"/>
              <w:rPr>
                <w:sz w:val="16"/>
                <w:szCs w:val="16"/>
                <w:color w:val="auto"/>
              </w:rPr>
            </w:pPr>
          </w:p>
        </w:tc>
        <w:tc>
          <w:tcPr>
            <w:tcW w:w="2280" w:type="dxa"/>
            <w:vAlign w:val="bottom"/>
          </w:tcPr>
          <w:p>
            <w:pPr>
              <w:ind w:left="60"/>
              <w:spacing w:after="0"/>
              <w:rPr>
                <w:sz w:val="20"/>
                <w:szCs w:val="20"/>
                <w:color w:val="auto"/>
              </w:rPr>
            </w:pPr>
            <w:r>
              <w:rPr>
                <w:rFonts w:ascii="Courier New" w:cs="Courier New" w:eastAsia="Courier New" w:hAnsi="Courier New"/>
                <w:sz w:val="16"/>
                <w:szCs w:val="16"/>
                <w:color w:val="auto"/>
              </w:rPr>
              <w:t>Printing and engraving</w:t>
            </w:r>
          </w:p>
        </w:tc>
        <w:tc>
          <w:tcPr>
            <w:tcW w:w="286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fee........................</w:t>
            </w:r>
          </w:p>
        </w:tc>
        <w:tc>
          <w:tcPr>
            <w:tcW w:w="102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$235,000</w:t>
            </w:r>
          </w:p>
        </w:tc>
      </w:tr>
      <w:tr>
        <w:trPr>
          <w:trHeight w:val="186"/>
        </w:trPr>
        <w:tc>
          <w:tcPr>
            <w:tcW w:w="820" w:type="dxa"/>
            <w:vAlign w:val="bottom"/>
          </w:tcPr>
          <w:p>
            <w:pPr>
              <w:spacing w:after="0"/>
              <w:rPr>
                <w:sz w:val="16"/>
                <w:szCs w:val="16"/>
                <w:color w:val="auto"/>
              </w:rPr>
            </w:pPr>
          </w:p>
        </w:tc>
        <w:tc>
          <w:tcPr>
            <w:tcW w:w="2280" w:type="dxa"/>
            <w:vAlign w:val="bottom"/>
          </w:tcPr>
          <w:p>
            <w:pPr>
              <w:ind w:left="60"/>
              <w:spacing w:after="0"/>
              <w:rPr>
                <w:sz w:val="20"/>
                <w:szCs w:val="20"/>
                <w:color w:val="auto"/>
              </w:rPr>
            </w:pPr>
            <w:r>
              <w:rPr>
                <w:rFonts w:ascii="Courier New" w:cs="Courier New" w:eastAsia="Courier New" w:hAnsi="Courier New"/>
                <w:sz w:val="16"/>
                <w:szCs w:val="16"/>
                <w:color w:val="auto"/>
                <w:w w:val="99"/>
              </w:rPr>
              <w:t>Legal fees and expenses</w:t>
            </w:r>
          </w:p>
        </w:tc>
        <w:tc>
          <w:tcPr>
            <w:tcW w:w="286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102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$150,000</w:t>
            </w:r>
          </w:p>
        </w:tc>
      </w:tr>
      <w:tr>
        <w:trPr>
          <w:trHeight w:val="186"/>
        </w:trPr>
        <w:tc>
          <w:tcPr>
            <w:tcW w:w="820" w:type="dxa"/>
            <w:vAlign w:val="bottom"/>
          </w:tcPr>
          <w:p>
            <w:pPr>
              <w:spacing w:after="0"/>
              <w:rPr>
                <w:sz w:val="16"/>
                <w:szCs w:val="16"/>
                <w:color w:val="auto"/>
              </w:rPr>
            </w:pPr>
          </w:p>
        </w:tc>
        <w:tc>
          <w:tcPr>
            <w:tcW w:w="5140" w:type="dxa"/>
            <w:vAlign w:val="bottom"/>
            <w:gridSpan w:val="2"/>
          </w:tcPr>
          <w:p>
            <w:pPr>
              <w:ind w:left="60"/>
              <w:spacing w:after="0"/>
              <w:rPr>
                <w:sz w:val="20"/>
                <w:szCs w:val="20"/>
                <w:color w:val="auto"/>
              </w:rPr>
            </w:pPr>
            <w:r>
              <w:rPr>
                <w:rFonts w:ascii="Courier New" w:cs="Courier New" w:eastAsia="Courier New" w:hAnsi="Courier New"/>
                <w:sz w:val="16"/>
                <w:szCs w:val="16"/>
                <w:color w:val="auto"/>
              </w:rPr>
              <w:t>Accounting fees and expenses......................</w:t>
            </w:r>
          </w:p>
        </w:tc>
        <w:tc>
          <w:tcPr>
            <w:tcW w:w="102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$ 70,000</w:t>
            </w:r>
          </w:p>
        </w:tc>
      </w:tr>
      <w:tr>
        <w:trPr>
          <w:trHeight w:val="186"/>
        </w:trPr>
        <w:tc>
          <w:tcPr>
            <w:tcW w:w="820" w:type="dxa"/>
            <w:vAlign w:val="bottom"/>
          </w:tcPr>
          <w:p>
            <w:pPr>
              <w:spacing w:after="0"/>
              <w:rPr>
                <w:sz w:val="16"/>
                <w:szCs w:val="16"/>
                <w:color w:val="auto"/>
              </w:rPr>
            </w:pPr>
          </w:p>
        </w:tc>
        <w:tc>
          <w:tcPr>
            <w:tcW w:w="5140" w:type="dxa"/>
            <w:vAlign w:val="bottom"/>
            <w:gridSpan w:val="2"/>
          </w:tcPr>
          <w:p>
            <w:pPr>
              <w:ind w:left="60"/>
              <w:spacing w:after="0"/>
              <w:rPr>
                <w:sz w:val="20"/>
                <w:szCs w:val="20"/>
                <w:color w:val="auto"/>
              </w:rPr>
            </w:pPr>
            <w:r>
              <w:rPr>
                <w:rFonts w:ascii="Courier New" w:cs="Courier New" w:eastAsia="Courier New" w:hAnsi="Courier New"/>
                <w:sz w:val="16"/>
                <w:szCs w:val="16"/>
                <w:color w:val="auto"/>
              </w:rPr>
              <w:t>Transfer agent and registrar's fees and expenses..</w:t>
            </w:r>
          </w:p>
        </w:tc>
        <w:tc>
          <w:tcPr>
            <w:tcW w:w="44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c>
          <w:tcPr>
            <w:tcW w:w="580" w:type="dxa"/>
            <w:vAlign w:val="bottom"/>
          </w:tcPr>
          <w:p>
            <w:pPr>
              <w:jc w:val="right"/>
              <w:spacing w:after="0"/>
              <w:rPr>
                <w:sz w:val="20"/>
                <w:szCs w:val="20"/>
                <w:color w:val="auto"/>
              </w:rPr>
            </w:pPr>
            <w:r>
              <w:rPr>
                <w:rFonts w:ascii="Courier New" w:cs="Courier New" w:eastAsia="Courier New" w:hAnsi="Courier New"/>
                <w:sz w:val="16"/>
                <w:szCs w:val="16"/>
                <w:color w:val="auto"/>
              </w:rPr>
              <w:t>5,000</w:t>
            </w:r>
          </w:p>
        </w:tc>
      </w:tr>
      <w:tr>
        <w:trPr>
          <w:trHeight w:val="186"/>
        </w:trPr>
        <w:tc>
          <w:tcPr>
            <w:tcW w:w="820" w:type="dxa"/>
            <w:vAlign w:val="bottom"/>
          </w:tcPr>
          <w:p>
            <w:pPr>
              <w:spacing w:after="0"/>
              <w:rPr>
                <w:sz w:val="16"/>
                <w:szCs w:val="16"/>
                <w:color w:val="auto"/>
              </w:rPr>
            </w:pPr>
          </w:p>
        </w:tc>
        <w:tc>
          <w:tcPr>
            <w:tcW w:w="5140" w:type="dxa"/>
            <w:vAlign w:val="bottom"/>
            <w:gridSpan w:val="2"/>
          </w:tcPr>
          <w:p>
            <w:pPr>
              <w:ind w:left="60"/>
              <w:spacing w:after="0"/>
              <w:rPr>
                <w:sz w:val="20"/>
                <w:szCs w:val="20"/>
                <w:color w:val="auto"/>
              </w:rPr>
            </w:pPr>
            <w:r>
              <w:rPr>
                <w:rFonts w:ascii="Courier New" w:cs="Courier New" w:eastAsia="Courier New" w:hAnsi="Courier New"/>
                <w:sz w:val="16"/>
                <w:szCs w:val="16"/>
                <w:color w:val="auto"/>
              </w:rPr>
              <w:t>Miscellaneous expenses............................</w:t>
            </w:r>
          </w:p>
        </w:tc>
        <w:tc>
          <w:tcPr>
            <w:tcW w:w="44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c>
          <w:tcPr>
            <w:tcW w:w="580" w:type="dxa"/>
            <w:vAlign w:val="bottom"/>
          </w:tcPr>
          <w:p>
            <w:pPr>
              <w:jc w:val="right"/>
              <w:spacing w:after="0"/>
              <w:rPr>
                <w:sz w:val="20"/>
                <w:szCs w:val="20"/>
                <w:color w:val="auto"/>
              </w:rPr>
            </w:pPr>
            <w:r>
              <w:rPr>
                <w:rFonts w:ascii="Courier New" w:cs="Courier New" w:eastAsia="Courier New" w:hAnsi="Courier New"/>
                <w:sz w:val="16"/>
                <w:szCs w:val="16"/>
                <w:color w:val="auto"/>
              </w:rPr>
              <w:t>1,960</w:t>
            </w:r>
          </w:p>
        </w:tc>
      </w:tr>
      <w:tr>
        <w:trPr>
          <w:trHeight w:val="186"/>
        </w:trPr>
        <w:tc>
          <w:tcPr>
            <w:tcW w:w="820" w:type="dxa"/>
            <w:vAlign w:val="bottom"/>
          </w:tcPr>
          <w:p>
            <w:pPr>
              <w:spacing w:after="0"/>
              <w:rPr>
                <w:sz w:val="16"/>
                <w:szCs w:val="16"/>
                <w:color w:val="auto"/>
              </w:rPr>
            </w:pPr>
          </w:p>
        </w:tc>
        <w:tc>
          <w:tcPr>
            <w:tcW w:w="2280" w:type="dxa"/>
            <w:vAlign w:val="bottom"/>
          </w:tcPr>
          <w:p>
            <w:pPr>
              <w:spacing w:after="0"/>
              <w:rPr>
                <w:sz w:val="16"/>
                <w:szCs w:val="16"/>
                <w:color w:val="auto"/>
              </w:rPr>
            </w:pPr>
          </w:p>
        </w:tc>
        <w:tc>
          <w:tcPr>
            <w:tcW w:w="2860" w:type="dxa"/>
            <w:vAlign w:val="bottom"/>
          </w:tcPr>
          <w:p>
            <w:pPr>
              <w:spacing w:after="0"/>
              <w:rPr>
                <w:sz w:val="16"/>
                <w:szCs w:val="16"/>
                <w:color w:val="auto"/>
              </w:rPr>
            </w:pPr>
          </w:p>
        </w:tc>
        <w:tc>
          <w:tcPr>
            <w:tcW w:w="102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186"/>
        </w:trPr>
        <w:tc>
          <w:tcPr>
            <w:tcW w:w="820" w:type="dxa"/>
            <w:vAlign w:val="bottom"/>
          </w:tcPr>
          <w:p>
            <w:pPr>
              <w:spacing w:after="0"/>
              <w:rPr>
                <w:sz w:val="16"/>
                <w:szCs w:val="16"/>
                <w:color w:val="auto"/>
              </w:rPr>
            </w:pPr>
          </w:p>
        </w:tc>
        <w:tc>
          <w:tcPr>
            <w:tcW w:w="5140" w:type="dxa"/>
            <w:vAlign w:val="bottom"/>
            <w:gridSpan w:val="2"/>
          </w:tcPr>
          <w:p>
            <w:pPr>
              <w:jc w:val="right"/>
              <w:ind w:right="159"/>
              <w:spacing w:after="0"/>
              <w:rPr>
                <w:sz w:val="20"/>
                <w:szCs w:val="20"/>
                <w:color w:val="auto"/>
              </w:rPr>
            </w:pPr>
            <w:r>
              <w:rPr>
                <w:rFonts w:ascii="Courier New" w:cs="Courier New" w:eastAsia="Courier New" w:hAnsi="Courier New"/>
                <w:sz w:val="16"/>
                <w:szCs w:val="16"/>
                <w:color w:val="auto"/>
              </w:rPr>
              <w:t>Total........................................</w:t>
            </w:r>
          </w:p>
        </w:tc>
        <w:tc>
          <w:tcPr>
            <w:tcW w:w="102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$525,000</w:t>
            </w:r>
          </w:p>
        </w:tc>
      </w:tr>
      <w:tr>
        <w:trPr>
          <w:trHeight w:val="186"/>
        </w:trPr>
        <w:tc>
          <w:tcPr>
            <w:tcW w:w="820" w:type="dxa"/>
            <w:vAlign w:val="bottom"/>
          </w:tcPr>
          <w:p>
            <w:pPr>
              <w:spacing w:after="0"/>
              <w:rPr>
                <w:sz w:val="16"/>
                <w:szCs w:val="16"/>
                <w:color w:val="auto"/>
              </w:rPr>
            </w:pPr>
          </w:p>
        </w:tc>
        <w:tc>
          <w:tcPr>
            <w:tcW w:w="2280" w:type="dxa"/>
            <w:vAlign w:val="bottom"/>
          </w:tcPr>
          <w:p>
            <w:pPr>
              <w:spacing w:after="0"/>
              <w:rPr>
                <w:sz w:val="16"/>
                <w:szCs w:val="16"/>
                <w:color w:val="auto"/>
              </w:rPr>
            </w:pPr>
          </w:p>
        </w:tc>
        <w:tc>
          <w:tcPr>
            <w:tcW w:w="2860" w:type="dxa"/>
            <w:vAlign w:val="bottom"/>
          </w:tcPr>
          <w:p>
            <w:pPr>
              <w:spacing w:after="0"/>
              <w:rPr>
                <w:sz w:val="16"/>
                <w:szCs w:val="16"/>
                <w:color w:val="auto"/>
              </w:rPr>
            </w:pPr>
          </w:p>
        </w:tc>
        <w:tc>
          <w:tcPr>
            <w:tcW w:w="102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373"/>
        </w:trPr>
        <w:tc>
          <w:tcPr>
            <w:tcW w:w="820" w:type="dxa"/>
            <w:vAlign w:val="bottom"/>
          </w:tcPr>
          <w:p>
            <w:pPr>
              <w:spacing w:after="0"/>
              <w:rPr>
                <w:sz w:val="20"/>
                <w:szCs w:val="20"/>
                <w:color w:val="auto"/>
              </w:rPr>
            </w:pPr>
            <w:r>
              <w:rPr>
                <w:rFonts w:ascii="Courier New" w:cs="Courier New" w:eastAsia="Courier New" w:hAnsi="Courier New"/>
                <w:sz w:val="16"/>
                <w:szCs w:val="16"/>
                <w:color w:val="auto"/>
              </w:rPr>
              <w:t>ITEM 15.</w:t>
            </w:r>
          </w:p>
        </w:tc>
        <w:tc>
          <w:tcPr>
            <w:tcW w:w="2280" w:type="dxa"/>
            <w:vAlign w:val="bottom"/>
          </w:tcPr>
          <w:p>
            <w:pPr>
              <w:ind w:left="440"/>
              <w:spacing w:after="0"/>
              <w:rPr>
                <w:sz w:val="20"/>
                <w:szCs w:val="20"/>
                <w:color w:val="auto"/>
              </w:rPr>
            </w:pPr>
            <w:r>
              <w:rPr>
                <w:rFonts w:ascii="Courier New" w:cs="Courier New" w:eastAsia="Courier New" w:hAnsi="Courier New"/>
                <w:sz w:val="16"/>
                <w:szCs w:val="16"/>
                <w:color w:val="auto"/>
              </w:rPr>
              <w:t>INDEMNIFICATION OF</w:t>
            </w:r>
          </w:p>
        </w:tc>
        <w:tc>
          <w:tcPr>
            <w:tcW w:w="2860" w:type="dxa"/>
            <w:vAlign w:val="bottom"/>
          </w:tcPr>
          <w:p>
            <w:pPr>
              <w:jc w:val="right"/>
              <w:ind w:right="639"/>
              <w:spacing w:after="0"/>
              <w:rPr>
                <w:sz w:val="20"/>
                <w:szCs w:val="20"/>
                <w:color w:val="auto"/>
              </w:rPr>
            </w:pPr>
            <w:r>
              <w:rPr>
                <w:rFonts w:ascii="Courier New" w:cs="Courier New" w:eastAsia="Courier New" w:hAnsi="Courier New"/>
                <w:sz w:val="16"/>
                <w:szCs w:val="16"/>
                <w:color w:val="auto"/>
              </w:rPr>
              <w:t>DIRECTORS AND OFFICERS</w:t>
            </w:r>
          </w:p>
        </w:tc>
        <w:tc>
          <w:tcPr>
            <w:tcW w:w="440" w:type="dxa"/>
            <w:vAlign w:val="bottom"/>
          </w:tcPr>
          <w:p>
            <w:pPr>
              <w:spacing w:after="0"/>
              <w:rPr>
                <w:sz w:val="24"/>
                <w:szCs w:val="24"/>
                <w:color w:val="auto"/>
              </w:rPr>
            </w:pPr>
          </w:p>
        </w:tc>
        <w:tc>
          <w:tcPr>
            <w:tcW w:w="580" w:type="dxa"/>
            <w:vAlign w:val="bottom"/>
          </w:tcPr>
          <w:p>
            <w:pPr>
              <w:spacing w:after="0"/>
              <w:rPr>
                <w:sz w:val="24"/>
                <w:szCs w:val="24"/>
                <w:color w:val="auto"/>
              </w:rPr>
            </w:pPr>
          </w:p>
        </w:tc>
      </w:tr>
    </w:tbl>
    <w:p>
      <w:pPr>
        <w:spacing w:after="0" w:line="190" w:lineRule="exact"/>
        <w:rPr>
          <w:sz w:val="20"/>
          <w:szCs w:val="20"/>
          <w:color w:val="auto"/>
        </w:rPr>
      </w:pPr>
    </w:p>
    <w:p>
      <w:pPr>
        <w:ind w:right="2459" w:firstLine="871"/>
        <w:spacing w:after="0" w:line="246" w:lineRule="auto"/>
        <w:tabs>
          <w:tab w:leader="none" w:pos="1260" w:val="left"/>
        </w:tabs>
        <w:numPr>
          <w:ilvl w:val="0"/>
          <w:numId w:val="63"/>
        </w:numPr>
        <w:rPr>
          <w:rFonts w:ascii="Courier New" w:cs="Courier New" w:eastAsia="Courier New" w:hAnsi="Courier New"/>
          <w:sz w:val="16"/>
          <w:szCs w:val="16"/>
          <w:color w:val="auto"/>
        </w:rPr>
      </w:pPr>
      <w:r>
        <w:rPr>
          <w:rFonts w:ascii="Courier New" w:cs="Courier New" w:eastAsia="Courier New" w:hAnsi="Courier New"/>
          <w:sz w:val="16"/>
          <w:szCs w:val="16"/>
          <w:color w:val="auto"/>
        </w:rPr>
        <w:t>Article IX of the Registrant's By-Laws (the "By-Laws") provides that the Registrant shall, to the fullest extent permitted by applicable law as then in effect, indemnify any person who is or was involved or threatened to be made so involved in any action by reason of the fact that he is or was a director or officer of the Registrant, or is or was serving at the request of the Registrant as a director or officer of another entity. The right to indemnification includes the right to receive payment of expenses in advance of the final disposition of the proceeding. All indemnification rights in Article IX are contract rights. The Registrant also may provide indemnification for employees, agents, attorneys and representatives of the Registrant by action of its board of directors. Article IX expressly states that no amendment to the By-Laws or the Certificate of Incorporation shall adversely affect any right to indemnification for acts occurring prior to such amendment. The right of indemnification is not exclusive of any other rights of indemnification that may be available.</w:t>
      </w:r>
    </w:p>
    <w:p>
      <w:pPr>
        <w:spacing w:after="0" w:line="195" w:lineRule="exact"/>
        <w:rPr>
          <w:sz w:val="20"/>
          <w:szCs w:val="20"/>
          <w:color w:val="auto"/>
        </w:rPr>
      </w:pPr>
    </w:p>
    <w:p>
      <w:pPr>
        <w:ind w:right="2459" w:firstLine="1260"/>
        <w:spacing w:after="0" w:line="247" w:lineRule="auto"/>
        <w:rPr>
          <w:sz w:val="20"/>
          <w:szCs w:val="20"/>
          <w:color w:val="auto"/>
        </w:rPr>
      </w:pPr>
      <w:r>
        <w:rPr>
          <w:rFonts w:ascii="Courier New" w:cs="Courier New" w:eastAsia="Courier New" w:hAnsi="Courier New"/>
          <w:sz w:val="16"/>
          <w:szCs w:val="16"/>
          <w:color w:val="auto"/>
        </w:rPr>
        <w:t>In determining the right to indemnification under Article IX, the Registrant has the burden of proof that the indemnitee has not met the applicable standard of conduct. If successful in whole or in part in such a proceeding, the indemnitee is entitled to be indemnified for expenses incurred in connection with such proceeding. All reasonable expenses incurred by an indemnitee in connection with any proceeding shall be advanced by the Registrant after receipt of a statement from the indemnitee requesting such advance.</w:t>
      </w:r>
    </w:p>
    <w:p>
      <w:pPr>
        <w:spacing w:after="0" w:line="185" w:lineRule="exact"/>
        <w:rPr>
          <w:sz w:val="20"/>
          <w:szCs w:val="20"/>
          <w:color w:val="auto"/>
        </w:rPr>
      </w:pPr>
    </w:p>
    <w:p>
      <w:pPr>
        <w:ind w:right="2559" w:firstLine="1260"/>
        <w:spacing w:after="0" w:line="246" w:lineRule="auto"/>
        <w:rPr>
          <w:sz w:val="20"/>
          <w:szCs w:val="20"/>
          <w:color w:val="auto"/>
        </w:rPr>
      </w:pPr>
      <w:r>
        <w:rPr>
          <w:rFonts w:ascii="Courier New" w:cs="Courier New" w:eastAsia="Courier New" w:hAnsi="Courier New"/>
          <w:sz w:val="16"/>
          <w:szCs w:val="16"/>
          <w:color w:val="auto"/>
        </w:rPr>
        <w:t>Article IX provides that the Registrant may purchase and maintain insurance in connection with any expenses, liability or loss relating to any proceeding, whether or not the Registrant would have the power to indemnify the officer, director, employee, agent, attorney, trustee or representative. The Registrant also may enter into indemnification contracts with any of the foregoing persons, which contracts are deemed specifically approved and authorized by the stockholders and not subject to invalidity by reason of any interested directors.</w:t>
      </w:r>
    </w:p>
    <w:p>
      <w:pPr>
        <w:spacing w:after="0" w:line="191" w:lineRule="exact"/>
        <w:rPr>
          <w:sz w:val="20"/>
          <w:szCs w:val="20"/>
          <w:color w:val="auto"/>
        </w:rPr>
      </w:pPr>
    </w:p>
    <w:p>
      <w:pPr>
        <w:ind w:right="2459" w:firstLine="1260"/>
        <w:spacing w:after="0" w:line="246" w:lineRule="auto"/>
        <w:rPr>
          <w:sz w:val="20"/>
          <w:szCs w:val="20"/>
          <w:color w:val="auto"/>
        </w:rPr>
      </w:pPr>
      <w:r>
        <w:rPr>
          <w:rFonts w:ascii="Courier New" w:cs="Courier New" w:eastAsia="Courier New" w:hAnsi="Courier New"/>
          <w:sz w:val="16"/>
          <w:szCs w:val="16"/>
          <w:color w:val="auto"/>
        </w:rPr>
        <w:t>If any provision of Article IX is held invalid, illegal or unenforceable, the remaining provisions of Article IX shall not be affected. An indemnitee also may elect, as an alternative to the Article IX procedures, to follow procedures authorized by applicable corporate law or statute. Article IX sets forth specific procedures for the advancement of expenses and for the determination of entitlement to indemnification. Entitlement to indemnification shall be determined by a majority vote of disinterested directors, by a written opinion of independent counsel under certain circumstances, by the Registrant's stockholders, if a majority of the disinterested directors determines the issue should be submitted to the stockholders, or, if none of the persons empowered to make a determination have been appointed and have made a determination within 60 days after the receipt of a request for indemnification, the indemnitee is deemed to be entitled to indemnification unless the indemnitee misrepresented or omitted a material fact in making or supporting his request for indemnification or the indemnification is prohibited by law. The termination of an action by judgment, order, settlement or conviction or</w:t>
      </w:r>
    </w:p>
    <w:p>
      <w:pPr>
        <w:spacing w:after="0" w:line="195"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II-1</w:t>
      </w:r>
    </w:p>
    <w:p>
      <w:pPr>
        <w:sectPr>
          <w:pgSz w:w="11900" w:h="16838" w:orient="portrait"/>
          <w:cols w:equalWidth="0" w:num="1">
            <w:col w:w="10219"/>
          </w:cols>
          <w:pgMar w:left="240" w:top="303" w:right="1440" w:bottom="1068" w:gutter="0" w:footer="0" w:header="0"/>
        </w:sectPr>
      </w:pPr>
    </w:p>
    <w:bookmarkStart w:id="50" w:name="page51"/>
    <w:bookmarkEnd w:id="50"/>
    <w:p>
      <w:pPr>
        <w:ind w:left="301"/>
        <w:spacing w:after="0"/>
        <w:rPr>
          <w:sz w:val="20"/>
          <w:szCs w:val="20"/>
          <w:color w:val="auto"/>
        </w:rPr>
      </w:pPr>
      <w:r>
        <w:rPr>
          <w:rFonts w:ascii="Courier New" w:cs="Courier New" w:eastAsia="Courier New" w:hAnsi="Courier New"/>
          <w:sz w:val="16"/>
          <w:szCs w:val="16"/>
          <w:color w:val="auto"/>
        </w:rPr>
        <w:t>45</w:t>
      </w:r>
    </w:p>
    <w:p>
      <w:pPr>
        <w:spacing w:after="0" w:line="191" w:lineRule="exact"/>
        <w:rPr>
          <w:sz w:val="20"/>
          <w:szCs w:val="20"/>
          <w:color w:val="auto"/>
        </w:rPr>
      </w:pPr>
    </w:p>
    <w:p>
      <w:pPr>
        <w:ind w:left="1" w:right="2659"/>
        <w:spacing w:after="0" w:line="246" w:lineRule="auto"/>
        <w:rPr>
          <w:sz w:val="20"/>
          <w:szCs w:val="20"/>
          <w:color w:val="auto"/>
        </w:rPr>
      </w:pPr>
      <w:r>
        <w:rPr>
          <w:rFonts w:ascii="Courier New" w:cs="Courier New" w:eastAsia="Courier New" w:hAnsi="Courier New"/>
          <w:sz w:val="16"/>
          <w:szCs w:val="16"/>
          <w:color w:val="auto"/>
        </w:rPr>
        <w:t>upon a plea of nolo contendere does not adversely affect the right of an indemnitee to indemnification or create any presumption with respect to any standard of conduct. An indemnitee is entitled to indemnification for expenses if he is successful on the merits, if the action is terminated without a determination of liability on the part of the indemnitee or if the indemnitee was not a party to the action. An indemnitee who is determined not to be entitled to indemnification may appeal such determination either through the courts or by arbitration.</w:t>
      </w:r>
    </w:p>
    <w:p>
      <w:pPr>
        <w:spacing w:after="0" w:line="191" w:lineRule="exact"/>
        <w:rPr>
          <w:sz w:val="20"/>
          <w:szCs w:val="20"/>
          <w:color w:val="auto"/>
        </w:rPr>
      </w:pPr>
    </w:p>
    <w:p>
      <w:pPr>
        <w:ind w:left="1" w:right="2459" w:firstLine="871"/>
        <w:spacing w:after="0" w:line="246" w:lineRule="auto"/>
        <w:tabs>
          <w:tab w:leader="none" w:pos="1260" w:val="left"/>
        </w:tabs>
        <w:numPr>
          <w:ilvl w:val="0"/>
          <w:numId w:val="64"/>
        </w:numPr>
        <w:rPr>
          <w:rFonts w:ascii="Courier New" w:cs="Courier New" w:eastAsia="Courier New" w:hAnsi="Courier New"/>
          <w:sz w:val="16"/>
          <w:szCs w:val="16"/>
          <w:color w:val="auto"/>
        </w:rPr>
      </w:pPr>
      <w:r>
        <w:rPr>
          <w:rFonts w:ascii="Courier New" w:cs="Courier New" w:eastAsia="Courier New" w:hAnsi="Courier New"/>
          <w:sz w:val="16"/>
          <w:szCs w:val="16"/>
          <w:color w:val="auto"/>
        </w:rPr>
        <w:t>Under Section 145 of the Delaware General Corporation Law, indemnification of any person who is or was a party or threatened to be made so in any action by reason of the fact that he is or was a director, officer, employee or agent of the corporation or was serving as such of another corporation or enterprise at the request of the corporation is permitted against expenses (including attorneys' fees), judgments fines and amounts paid in settlement actually and reasonably incurred by the indemnified person in such proceeding where the indemnified person acted in good faith and in a manner he reasonably believed to be in or not opposed to the best interests of the corporation and, in criminal actions, where he had no reasonable cause to believe his conduct was unlawful. Indemnification is also permitted in lawsuits brought by or on behalf of the corporation if the standards of conduct described above are met, except that no indemnification is permitted in respect to any matter in which the person is adjudged to be liable to the corporation unless a court shall determine that indemnification is fair and reasonable in view of all the circumstances of the case. Indemnification against expenses (including attorneys' fees) actually and reasonably incurred by directors, officers, employees and agents is required under Section 145 of the Delaware Law in those cases where the person to be indemnified has been successful on the merits or otherwise in defense of a lawsuit of the type described above. In cases where indemnification is permissive, a determination as to whether the person met the applicable standard of conduct must be made (unless ordered by a court) by majority vote of the disinterested directors, by a committee of the disinterested directors designated by a majority vote of such directors, even though less than a quorum, by independent legal counsel, or by the stockholders. Such indemnification rights are specifically not deemed to be exclusive of other rights of indemnification by agreement or otherwise and the corporation is authorized to advance expenses incurred prior to the final disposition of a matter upon receipt of an undertaking to repay such amounts on a determination that indemnification was not permitted in the circumstances of the case.</w:t>
      </w:r>
    </w:p>
    <w:p>
      <w:pPr>
        <w:spacing w:after="0" w:line="203" w:lineRule="exact"/>
        <w:rPr>
          <w:rFonts w:ascii="Courier New" w:cs="Courier New" w:eastAsia="Courier New" w:hAnsi="Courier New"/>
          <w:sz w:val="16"/>
          <w:szCs w:val="16"/>
          <w:color w:val="auto"/>
        </w:rPr>
      </w:pPr>
    </w:p>
    <w:p>
      <w:pPr>
        <w:ind w:left="1261" w:hanging="389"/>
        <w:spacing w:after="0"/>
        <w:tabs>
          <w:tab w:leader="none" w:pos="1261" w:val="left"/>
        </w:tabs>
        <w:numPr>
          <w:ilvl w:val="0"/>
          <w:numId w:val="64"/>
        </w:numPr>
        <w:rPr>
          <w:rFonts w:ascii="Courier New" w:cs="Courier New" w:eastAsia="Courier New" w:hAnsi="Courier New"/>
          <w:sz w:val="16"/>
          <w:szCs w:val="16"/>
          <w:color w:val="auto"/>
        </w:rPr>
      </w:pPr>
      <w:r>
        <w:rPr>
          <w:rFonts w:ascii="Courier New" w:cs="Courier New" w:eastAsia="Courier New" w:hAnsi="Courier New"/>
          <w:sz w:val="16"/>
          <w:szCs w:val="16"/>
          <w:color w:val="auto"/>
        </w:rPr>
        <w:t>Under Section 145 of the Delaware Law and Article IX of the</w:t>
      </w:r>
    </w:p>
    <w:p>
      <w:pPr>
        <w:spacing w:after="0" w:line="5" w:lineRule="exact"/>
        <w:rPr>
          <w:sz w:val="20"/>
          <w:szCs w:val="20"/>
          <w:color w:val="auto"/>
        </w:rPr>
      </w:pPr>
    </w:p>
    <w:p>
      <w:pPr>
        <w:ind w:left="1" w:right="2559"/>
        <w:spacing w:after="0" w:line="246" w:lineRule="auto"/>
        <w:rPr>
          <w:sz w:val="20"/>
          <w:szCs w:val="20"/>
          <w:color w:val="auto"/>
        </w:rPr>
      </w:pPr>
      <w:r>
        <w:rPr>
          <w:rFonts w:ascii="Courier New" w:cs="Courier New" w:eastAsia="Courier New" w:hAnsi="Courier New"/>
          <w:sz w:val="16"/>
          <w:szCs w:val="16"/>
          <w:color w:val="auto"/>
        </w:rPr>
        <w:t>By-Laws, the Registrant may purchase and maintain insurance on behalf of any person who is or was a director, officer, employee, or agent of the Registrant, or who, while serving in such capacity, is or was at the request of the Registrant, a director, officer, employee or agent of another corporation or other enterprise, against liability asserted against or incurred by such person in any such capacity whether or not the Registrant would have the power to provide indemnity under Section 145 or the By-Laws. The Registrant has obtained insurance that, subject to certain exceptions, insures the directors and officers of the Registrant and its subsidiary.</w:t>
      </w:r>
    </w:p>
    <w:p>
      <w:pPr>
        <w:spacing w:after="0" w:line="191" w:lineRule="exact"/>
        <w:rPr>
          <w:sz w:val="20"/>
          <w:szCs w:val="20"/>
          <w:color w:val="auto"/>
        </w:rPr>
      </w:pPr>
    </w:p>
    <w:p>
      <w:pPr>
        <w:ind w:left="1" w:right="2459" w:firstLine="871"/>
        <w:spacing w:after="0" w:line="246" w:lineRule="auto"/>
        <w:tabs>
          <w:tab w:leader="none" w:pos="1260" w:val="left"/>
        </w:tabs>
        <w:numPr>
          <w:ilvl w:val="0"/>
          <w:numId w:val="6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Registrant has entered into indemnification contracts with its directors and certain officers which provides that such directors and officers will be indemnified to the fullest extent provided by Section 145 of the Delaware Law (or such other future statutory provision authorizing or permitting indemnification) against all expenses (including attorneys' fees), judgments, fines and settlement amounts, actually and reasonably paid or incurred by them in any action or proceeding, including any action by or in the right of the Registrant, by reason of the fact that they were a director, officer, employee or agent of the Registrant, or were serving at the request of the Registrant as a director, officer, employee or agent of another corporation, partnership, joint venture, trust or other enterprise.</w:t>
      </w:r>
    </w:p>
    <w:p>
      <w:pPr>
        <w:spacing w:after="0" w:line="193" w:lineRule="exact"/>
        <w:rPr>
          <w:sz w:val="20"/>
          <w:szCs w:val="20"/>
          <w:color w:val="auto"/>
        </w:rPr>
      </w:pPr>
    </w:p>
    <w:p>
      <w:pPr>
        <w:ind w:left="1261"/>
        <w:spacing w:after="0"/>
        <w:rPr>
          <w:sz w:val="20"/>
          <w:szCs w:val="20"/>
          <w:color w:val="auto"/>
        </w:rPr>
      </w:pPr>
      <w:r>
        <w:rPr>
          <w:rFonts w:ascii="Courier New" w:cs="Courier New" w:eastAsia="Courier New" w:hAnsi="Courier New"/>
          <w:sz w:val="16"/>
          <w:szCs w:val="16"/>
          <w:color w:val="auto"/>
        </w:rPr>
        <w:t>No indemnity will be provided under such indemnification contracts</w:t>
      </w:r>
    </w:p>
    <w:p>
      <w:pPr>
        <w:spacing w:after="0" w:line="5" w:lineRule="exact"/>
        <w:rPr>
          <w:sz w:val="20"/>
          <w:szCs w:val="20"/>
          <w:color w:val="auto"/>
        </w:rPr>
      </w:pPr>
    </w:p>
    <w:p>
      <w:pPr>
        <w:ind w:left="1" w:right="2459" w:hanging="1"/>
        <w:spacing w:after="0" w:line="246" w:lineRule="auto"/>
        <w:tabs>
          <w:tab w:leader="none" w:pos="388" w:val="left"/>
        </w:tabs>
        <w:numPr>
          <w:ilvl w:val="0"/>
          <w:numId w:val="66"/>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except to the extent that the aggregate losses to be indemnified pursuant thereto exceed the amount for which the indemnitee is indemnified pursuant to any directors and officers liability insurance purchased and maintained by the Registrant; (ii) in respect to remuneration paid to an indemnitee if it shall be determined by a final judgment that such remuneration was in violation of law;</w:t>
      </w:r>
    </w:p>
    <w:p>
      <w:pPr>
        <w:spacing w:after="0" w:line="2" w:lineRule="exact"/>
        <w:rPr>
          <w:rFonts w:ascii="Courier New" w:cs="Courier New" w:eastAsia="Courier New" w:hAnsi="Courier New"/>
          <w:sz w:val="16"/>
          <w:szCs w:val="16"/>
          <w:color w:val="auto"/>
        </w:rPr>
      </w:pPr>
    </w:p>
    <w:p>
      <w:pPr>
        <w:ind w:left="1" w:right="2459" w:hanging="1"/>
        <w:spacing w:after="0" w:line="246" w:lineRule="auto"/>
        <w:tabs>
          <w:tab w:leader="none" w:pos="582" w:val="left"/>
        </w:tabs>
        <w:numPr>
          <w:ilvl w:val="0"/>
          <w:numId w:val="67"/>
        </w:numPr>
        <w:rPr>
          <w:rFonts w:ascii="Courier New" w:cs="Courier New" w:eastAsia="Courier New" w:hAnsi="Courier New"/>
          <w:sz w:val="16"/>
          <w:szCs w:val="16"/>
          <w:color w:val="auto"/>
        </w:rPr>
      </w:pPr>
      <w:r>
        <w:rPr>
          <w:rFonts w:ascii="Courier New" w:cs="Courier New" w:eastAsia="Courier New" w:hAnsi="Courier New"/>
          <w:sz w:val="16"/>
          <w:szCs w:val="16"/>
          <w:color w:val="auto"/>
        </w:rPr>
        <w:t>on account of any suit in which judgment is rendered against an indemnitee for an accounting of profits made from the purchase or sale by indemnitee of securities of the Registrant pursuant to the provisions of Section 16(b) of the Securities Exchange Act of 1934 and amendments thereto or similar provisions of any federal, state or local statutory law; (iv) on account of the indemnitee's act or omission being finally adjudged to have been not in good faith or involving intentional misconduct or a knowing violation of law; or (v) if a final decision by a court having jurisdiction in the matter shall determine that such indemnification is not lawful.</w:t>
      </w:r>
    </w:p>
    <w:p>
      <w:pPr>
        <w:spacing w:after="0" w:line="191" w:lineRule="exact"/>
        <w:rPr>
          <w:sz w:val="20"/>
          <w:szCs w:val="20"/>
          <w:color w:val="auto"/>
        </w:rPr>
      </w:pPr>
    </w:p>
    <w:p>
      <w:pPr>
        <w:ind w:left="3681"/>
        <w:spacing w:after="0"/>
        <w:rPr>
          <w:sz w:val="20"/>
          <w:szCs w:val="20"/>
          <w:color w:val="auto"/>
        </w:rPr>
      </w:pPr>
      <w:r>
        <w:rPr>
          <w:rFonts w:ascii="Courier New" w:cs="Courier New" w:eastAsia="Courier New" w:hAnsi="Courier New"/>
          <w:sz w:val="16"/>
          <w:szCs w:val="16"/>
          <w:color w:val="auto"/>
        </w:rPr>
        <w:t>II-2</w:t>
      </w:r>
    </w:p>
    <w:p>
      <w:pPr>
        <w:sectPr>
          <w:pgSz w:w="11900" w:h="16838" w:orient="portrait"/>
          <w:cols w:equalWidth="0" w:num="1">
            <w:col w:w="10220"/>
          </w:cols>
          <w:pgMar w:left="239" w:top="303" w:right="1440" w:bottom="695" w:gutter="0" w:footer="0" w:header="0"/>
        </w:sectPr>
      </w:pPr>
    </w:p>
    <w:bookmarkStart w:id="51" w:name="page52"/>
    <w:bookmarkEnd w:id="51"/>
    <w:p>
      <w:pPr>
        <w:ind w:left="300"/>
        <w:spacing w:after="0"/>
        <w:rPr>
          <w:sz w:val="20"/>
          <w:szCs w:val="20"/>
          <w:color w:val="auto"/>
        </w:rPr>
      </w:pPr>
      <w:r>
        <w:rPr>
          <w:rFonts w:ascii="Courier New" w:cs="Courier New" w:eastAsia="Courier New" w:hAnsi="Courier New"/>
          <w:sz w:val="16"/>
          <w:szCs w:val="16"/>
          <w:color w:val="auto"/>
        </w:rPr>
        <w:t>46</w:t>
      </w:r>
    </w:p>
    <w:p>
      <w:pPr>
        <w:spacing w:after="0" w:line="191" w:lineRule="exact"/>
        <w:rPr>
          <w:sz w:val="20"/>
          <w:szCs w:val="20"/>
          <w:color w:val="auto"/>
        </w:rPr>
      </w:pPr>
    </w:p>
    <w:p>
      <w:pPr>
        <w:ind w:right="2459" w:firstLine="871"/>
        <w:spacing w:after="0" w:line="246" w:lineRule="auto"/>
        <w:tabs>
          <w:tab w:leader="none" w:pos="1260" w:val="left"/>
        </w:tabs>
        <w:numPr>
          <w:ilvl w:val="0"/>
          <w:numId w:val="68"/>
        </w:numPr>
        <w:rPr>
          <w:rFonts w:ascii="Courier New" w:cs="Courier New" w:eastAsia="Courier New" w:hAnsi="Courier New"/>
          <w:sz w:val="16"/>
          <w:szCs w:val="16"/>
          <w:color w:val="auto"/>
        </w:rPr>
      </w:pPr>
      <w:r>
        <w:rPr>
          <w:rFonts w:ascii="Courier New" w:cs="Courier New" w:eastAsia="Courier New" w:hAnsi="Courier New"/>
          <w:sz w:val="16"/>
          <w:szCs w:val="16"/>
          <w:color w:val="auto"/>
        </w:rPr>
        <w:t>Article EIGHTH of the Registrant's Restated Certificate of Incorporation provides that a director of the Registrant shall not be personally liable to the Registrant or its stockholders for monetary damages for breach of fiduciary duty as a director, except for liability (i) for any breach of the director's duty of loyalty to the Registrant or its stockholders; (ii) for acts or omissions not in good faith or which involve intentional misconduct or a knowing violation of law; (iii) for any unlawful payment of a dividend or unlawful stock purchase or redemption; or (iv) for any transaction from which the director derived any improper personal benefit.</w:t>
      </w:r>
    </w:p>
    <w:p>
      <w:pPr>
        <w:spacing w:after="0" w:line="191" w:lineRule="exact"/>
        <w:rPr>
          <w:sz w:val="20"/>
          <w:szCs w:val="20"/>
          <w:color w:val="auto"/>
        </w:rPr>
      </w:pPr>
    </w:p>
    <w:p>
      <w:pPr>
        <w:ind w:right="2559" w:firstLine="1260"/>
        <w:spacing w:after="0" w:line="247" w:lineRule="auto"/>
        <w:rPr>
          <w:sz w:val="20"/>
          <w:szCs w:val="20"/>
          <w:color w:val="auto"/>
        </w:rPr>
      </w:pPr>
      <w:r>
        <w:rPr>
          <w:rFonts w:ascii="Courier New" w:cs="Courier New" w:eastAsia="Courier New" w:hAnsi="Courier New"/>
          <w:sz w:val="16"/>
          <w:szCs w:val="16"/>
          <w:color w:val="auto"/>
        </w:rPr>
        <w:t>The above discussion of the Registrant's By-Laws, Restated Certificate of Incorporation, indemnification agreements, and of Section 145 of the Delaware Law is not intended to be exhaustive and is respectively qualified in its entirety by such By-Laws, Restated Certificate of Incorporation and statutes.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1500" w:type="dxa"/>
            <w:vAlign w:val="bottom"/>
          </w:tcPr>
          <w:p>
            <w:pPr>
              <w:spacing w:after="0"/>
              <w:rPr>
                <w:sz w:val="20"/>
                <w:szCs w:val="20"/>
                <w:color w:val="auto"/>
              </w:rPr>
            </w:pPr>
            <w:r>
              <w:rPr>
                <w:rFonts w:ascii="Courier New" w:cs="Courier New" w:eastAsia="Courier New" w:hAnsi="Courier New"/>
                <w:sz w:val="16"/>
                <w:szCs w:val="16"/>
                <w:color w:val="auto"/>
              </w:rPr>
              <w:t>ITEM 16.</w:t>
            </w:r>
          </w:p>
        </w:tc>
        <w:tc>
          <w:tcPr>
            <w:tcW w:w="380" w:type="dxa"/>
            <w:vAlign w:val="bottom"/>
          </w:tcPr>
          <w:p>
            <w:pPr>
              <w:spacing w:after="0"/>
              <w:rPr>
                <w:sz w:val="15"/>
                <w:szCs w:val="15"/>
                <w:color w:val="auto"/>
              </w:rPr>
            </w:pPr>
          </w:p>
        </w:tc>
        <w:tc>
          <w:tcPr>
            <w:tcW w:w="5880" w:type="dxa"/>
            <w:vAlign w:val="bottom"/>
          </w:tcPr>
          <w:p>
            <w:pPr>
              <w:ind w:left="60"/>
              <w:spacing w:after="0"/>
              <w:rPr>
                <w:sz w:val="20"/>
                <w:szCs w:val="20"/>
                <w:color w:val="auto"/>
              </w:rPr>
            </w:pPr>
            <w:r>
              <w:rPr>
                <w:rFonts w:ascii="Courier New" w:cs="Courier New" w:eastAsia="Courier New" w:hAnsi="Courier New"/>
                <w:sz w:val="16"/>
                <w:szCs w:val="16"/>
                <w:color w:val="auto"/>
              </w:rPr>
              <w:t>EXHIBITS</w:t>
            </w:r>
          </w:p>
        </w:tc>
      </w:tr>
      <w:tr>
        <w:trPr>
          <w:trHeight w:val="373"/>
        </w:trPr>
        <w:tc>
          <w:tcPr>
            <w:tcW w:w="1500" w:type="dxa"/>
            <w:vAlign w:val="bottom"/>
          </w:tcPr>
          <w:p>
            <w:pPr>
              <w:ind w:left="580"/>
              <w:spacing w:after="0"/>
              <w:rPr>
                <w:sz w:val="20"/>
                <w:szCs w:val="20"/>
                <w:color w:val="auto"/>
              </w:rPr>
            </w:pPr>
            <w:r>
              <w:rPr>
                <w:rFonts w:ascii="Courier New" w:cs="Courier New" w:eastAsia="Courier New" w:hAnsi="Courier New"/>
                <w:sz w:val="16"/>
                <w:szCs w:val="16"/>
                <w:color w:val="auto"/>
              </w:rPr>
              <w:t>EXHIBIT</w:t>
            </w:r>
          </w:p>
        </w:tc>
        <w:tc>
          <w:tcPr>
            <w:tcW w:w="380" w:type="dxa"/>
            <w:vAlign w:val="bottom"/>
          </w:tcPr>
          <w:p>
            <w:pPr>
              <w:spacing w:after="0"/>
              <w:rPr>
                <w:sz w:val="24"/>
                <w:szCs w:val="24"/>
                <w:color w:val="auto"/>
              </w:rPr>
            </w:pPr>
          </w:p>
        </w:tc>
        <w:tc>
          <w:tcPr>
            <w:tcW w:w="5880" w:type="dxa"/>
            <w:vAlign w:val="bottom"/>
          </w:tcPr>
          <w:p>
            <w:pPr>
              <w:ind w:left="2180"/>
              <w:spacing w:after="0"/>
              <w:rPr>
                <w:sz w:val="20"/>
                <w:szCs w:val="20"/>
                <w:color w:val="auto"/>
              </w:rPr>
            </w:pPr>
            <w:r>
              <w:rPr>
                <w:rFonts w:ascii="Courier New" w:cs="Courier New" w:eastAsia="Courier New" w:hAnsi="Courier New"/>
                <w:sz w:val="16"/>
                <w:szCs w:val="16"/>
                <w:color w:val="auto"/>
              </w:rPr>
              <w:t>EXHIBIT</w:t>
            </w:r>
          </w:p>
        </w:tc>
      </w:tr>
      <w:tr>
        <w:trPr>
          <w:trHeight w:val="186"/>
        </w:trPr>
        <w:tc>
          <w:tcPr>
            <w:tcW w:w="1500" w:type="dxa"/>
            <w:vAlign w:val="bottom"/>
          </w:tcPr>
          <w:p>
            <w:pPr>
              <w:ind w:left="580"/>
              <w:spacing w:after="0"/>
              <w:rPr>
                <w:sz w:val="20"/>
                <w:szCs w:val="20"/>
                <w:color w:val="auto"/>
              </w:rPr>
            </w:pPr>
            <w:r>
              <w:rPr>
                <w:rFonts w:ascii="Courier New" w:cs="Courier New" w:eastAsia="Courier New" w:hAnsi="Courier New"/>
                <w:sz w:val="16"/>
                <w:szCs w:val="16"/>
                <w:color w:val="auto"/>
              </w:rPr>
              <w:t>NUMBER</w:t>
            </w:r>
          </w:p>
        </w:tc>
        <w:tc>
          <w:tcPr>
            <w:tcW w:w="380" w:type="dxa"/>
            <w:vAlign w:val="bottom"/>
          </w:tcPr>
          <w:p>
            <w:pPr>
              <w:spacing w:after="0"/>
              <w:rPr>
                <w:sz w:val="16"/>
                <w:szCs w:val="16"/>
                <w:color w:val="auto"/>
              </w:rPr>
            </w:pPr>
          </w:p>
        </w:tc>
        <w:tc>
          <w:tcPr>
            <w:tcW w:w="5880" w:type="dxa"/>
            <w:vAlign w:val="bottom"/>
          </w:tcPr>
          <w:p>
            <w:pPr>
              <w:ind w:left="2000"/>
              <w:spacing w:after="0"/>
              <w:rPr>
                <w:sz w:val="20"/>
                <w:szCs w:val="20"/>
                <w:color w:val="auto"/>
              </w:rPr>
            </w:pPr>
            <w:r>
              <w:rPr>
                <w:rFonts w:ascii="Courier New" w:cs="Courier New" w:eastAsia="Courier New" w:hAnsi="Courier New"/>
                <w:sz w:val="16"/>
                <w:szCs w:val="16"/>
                <w:color w:val="auto"/>
              </w:rPr>
              <w:t>DESCRIPTION</w:t>
            </w:r>
          </w:p>
        </w:tc>
      </w:tr>
      <w:tr>
        <w:trPr>
          <w:trHeight w:val="186"/>
        </w:trPr>
        <w:tc>
          <w:tcPr>
            <w:tcW w:w="1500" w:type="dxa"/>
            <w:vAlign w:val="bottom"/>
          </w:tcPr>
          <w:p>
            <w:pPr>
              <w:jc w:val="center"/>
              <w:ind w:left="159"/>
              <w:spacing w:after="0"/>
              <w:rPr>
                <w:sz w:val="20"/>
                <w:szCs w:val="20"/>
                <w:color w:val="auto"/>
              </w:rPr>
            </w:pPr>
            <w:r>
              <w:rPr>
                <w:rFonts w:ascii="Courier New" w:cs="Courier New" w:eastAsia="Courier New" w:hAnsi="Courier New"/>
                <w:sz w:val="16"/>
                <w:szCs w:val="16"/>
                <w:color w:val="auto"/>
              </w:rPr>
              <w:t>------</w:t>
            </w:r>
          </w:p>
        </w:tc>
        <w:tc>
          <w:tcPr>
            <w:tcW w:w="380" w:type="dxa"/>
            <w:vAlign w:val="bottom"/>
          </w:tcPr>
          <w:p>
            <w:pPr>
              <w:spacing w:after="0"/>
              <w:rPr>
                <w:sz w:val="16"/>
                <w:szCs w:val="16"/>
                <w:color w:val="auto"/>
              </w:rPr>
            </w:pPr>
          </w:p>
        </w:tc>
        <w:tc>
          <w:tcPr>
            <w:tcW w:w="5880" w:type="dxa"/>
            <w:vAlign w:val="bottom"/>
          </w:tcPr>
          <w:p>
            <w:pPr>
              <w:ind w:left="2000"/>
              <w:spacing w:after="0"/>
              <w:rPr>
                <w:sz w:val="20"/>
                <w:szCs w:val="20"/>
                <w:color w:val="auto"/>
              </w:rPr>
            </w:pPr>
            <w:r>
              <w:rPr>
                <w:rFonts w:ascii="Courier New" w:cs="Courier New" w:eastAsia="Courier New" w:hAnsi="Courier New"/>
                <w:sz w:val="16"/>
                <w:szCs w:val="16"/>
                <w:color w:val="auto"/>
              </w:rPr>
              <w:t>-----------</w:t>
            </w:r>
          </w:p>
        </w:tc>
      </w:tr>
      <w:tr>
        <w:trPr>
          <w:trHeight w:val="373"/>
        </w:trPr>
        <w:tc>
          <w:tcPr>
            <w:tcW w:w="1500" w:type="dxa"/>
            <w:vAlign w:val="bottom"/>
          </w:tcPr>
          <w:p>
            <w:pPr>
              <w:jc w:val="center"/>
              <w:ind w:left="159"/>
              <w:spacing w:after="0"/>
              <w:rPr>
                <w:sz w:val="20"/>
                <w:szCs w:val="20"/>
                <w:color w:val="auto"/>
              </w:rPr>
            </w:pPr>
            <w:r>
              <w:rPr>
                <w:rFonts w:ascii="Courier New" w:cs="Courier New" w:eastAsia="Courier New" w:hAnsi="Courier New"/>
                <w:sz w:val="16"/>
                <w:szCs w:val="16"/>
                <w:color w:val="auto"/>
                <w:w w:val="98"/>
              </w:rPr>
              <w:t>2(a)</w:t>
            </w:r>
          </w:p>
        </w:tc>
        <w:tc>
          <w:tcPr>
            <w:tcW w:w="380" w:type="dxa"/>
            <w:vAlign w:val="bottom"/>
          </w:tcPr>
          <w:p>
            <w:pPr>
              <w:spacing w:after="0"/>
              <w:rPr>
                <w:sz w:val="24"/>
                <w:szCs w:val="24"/>
                <w:color w:val="auto"/>
              </w:rPr>
            </w:pPr>
          </w:p>
        </w:tc>
        <w:tc>
          <w:tcPr>
            <w:tcW w:w="5880" w:type="dxa"/>
            <w:vAlign w:val="bottom"/>
          </w:tcPr>
          <w:p>
            <w:pPr>
              <w:ind w:left="740"/>
              <w:spacing w:after="0"/>
              <w:rPr>
                <w:sz w:val="20"/>
                <w:szCs w:val="20"/>
                <w:color w:val="auto"/>
              </w:rPr>
            </w:pPr>
            <w:r>
              <w:rPr>
                <w:rFonts w:ascii="Courier New" w:cs="Courier New" w:eastAsia="Courier New" w:hAnsi="Courier New"/>
                <w:sz w:val="16"/>
                <w:szCs w:val="16"/>
                <w:color w:val="auto"/>
              </w:rPr>
              <w:t>Asset Purchase Agreement, dated as of July 1, 1997,</w:t>
            </w:r>
          </w:p>
        </w:tc>
      </w:tr>
      <w:tr>
        <w:trPr>
          <w:trHeight w:val="186"/>
        </w:trPr>
        <w:tc>
          <w:tcPr>
            <w:tcW w:w="15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5880" w:type="dxa"/>
            <w:vAlign w:val="bottom"/>
          </w:tcPr>
          <w:p>
            <w:pPr>
              <w:ind w:left="740"/>
              <w:spacing w:after="0"/>
              <w:rPr>
                <w:sz w:val="20"/>
                <w:szCs w:val="20"/>
                <w:color w:val="auto"/>
              </w:rPr>
            </w:pPr>
            <w:r>
              <w:rPr>
                <w:rFonts w:ascii="Courier New" w:cs="Courier New" w:eastAsia="Courier New" w:hAnsi="Courier New"/>
                <w:sz w:val="16"/>
                <w:szCs w:val="16"/>
                <w:color w:val="auto"/>
              </w:rPr>
              <w:t>among CheckFree Corporation, Servantis Systems</w:t>
            </w:r>
          </w:p>
        </w:tc>
      </w:tr>
      <w:tr>
        <w:trPr>
          <w:trHeight w:val="186"/>
        </w:trPr>
        <w:tc>
          <w:tcPr>
            <w:tcW w:w="15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5880" w:type="dxa"/>
            <w:vAlign w:val="bottom"/>
          </w:tcPr>
          <w:p>
            <w:pPr>
              <w:ind w:left="740"/>
              <w:spacing w:after="0"/>
              <w:rPr>
                <w:sz w:val="20"/>
                <w:szCs w:val="20"/>
                <w:color w:val="auto"/>
              </w:rPr>
            </w:pPr>
            <w:r>
              <w:rPr>
                <w:rFonts w:ascii="Courier New" w:cs="Courier New" w:eastAsia="Courier New" w:hAnsi="Courier New"/>
                <w:sz w:val="16"/>
                <w:szCs w:val="16"/>
                <w:color w:val="auto"/>
              </w:rPr>
              <w:t>Holdings, Inc., Servantis Systems, Inc., London</w:t>
            </w:r>
          </w:p>
        </w:tc>
      </w:tr>
      <w:tr>
        <w:trPr>
          <w:trHeight w:val="186"/>
        </w:trPr>
        <w:tc>
          <w:tcPr>
            <w:tcW w:w="15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5880" w:type="dxa"/>
            <w:vAlign w:val="bottom"/>
          </w:tcPr>
          <w:p>
            <w:pPr>
              <w:ind w:left="740"/>
              <w:spacing w:after="0"/>
              <w:rPr>
                <w:sz w:val="20"/>
                <w:szCs w:val="20"/>
                <w:color w:val="auto"/>
              </w:rPr>
            </w:pPr>
            <w:r>
              <w:rPr>
                <w:rFonts w:ascii="Courier New" w:cs="Courier New" w:eastAsia="Courier New" w:hAnsi="Courier New"/>
                <w:sz w:val="16"/>
                <w:szCs w:val="16"/>
                <w:color w:val="auto"/>
              </w:rPr>
              <w:t>Bridge Software Holdings plc, and LBSS, Inc.</w:t>
            </w:r>
          </w:p>
        </w:tc>
      </w:tr>
      <w:tr>
        <w:trPr>
          <w:trHeight w:val="186"/>
        </w:trPr>
        <w:tc>
          <w:tcPr>
            <w:tcW w:w="15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5880" w:type="dxa"/>
            <w:vAlign w:val="bottom"/>
          </w:tcPr>
          <w:p>
            <w:pPr>
              <w:ind w:left="740"/>
              <w:spacing w:after="0"/>
              <w:rPr>
                <w:sz w:val="20"/>
                <w:szCs w:val="20"/>
                <w:color w:val="auto"/>
              </w:rPr>
            </w:pPr>
            <w:r>
              <w:rPr>
                <w:rFonts w:ascii="Courier New" w:cs="Courier New" w:eastAsia="Courier New" w:hAnsi="Courier New"/>
                <w:sz w:val="16"/>
                <w:szCs w:val="16"/>
                <w:color w:val="auto"/>
              </w:rPr>
              <w:t>(Reference is made to Exhibit 2 to the Current Report</w:t>
            </w:r>
          </w:p>
        </w:tc>
      </w:tr>
      <w:tr>
        <w:trPr>
          <w:trHeight w:val="186"/>
        </w:trPr>
        <w:tc>
          <w:tcPr>
            <w:tcW w:w="15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5880" w:type="dxa"/>
            <w:vAlign w:val="bottom"/>
          </w:tcPr>
          <w:p>
            <w:pPr>
              <w:ind w:left="740"/>
              <w:spacing w:after="0"/>
              <w:rPr>
                <w:sz w:val="20"/>
                <w:szCs w:val="20"/>
                <w:color w:val="auto"/>
              </w:rPr>
            </w:pPr>
            <w:r>
              <w:rPr>
                <w:rFonts w:ascii="Courier New" w:cs="Courier New" w:eastAsia="Courier New" w:hAnsi="Courier New"/>
                <w:sz w:val="16"/>
                <w:szCs w:val="16"/>
                <w:color w:val="auto"/>
              </w:rPr>
              <w:t>on Form 8-K, dated July 1, 1997, filed with the</w:t>
            </w:r>
          </w:p>
        </w:tc>
      </w:tr>
      <w:tr>
        <w:trPr>
          <w:trHeight w:val="186"/>
        </w:trPr>
        <w:tc>
          <w:tcPr>
            <w:tcW w:w="15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5880" w:type="dxa"/>
            <w:vAlign w:val="bottom"/>
          </w:tcPr>
          <w:p>
            <w:pPr>
              <w:ind w:left="740"/>
              <w:spacing w:after="0"/>
              <w:rPr>
                <w:sz w:val="20"/>
                <w:szCs w:val="20"/>
                <w:color w:val="auto"/>
              </w:rPr>
            </w:pPr>
            <w:r>
              <w:rPr>
                <w:rFonts w:ascii="Courier New" w:cs="Courier New" w:eastAsia="Courier New" w:hAnsi="Courier New"/>
                <w:sz w:val="16"/>
                <w:szCs w:val="16"/>
                <w:color w:val="auto"/>
              </w:rPr>
              <w:t>Securities and Exchange Commission on July 3, 1997,</w:t>
            </w:r>
          </w:p>
        </w:tc>
      </w:tr>
      <w:tr>
        <w:trPr>
          <w:trHeight w:val="186"/>
        </w:trPr>
        <w:tc>
          <w:tcPr>
            <w:tcW w:w="15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5880" w:type="dxa"/>
            <w:vAlign w:val="bottom"/>
          </w:tcPr>
          <w:p>
            <w:pPr>
              <w:ind w:left="740"/>
              <w:spacing w:after="0"/>
              <w:rPr>
                <w:sz w:val="20"/>
                <w:szCs w:val="20"/>
                <w:color w:val="auto"/>
              </w:rPr>
            </w:pPr>
            <w:r>
              <w:rPr>
                <w:rFonts w:ascii="Courier New" w:cs="Courier New" w:eastAsia="Courier New" w:hAnsi="Courier New"/>
                <w:sz w:val="16"/>
                <w:szCs w:val="16"/>
                <w:color w:val="auto"/>
              </w:rPr>
              <w:t>and incorporated herein by reference.)</w:t>
            </w:r>
          </w:p>
        </w:tc>
      </w:tr>
      <w:tr>
        <w:trPr>
          <w:trHeight w:val="373"/>
        </w:trPr>
        <w:tc>
          <w:tcPr>
            <w:tcW w:w="1500" w:type="dxa"/>
            <w:vAlign w:val="bottom"/>
          </w:tcPr>
          <w:p>
            <w:pPr>
              <w:jc w:val="center"/>
              <w:ind w:left="159"/>
              <w:spacing w:after="0"/>
              <w:rPr>
                <w:sz w:val="20"/>
                <w:szCs w:val="20"/>
                <w:color w:val="auto"/>
              </w:rPr>
            </w:pPr>
            <w:r>
              <w:rPr>
                <w:rFonts w:ascii="Courier New" w:cs="Courier New" w:eastAsia="Courier New" w:hAnsi="Courier New"/>
                <w:sz w:val="16"/>
                <w:szCs w:val="16"/>
                <w:color w:val="auto"/>
                <w:w w:val="98"/>
              </w:rPr>
              <w:t>2(b)</w:t>
            </w:r>
          </w:p>
        </w:tc>
        <w:tc>
          <w:tcPr>
            <w:tcW w:w="380" w:type="dxa"/>
            <w:vAlign w:val="bottom"/>
          </w:tcPr>
          <w:p>
            <w:pPr>
              <w:spacing w:after="0"/>
              <w:rPr>
                <w:sz w:val="24"/>
                <w:szCs w:val="24"/>
                <w:color w:val="auto"/>
              </w:rPr>
            </w:pPr>
          </w:p>
        </w:tc>
        <w:tc>
          <w:tcPr>
            <w:tcW w:w="5880" w:type="dxa"/>
            <w:vAlign w:val="bottom"/>
          </w:tcPr>
          <w:p>
            <w:pPr>
              <w:ind w:left="740"/>
              <w:spacing w:after="0"/>
              <w:rPr>
                <w:sz w:val="20"/>
                <w:szCs w:val="20"/>
                <w:color w:val="auto"/>
              </w:rPr>
            </w:pPr>
            <w:r>
              <w:rPr>
                <w:rFonts w:ascii="Courier New" w:cs="Courier New" w:eastAsia="Courier New" w:hAnsi="Courier New"/>
                <w:sz w:val="16"/>
                <w:szCs w:val="16"/>
                <w:color w:val="auto"/>
              </w:rPr>
              <w:t>Agreement and Plan of Merger, dated as of December</w:t>
            </w:r>
          </w:p>
        </w:tc>
      </w:tr>
      <w:tr>
        <w:trPr>
          <w:trHeight w:val="186"/>
        </w:trPr>
        <w:tc>
          <w:tcPr>
            <w:tcW w:w="15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5880" w:type="dxa"/>
            <w:vAlign w:val="bottom"/>
          </w:tcPr>
          <w:p>
            <w:pPr>
              <w:ind w:left="740"/>
              <w:spacing w:after="0"/>
              <w:rPr>
                <w:sz w:val="20"/>
                <w:szCs w:val="20"/>
                <w:color w:val="auto"/>
              </w:rPr>
            </w:pPr>
            <w:r>
              <w:rPr>
                <w:rFonts w:ascii="Courier New" w:cs="Courier New" w:eastAsia="Courier New" w:hAnsi="Courier New"/>
                <w:sz w:val="16"/>
                <w:szCs w:val="16"/>
                <w:color w:val="auto"/>
              </w:rPr>
              <w:t>22, 1997, among the Company, CheckFree Corporation,</w:t>
            </w:r>
          </w:p>
        </w:tc>
      </w:tr>
      <w:tr>
        <w:trPr>
          <w:trHeight w:val="186"/>
        </w:trPr>
        <w:tc>
          <w:tcPr>
            <w:tcW w:w="15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5880" w:type="dxa"/>
            <w:vAlign w:val="bottom"/>
          </w:tcPr>
          <w:p>
            <w:pPr>
              <w:ind w:left="740"/>
              <w:spacing w:after="0"/>
              <w:rPr>
                <w:sz w:val="20"/>
                <w:szCs w:val="20"/>
                <w:color w:val="auto"/>
              </w:rPr>
            </w:pPr>
            <w:r>
              <w:rPr>
                <w:rFonts w:ascii="Courier New" w:cs="Courier New" w:eastAsia="Courier New" w:hAnsi="Courier New"/>
                <w:sz w:val="16"/>
                <w:szCs w:val="16"/>
                <w:color w:val="auto"/>
              </w:rPr>
              <w:t>and CheckFree Merger Corporation. (Reference is made</w:t>
            </w:r>
          </w:p>
        </w:tc>
      </w:tr>
      <w:tr>
        <w:trPr>
          <w:trHeight w:val="186"/>
        </w:trPr>
        <w:tc>
          <w:tcPr>
            <w:tcW w:w="15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5880" w:type="dxa"/>
            <w:vAlign w:val="bottom"/>
          </w:tcPr>
          <w:p>
            <w:pPr>
              <w:ind w:left="740"/>
              <w:spacing w:after="0"/>
              <w:rPr>
                <w:sz w:val="20"/>
                <w:szCs w:val="20"/>
                <w:color w:val="auto"/>
              </w:rPr>
            </w:pPr>
            <w:r>
              <w:rPr>
                <w:rFonts w:ascii="Courier New" w:cs="Courier New" w:eastAsia="Courier New" w:hAnsi="Courier New"/>
                <w:sz w:val="16"/>
                <w:szCs w:val="16"/>
                <w:color w:val="auto"/>
              </w:rPr>
              <w:t>to Exhibit 2 to the Current Report on Form 8-K, dated</w:t>
            </w:r>
          </w:p>
        </w:tc>
      </w:tr>
      <w:tr>
        <w:trPr>
          <w:trHeight w:val="186"/>
        </w:trPr>
        <w:tc>
          <w:tcPr>
            <w:tcW w:w="15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5880" w:type="dxa"/>
            <w:vAlign w:val="bottom"/>
          </w:tcPr>
          <w:p>
            <w:pPr>
              <w:ind w:left="740"/>
              <w:spacing w:after="0"/>
              <w:rPr>
                <w:sz w:val="20"/>
                <w:szCs w:val="20"/>
                <w:color w:val="auto"/>
              </w:rPr>
            </w:pPr>
            <w:r>
              <w:rPr>
                <w:rFonts w:ascii="Courier New" w:cs="Courier New" w:eastAsia="Courier New" w:hAnsi="Courier New"/>
                <w:sz w:val="16"/>
                <w:szCs w:val="16"/>
                <w:color w:val="auto"/>
              </w:rPr>
              <w:t>December 22, 1997, filed with the Securities and</w:t>
            </w:r>
          </w:p>
        </w:tc>
      </w:tr>
      <w:tr>
        <w:trPr>
          <w:trHeight w:val="186"/>
        </w:trPr>
        <w:tc>
          <w:tcPr>
            <w:tcW w:w="15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5880" w:type="dxa"/>
            <w:vAlign w:val="bottom"/>
          </w:tcPr>
          <w:p>
            <w:pPr>
              <w:ind w:left="740"/>
              <w:spacing w:after="0"/>
              <w:rPr>
                <w:sz w:val="20"/>
                <w:szCs w:val="20"/>
                <w:color w:val="auto"/>
              </w:rPr>
            </w:pPr>
            <w:r>
              <w:rPr>
                <w:rFonts w:ascii="Courier New" w:cs="Courier New" w:eastAsia="Courier New" w:hAnsi="Courier New"/>
                <w:sz w:val="16"/>
                <w:szCs w:val="16"/>
                <w:color w:val="auto"/>
              </w:rPr>
              <w:t>Exchange Commission on December 30, 1997, and</w:t>
            </w:r>
          </w:p>
        </w:tc>
      </w:tr>
      <w:tr>
        <w:trPr>
          <w:trHeight w:val="186"/>
        </w:trPr>
        <w:tc>
          <w:tcPr>
            <w:tcW w:w="15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5880" w:type="dxa"/>
            <w:vAlign w:val="bottom"/>
          </w:tcPr>
          <w:p>
            <w:pPr>
              <w:ind w:left="740"/>
              <w:spacing w:after="0"/>
              <w:rPr>
                <w:sz w:val="20"/>
                <w:szCs w:val="20"/>
                <w:color w:val="auto"/>
              </w:rPr>
            </w:pPr>
            <w:r>
              <w:rPr>
                <w:rFonts w:ascii="Courier New" w:cs="Courier New" w:eastAsia="Courier New" w:hAnsi="Courier New"/>
                <w:sz w:val="16"/>
                <w:szCs w:val="16"/>
                <w:color w:val="auto"/>
              </w:rPr>
              <w:t>incorporated herein by reference.)</w:t>
            </w:r>
          </w:p>
        </w:tc>
      </w:tr>
      <w:tr>
        <w:trPr>
          <w:trHeight w:val="373"/>
        </w:trPr>
        <w:tc>
          <w:tcPr>
            <w:tcW w:w="1500" w:type="dxa"/>
            <w:vAlign w:val="bottom"/>
          </w:tcPr>
          <w:p>
            <w:pPr>
              <w:jc w:val="center"/>
              <w:ind w:left="159"/>
              <w:spacing w:after="0"/>
              <w:rPr>
                <w:sz w:val="20"/>
                <w:szCs w:val="20"/>
                <w:color w:val="auto"/>
              </w:rPr>
            </w:pPr>
            <w:r>
              <w:rPr>
                <w:rFonts w:ascii="Courier New" w:cs="Courier New" w:eastAsia="Courier New" w:hAnsi="Courier New"/>
                <w:sz w:val="16"/>
                <w:szCs w:val="16"/>
                <w:color w:val="auto"/>
                <w:w w:val="98"/>
              </w:rPr>
              <w:t>3(a)</w:t>
            </w:r>
          </w:p>
        </w:tc>
        <w:tc>
          <w:tcPr>
            <w:tcW w:w="380" w:type="dxa"/>
            <w:vAlign w:val="bottom"/>
          </w:tcPr>
          <w:p>
            <w:pPr>
              <w:spacing w:after="0"/>
              <w:rPr>
                <w:sz w:val="24"/>
                <w:szCs w:val="24"/>
                <w:color w:val="auto"/>
              </w:rPr>
            </w:pPr>
          </w:p>
        </w:tc>
        <w:tc>
          <w:tcPr>
            <w:tcW w:w="5880" w:type="dxa"/>
            <w:vAlign w:val="bottom"/>
          </w:tcPr>
          <w:p>
            <w:pPr>
              <w:ind w:left="740"/>
              <w:spacing w:after="0"/>
              <w:rPr>
                <w:sz w:val="20"/>
                <w:szCs w:val="20"/>
                <w:color w:val="auto"/>
              </w:rPr>
            </w:pPr>
            <w:r>
              <w:rPr>
                <w:rFonts w:ascii="Courier New" w:cs="Courier New" w:eastAsia="Courier New" w:hAnsi="Courier New"/>
                <w:sz w:val="16"/>
                <w:szCs w:val="16"/>
                <w:color w:val="auto"/>
              </w:rPr>
              <w:t>Restated Certificate of Incorporation of the Company.</w:t>
            </w:r>
          </w:p>
        </w:tc>
      </w:tr>
      <w:tr>
        <w:trPr>
          <w:trHeight w:val="186"/>
        </w:trPr>
        <w:tc>
          <w:tcPr>
            <w:tcW w:w="15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5880" w:type="dxa"/>
            <w:vAlign w:val="bottom"/>
          </w:tcPr>
          <w:p>
            <w:pPr>
              <w:ind w:left="740"/>
              <w:spacing w:after="0"/>
              <w:rPr>
                <w:sz w:val="20"/>
                <w:szCs w:val="20"/>
                <w:color w:val="auto"/>
              </w:rPr>
            </w:pPr>
            <w:r>
              <w:rPr>
                <w:rFonts w:ascii="Courier New" w:cs="Courier New" w:eastAsia="Courier New" w:hAnsi="Courier New"/>
                <w:sz w:val="16"/>
                <w:szCs w:val="16"/>
                <w:color w:val="auto"/>
              </w:rPr>
              <w:t>(Reference is made to Exhibit 3(a) to the Current</w:t>
            </w:r>
          </w:p>
        </w:tc>
      </w:tr>
      <w:tr>
        <w:trPr>
          <w:trHeight w:val="186"/>
        </w:trPr>
        <w:tc>
          <w:tcPr>
            <w:tcW w:w="15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5880" w:type="dxa"/>
            <w:vAlign w:val="bottom"/>
          </w:tcPr>
          <w:p>
            <w:pPr>
              <w:ind w:left="740"/>
              <w:spacing w:after="0"/>
              <w:rPr>
                <w:sz w:val="20"/>
                <w:szCs w:val="20"/>
                <w:color w:val="auto"/>
              </w:rPr>
            </w:pPr>
            <w:r>
              <w:rPr>
                <w:rFonts w:ascii="Courier New" w:cs="Courier New" w:eastAsia="Courier New" w:hAnsi="Courier New"/>
                <w:sz w:val="16"/>
                <w:szCs w:val="16"/>
                <w:color w:val="auto"/>
              </w:rPr>
              <w:t>Report on Form 8-K, dated December 22, 1997, filed</w:t>
            </w:r>
          </w:p>
        </w:tc>
      </w:tr>
      <w:tr>
        <w:trPr>
          <w:trHeight w:val="186"/>
        </w:trPr>
        <w:tc>
          <w:tcPr>
            <w:tcW w:w="15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5880" w:type="dxa"/>
            <w:vAlign w:val="bottom"/>
          </w:tcPr>
          <w:p>
            <w:pPr>
              <w:ind w:left="740"/>
              <w:spacing w:after="0"/>
              <w:rPr>
                <w:sz w:val="20"/>
                <w:szCs w:val="20"/>
                <w:color w:val="auto"/>
              </w:rPr>
            </w:pPr>
            <w:r>
              <w:rPr>
                <w:rFonts w:ascii="Courier New" w:cs="Courier New" w:eastAsia="Courier New" w:hAnsi="Courier New"/>
                <w:sz w:val="16"/>
                <w:szCs w:val="16"/>
                <w:color w:val="auto"/>
              </w:rPr>
              <w:t>with the Securities and Exchange Commission on</w:t>
            </w:r>
          </w:p>
        </w:tc>
      </w:tr>
      <w:tr>
        <w:trPr>
          <w:trHeight w:val="186"/>
        </w:trPr>
        <w:tc>
          <w:tcPr>
            <w:tcW w:w="15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5880" w:type="dxa"/>
            <w:vAlign w:val="bottom"/>
          </w:tcPr>
          <w:p>
            <w:pPr>
              <w:ind w:left="740"/>
              <w:spacing w:after="0"/>
              <w:rPr>
                <w:sz w:val="20"/>
                <w:szCs w:val="20"/>
                <w:color w:val="auto"/>
              </w:rPr>
            </w:pPr>
            <w:r>
              <w:rPr>
                <w:rFonts w:ascii="Courier New" w:cs="Courier New" w:eastAsia="Courier New" w:hAnsi="Courier New"/>
                <w:sz w:val="16"/>
                <w:szCs w:val="16"/>
                <w:color w:val="auto"/>
              </w:rPr>
              <w:t>December 30, 1997, and incorporated herein by</w:t>
            </w:r>
          </w:p>
        </w:tc>
      </w:tr>
      <w:tr>
        <w:trPr>
          <w:trHeight w:val="186"/>
        </w:trPr>
        <w:tc>
          <w:tcPr>
            <w:tcW w:w="15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5880" w:type="dxa"/>
            <w:vAlign w:val="bottom"/>
          </w:tcPr>
          <w:p>
            <w:pPr>
              <w:ind w:left="740"/>
              <w:spacing w:after="0"/>
              <w:rPr>
                <w:sz w:val="20"/>
                <w:szCs w:val="20"/>
                <w:color w:val="auto"/>
              </w:rPr>
            </w:pPr>
            <w:r>
              <w:rPr>
                <w:rFonts w:ascii="Courier New" w:cs="Courier New" w:eastAsia="Courier New" w:hAnsi="Courier New"/>
                <w:sz w:val="16"/>
                <w:szCs w:val="16"/>
                <w:color w:val="auto"/>
              </w:rPr>
              <w:t>reference.)</w:t>
            </w:r>
          </w:p>
        </w:tc>
      </w:tr>
      <w:tr>
        <w:trPr>
          <w:trHeight w:val="373"/>
        </w:trPr>
        <w:tc>
          <w:tcPr>
            <w:tcW w:w="1500" w:type="dxa"/>
            <w:vAlign w:val="bottom"/>
          </w:tcPr>
          <w:p>
            <w:pPr>
              <w:jc w:val="center"/>
              <w:ind w:left="159"/>
              <w:spacing w:after="0"/>
              <w:rPr>
                <w:sz w:val="20"/>
                <w:szCs w:val="20"/>
                <w:color w:val="auto"/>
              </w:rPr>
            </w:pPr>
            <w:r>
              <w:rPr>
                <w:rFonts w:ascii="Courier New" w:cs="Courier New" w:eastAsia="Courier New" w:hAnsi="Courier New"/>
                <w:sz w:val="16"/>
                <w:szCs w:val="16"/>
                <w:color w:val="auto"/>
                <w:w w:val="98"/>
              </w:rPr>
              <w:t>3(b)</w:t>
            </w:r>
          </w:p>
        </w:tc>
        <w:tc>
          <w:tcPr>
            <w:tcW w:w="380" w:type="dxa"/>
            <w:vAlign w:val="bottom"/>
          </w:tcPr>
          <w:p>
            <w:pPr>
              <w:spacing w:after="0"/>
              <w:rPr>
                <w:sz w:val="24"/>
                <w:szCs w:val="24"/>
                <w:color w:val="auto"/>
              </w:rPr>
            </w:pPr>
          </w:p>
        </w:tc>
        <w:tc>
          <w:tcPr>
            <w:tcW w:w="5880" w:type="dxa"/>
            <w:vAlign w:val="bottom"/>
          </w:tcPr>
          <w:p>
            <w:pPr>
              <w:ind w:left="740"/>
              <w:spacing w:after="0"/>
              <w:rPr>
                <w:sz w:val="20"/>
                <w:szCs w:val="20"/>
                <w:color w:val="auto"/>
              </w:rPr>
            </w:pPr>
            <w:r>
              <w:rPr>
                <w:rFonts w:ascii="Courier New" w:cs="Courier New" w:eastAsia="Courier New" w:hAnsi="Courier New"/>
                <w:sz w:val="16"/>
                <w:szCs w:val="16"/>
                <w:color w:val="auto"/>
              </w:rPr>
              <w:t>By-Laws of the Company. (Reference is made to Exhibit</w:t>
            </w:r>
          </w:p>
        </w:tc>
      </w:tr>
      <w:tr>
        <w:trPr>
          <w:trHeight w:val="186"/>
        </w:trPr>
        <w:tc>
          <w:tcPr>
            <w:tcW w:w="15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5880" w:type="dxa"/>
            <w:vAlign w:val="bottom"/>
          </w:tcPr>
          <w:p>
            <w:pPr>
              <w:ind w:left="740"/>
              <w:spacing w:after="0"/>
              <w:rPr>
                <w:sz w:val="20"/>
                <w:szCs w:val="20"/>
                <w:color w:val="auto"/>
              </w:rPr>
            </w:pPr>
            <w:r>
              <w:rPr>
                <w:rFonts w:ascii="Courier New" w:cs="Courier New" w:eastAsia="Courier New" w:hAnsi="Courier New"/>
                <w:sz w:val="16"/>
                <w:szCs w:val="16"/>
                <w:color w:val="auto"/>
              </w:rPr>
              <w:t>3(b) to the Current Report on Form 8-K, dated</w:t>
            </w:r>
          </w:p>
        </w:tc>
      </w:tr>
      <w:tr>
        <w:trPr>
          <w:trHeight w:val="186"/>
        </w:trPr>
        <w:tc>
          <w:tcPr>
            <w:tcW w:w="15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5880" w:type="dxa"/>
            <w:vAlign w:val="bottom"/>
          </w:tcPr>
          <w:p>
            <w:pPr>
              <w:ind w:left="740"/>
              <w:spacing w:after="0"/>
              <w:rPr>
                <w:sz w:val="20"/>
                <w:szCs w:val="20"/>
                <w:color w:val="auto"/>
              </w:rPr>
            </w:pPr>
            <w:r>
              <w:rPr>
                <w:rFonts w:ascii="Courier New" w:cs="Courier New" w:eastAsia="Courier New" w:hAnsi="Courier New"/>
                <w:sz w:val="16"/>
                <w:szCs w:val="16"/>
                <w:color w:val="auto"/>
              </w:rPr>
              <w:t>December 22, 1997, filed with the Securities and</w:t>
            </w:r>
          </w:p>
        </w:tc>
      </w:tr>
      <w:tr>
        <w:trPr>
          <w:trHeight w:val="186"/>
        </w:trPr>
        <w:tc>
          <w:tcPr>
            <w:tcW w:w="15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5880" w:type="dxa"/>
            <w:vAlign w:val="bottom"/>
          </w:tcPr>
          <w:p>
            <w:pPr>
              <w:ind w:left="740"/>
              <w:spacing w:after="0"/>
              <w:rPr>
                <w:sz w:val="20"/>
                <w:szCs w:val="20"/>
                <w:color w:val="auto"/>
              </w:rPr>
            </w:pPr>
            <w:r>
              <w:rPr>
                <w:rFonts w:ascii="Courier New" w:cs="Courier New" w:eastAsia="Courier New" w:hAnsi="Courier New"/>
                <w:sz w:val="16"/>
                <w:szCs w:val="16"/>
                <w:color w:val="auto"/>
              </w:rPr>
              <w:t>Exchange Commission on December 30, 1997, and</w:t>
            </w:r>
          </w:p>
        </w:tc>
      </w:tr>
      <w:tr>
        <w:trPr>
          <w:trHeight w:val="186"/>
        </w:trPr>
        <w:tc>
          <w:tcPr>
            <w:tcW w:w="15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5880" w:type="dxa"/>
            <w:vAlign w:val="bottom"/>
          </w:tcPr>
          <w:p>
            <w:pPr>
              <w:ind w:left="740"/>
              <w:spacing w:after="0"/>
              <w:rPr>
                <w:sz w:val="20"/>
                <w:szCs w:val="20"/>
                <w:color w:val="auto"/>
              </w:rPr>
            </w:pPr>
            <w:r>
              <w:rPr>
                <w:rFonts w:ascii="Courier New" w:cs="Courier New" w:eastAsia="Courier New" w:hAnsi="Courier New"/>
                <w:sz w:val="16"/>
                <w:szCs w:val="16"/>
                <w:color w:val="auto"/>
              </w:rPr>
              <w:t>incorporated herein by reference.)</w:t>
            </w:r>
          </w:p>
        </w:tc>
      </w:tr>
      <w:tr>
        <w:trPr>
          <w:trHeight w:val="373"/>
        </w:trPr>
        <w:tc>
          <w:tcPr>
            <w:tcW w:w="1500" w:type="dxa"/>
            <w:vAlign w:val="bottom"/>
          </w:tcPr>
          <w:p>
            <w:pPr>
              <w:jc w:val="center"/>
              <w:ind w:left="159"/>
              <w:spacing w:after="0"/>
              <w:rPr>
                <w:sz w:val="20"/>
                <w:szCs w:val="20"/>
                <w:color w:val="auto"/>
              </w:rPr>
            </w:pPr>
            <w:r>
              <w:rPr>
                <w:rFonts w:ascii="Courier New" w:cs="Courier New" w:eastAsia="Courier New" w:hAnsi="Courier New"/>
                <w:sz w:val="16"/>
                <w:szCs w:val="16"/>
                <w:color w:val="auto"/>
                <w:w w:val="98"/>
              </w:rPr>
              <w:t>3(c)</w:t>
            </w:r>
          </w:p>
        </w:tc>
        <w:tc>
          <w:tcPr>
            <w:tcW w:w="380" w:type="dxa"/>
            <w:vAlign w:val="bottom"/>
          </w:tcPr>
          <w:p>
            <w:pPr>
              <w:spacing w:after="0"/>
              <w:rPr>
                <w:sz w:val="24"/>
                <w:szCs w:val="24"/>
                <w:color w:val="auto"/>
              </w:rPr>
            </w:pPr>
          </w:p>
        </w:tc>
        <w:tc>
          <w:tcPr>
            <w:tcW w:w="5880" w:type="dxa"/>
            <w:vAlign w:val="bottom"/>
          </w:tcPr>
          <w:p>
            <w:pPr>
              <w:ind w:left="740"/>
              <w:spacing w:after="0"/>
              <w:rPr>
                <w:sz w:val="20"/>
                <w:szCs w:val="20"/>
                <w:color w:val="auto"/>
              </w:rPr>
            </w:pPr>
            <w:r>
              <w:rPr>
                <w:rFonts w:ascii="Courier New" w:cs="Courier New" w:eastAsia="Courier New" w:hAnsi="Courier New"/>
                <w:sz w:val="16"/>
                <w:szCs w:val="16"/>
                <w:color w:val="auto"/>
              </w:rPr>
              <w:t>Form of Specimen Stock Certificate. (Reference is</w:t>
            </w:r>
          </w:p>
        </w:tc>
      </w:tr>
      <w:tr>
        <w:trPr>
          <w:trHeight w:val="186"/>
        </w:trPr>
        <w:tc>
          <w:tcPr>
            <w:tcW w:w="15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5880" w:type="dxa"/>
            <w:vAlign w:val="bottom"/>
          </w:tcPr>
          <w:p>
            <w:pPr>
              <w:ind w:left="740"/>
              <w:spacing w:after="0"/>
              <w:rPr>
                <w:sz w:val="20"/>
                <w:szCs w:val="20"/>
                <w:color w:val="auto"/>
              </w:rPr>
            </w:pPr>
            <w:r>
              <w:rPr>
                <w:rFonts w:ascii="Courier New" w:cs="Courier New" w:eastAsia="Courier New" w:hAnsi="Courier New"/>
                <w:sz w:val="16"/>
                <w:szCs w:val="16"/>
                <w:color w:val="auto"/>
              </w:rPr>
              <w:t>made to Exhibit 3(c) to the Current Report on Form</w:t>
            </w:r>
          </w:p>
        </w:tc>
      </w:tr>
      <w:tr>
        <w:trPr>
          <w:trHeight w:val="186"/>
        </w:trPr>
        <w:tc>
          <w:tcPr>
            <w:tcW w:w="15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5880" w:type="dxa"/>
            <w:vAlign w:val="bottom"/>
          </w:tcPr>
          <w:p>
            <w:pPr>
              <w:ind w:left="740"/>
              <w:spacing w:after="0"/>
              <w:rPr>
                <w:sz w:val="20"/>
                <w:szCs w:val="20"/>
                <w:color w:val="auto"/>
              </w:rPr>
            </w:pPr>
            <w:r>
              <w:rPr>
                <w:rFonts w:ascii="Courier New" w:cs="Courier New" w:eastAsia="Courier New" w:hAnsi="Courier New"/>
                <w:sz w:val="16"/>
                <w:szCs w:val="16"/>
                <w:color w:val="auto"/>
              </w:rPr>
              <w:t>8-K, dated December 22, 1997, filed with the</w:t>
            </w:r>
          </w:p>
        </w:tc>
      </w:tr>
      <w:tr>
        <w:trPr>
          <w:trHeight w:val="186"/>
        </w:trPr>
        <w:tc>
          <w:tcPr>
            <w:tcW w:w="15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5880" w:type="dxa"/>
            <w:vAlign w:val="bottom"/>
          </w:tcPr>
          <w:p>
            <w:pPr>
              <w:ind w:left="740"/>
              <w:spacing w:after="0"/>
              <w:rPr>
                <w:sz w:val="20"/>
                <w:szCs w:val="20"/>
                <w:color w:val="auto"/>
              </w:rPr>
            </w:pPr>
            <w:r>
              <w:rPr>
                <w:rFonts w:ascii="Courier New" w:cs="Courier New" w:eastAsia="Courier New" w:hAnsi="Courier New"/>
                <w:sz w:val="16"/>
                <w:szCs w:val="16"/>
                <w:color w:val="auto"/>
              </w:rPr>
              <w:t>Securities and Exchange Commission on December 30,</w:t>
            </w:r>
          </w:p>
        </w:tc>
      </w:tr>
      <w:tr>
        <w:trPr>
          <w:trHeight w:val="186"/>
        </w:trPr>
        <w:tc>
          <w:tcPr>
            <w:tcW w:w="15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5880" w:type="dxa"/>
            <w:vAlign w:val="bottom"/>
          </w:tcPr>
          <w:p>
            <w:pPr>
              <w:ind w:left="740"/>
              <w:spacing w:after="0"/>
              <w:rPr>
                <w:sz w:val="20"/>
                <w:szCs w:val="20"/>
                <w:color w:val="auto"/>
              </w:rPr>
            </w:pPr>
            <w:r>
              <w:rPr>
                <w:rFonts w:ascii="Courier New" w:cs="Courier New" w:eastAsia="Courier New" w:hAnsi="Courier New"/>
                <w:sz w:val="16"/>
                <w:szCs w:val="16"/>
                <w:color w:val="auto"/>
              </w:rPr>
              <w:t>1997, and incorporated herein by reference.)</w:t>
            </w:r>
          </w:p>
        </w:tc>
      </w:tr>
      <w:tr>
        <w:trPr>
          <w:trHeight w:val="373"/>
        </w:trPr>
        <w:tc>
          <w:tcPr>
            <w:tcW w:w="1500" w:type="dxa"/>
            <w:vAlign w:val="bottom"/>
          </w:tcPr>
          <w:p>
            <w:pPr>
              <w:jc w:val="center"/>
              <w:ind w:left="159"/>
              <w:spacing w:after="0"/>
              <w:rPr>
                <w:sz w:val="20"/>
                <w:szCs w:val="20"/>
                <w:color w:val="auto"/>
              </w:rPr>
            </w:pPr>
            <w:r>
              <w:rPr>
                <w:rFonts w:ascii="Courier New" w:cs="Courier New" w:eastAsia="Courier New" w:hAnsi="Courier New"/>
                <w:sz w:val="16"/>
                <w:szCs w:val="16"/>
                <w:color w:val="auto"/>
                <w:w w:val="98"/>
              </w:rPr>
              <w:t>4(a)</w:t>
            </w:r>
          </w:p>
        </w:tc>
        <w:tc>
          <w:tcPr>
            <w:tcW w:w="380" w:type="dxa"/>
            <w:vAlign w:val="bottom"/>
          </w:tcPr>
          <w:p>
            <w:pPr>
              <w:spacing w:after="0"/>
              <w:rPr>
                <w:sz w:val="24"/>
                <w:szCs w:val="24"/>
                <w:color w:val="auto"/>
              </w:rPr>
            </w:pPr>
          </w:p>
        </w:tc>
        <w:tc>
          <w:tcPr>
            <w:tcW w:w="5880" w:type="dxa"/>
            <w:vAlign w:val="bottom"/>
          </w:tcPr>
          <w:p>
            <w:pPr>
              <w:ind w:left="740"/>
              <w:spacing w:after="0"/>
              <w:rPr>
                <w:sz w:val="20"/>
                <w:szCs w:val="20"/>
                <w:color w:val="auto"/>
              </w:rPr>
            </w:pPr>
            <w:r>
              <w:rPr>
                <w:rFonts w:ascii="Courier New" w:cs="Courier New" w:eastAsia="Courier New" w:hAnsi="Courier New"/>
                <w:sz w:val="16"/>
                <w:szCs w:val="16"/>
                <w:color w:val="auto"/>
              </w:rPr>
              <w:t>Articles FOURTH, FIFTH, SEVENTH, EIGHTH, TENTH AND</w:t>
            </w:r>
          </w:p>
        </w:tc>
      </w:tr>
      <w:tr>
        <w:trPr>
          <w:trHeight w:val="186"/>
        </w:trPr>
        <w:tc>
          <w:tcPr>
            <w:tcW w:w="15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5880" w:type="dxa"/>
            <w:vAlign w:val="bottom"/>
          </w:tcPr>
          <w:p>
            <w:pPr>
              <w:ind w:left="740"/>
              <w:spacing w:after="0"/>
              <w:rPr>
                <w:sz w:val="20"/>
                <w:szCs w:val="20"/>
                <w:color w:val="auto"/>
              </w:rPr>
            </w:pPr>
            <w:r>
              <w:rPr>
                <w:rFonts w:ascii="Courier New" w:cs="Courier New" w:eastAsia="Courier New" w:hAnsi="Courier New"/>
                <w:sz w:val="16"/>
                <w:szCs w:val="16"/>
                <w:color w:val="auto"/>
              </w:rPr>
              <w:t>ELEVENTH of the Company's Restated Certificate of</w:t>
            </w:r>
          </w:p>
        </w:tc>
      </w:tr>
      <w:tr>
        <w:trPr>
          <w:trHeight w:val="186"/>
        </w:trPr>
        <w:tc>
          <w:tcPr>
            <w:tcW w:w="15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5880" w:type="dxa"/>
            <w:vAlign w:val="bottom"/>
          </w:tcPr>
          <w:p>
            <w:pPr>
              <w:ind w:left="740"/>
              <w:spacing w:after="0"/>
              <w:rPr>
                <w:sz w:val="20"/>
                <w:szCs w:val="20"/>
                <w:color w:val="auto"/>
              </w:rPr>
            </w:pPr>
            <w:r>
              <w:rPr>
                <w:rFonts w:ascii="Courier New" w:cs="Courier New" w:eastAsia="Courier New" w:hAnsi="Courier New"/>
                <w:sz w:val="16"/>
                <w:szCs w:val="16"/>
                <w:color w:val="auto"/>
              </w:rPr>
              <w:t>Incorporation (contained in the Company's Restated</w:t>
            </w:r>
          </w:p>
        </w:tc>
      </w:tr>
      <w:tr>
        <w:trPr>
          <w:trHeight w:val="186"/>
        </w:trPr>
        <w:tc>
          <w:tcPr>
            <w:tcW w:w="15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5880" w:type="dxa"/>
            <w:vAlign w:val="bottom"/>
          </w:tcPr>
          <w:p>
            <w:pPr>
              <w:ind w:left="740"/>
              <w:spacing w:after="0"/>
              <w:rPr>
                <w:sz w:val="20"/>
                <w:szCs w:val="20"/>
                <w:color w:val="auto"/>
              </w:rPr>
            </w:pPr>
            <w:r>
              <w:rPr>
                <w:rFonts w:ascii="Courier New" w:cs="Courier New" w:eastAsia="Courier New" w:hAnsi="Courier New"/>
                <w:sz w:val="16"/>
                <w:szCs w:val="16"/>
                <w:color w:val="auto"/>
              </w:rPr>
              <w:t>Certificate of Incorporation filed as Exhibit 3(a)</w:t>
            </w:r>
          </w:p>
        </w:tc>
      </w:tr>
      <w:tr>
        <w:trPr>
          <w:trHeight w:val="186"/>
        </w:trPr>
        <w:tc>
          <w:tcPr>
            <w:tcW w:w="15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5880" w:type="dxa"/>
            <w:vAlign w:val="bottom"/>
          </w:tcPr>
          <w:p>
            <w:pPr>
              <w:ind w:left="740"/>
              <w:spacing w:after="0"/>
              <w:rPr>
                <w:sz w:val="20"/>
                <w:szCs w:val="20"/>
                <w:color w:val="auto"/>
              </w:rPr>
            </w:pPr>
            <w:r>
              <w:rPr>
                <w:rFonts w:ascii="Courier New" w:cs="Courier New" w:eastAsia="Courier New" w:hAnsi="Courier New"/>
                <w:sz w:val="16"/>
                <w:szCs w:val="16"/>
                <w:color w:val="auto"/>
              </w:rPr>
              <w:t>hereto) and Articles II, III, IV, VI and VIII of the</w:t>
            </w:r>
          </w:p>
        </w:tc>
      </w:tr>
      <w:tr>
        <w:trPr>
          <w:trHeight w:val="186"/>
        </w:trPr>
        <w:tc>
          <w:tcPr>
            <w:tcW w:w="15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5880" w:type="dxa"/>
            <w:vAlign w:val="bottom"/>
          </w:tcPr>
          <w:p>
            <w:pPr>
              <w:ind w:left="740"/>
              <w:spacing w:after="0"/>
              <w:rPr>
                <w:sz w:val="20"/>
                <w:szCs w:val="20"/>
                <w:color w:val="auto"/>
              </w:rPr>
            </w:pPr>
            <w:r>
              <w:rPr>
                <w:rFonts w:ascii="Courier New" w:cs="Courier New" w:eastAsia="Courier New" w:hAnsi="Courier New"/>
                <w:sz w:val="16"/>
                <w:szCs w:val="16"/>
                <w:color w:val="auto"/>
              </w:rPr>
              <w:t>Company's By-Laws (contained in the Company's By-Laws</w:t>
            </w:r>
          </w:p>
        </w:tc>
      </w:tr>
      <w:tr>
        <w:trPr>
          <w:trHeight w:val="186"/>
        </w:trPr>
        <w:tc>
          <w:tcPr>
            <w:tcW w:w="15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5880" w:type="dxa"/>
            <w:vAlign w:val="bottom"/>
          </w:tcPr>
          <w:p>
            <w:pPr>
              <w:ind w:left="740"/>
              <w:spacing w:after="0"/>
              <w:rPr>
                <w:sz w:val="20"/>
                <w:szCs w:val="20"/>
                <w:color w:val="auto"/>
              </w:rPr>
            </w:pPr>
            <w:r>
              <w:rPr>
                <w:rFonts w:ascii="Courier New" w:cs="Courier New" w:eastAsia="Courier New" w:hAnsi="Courier New"/>
                <w:sz w:val="16"/>
                <w:szCs w:val="16"/>
                <w:color w:val="auto"/>
              </w:rPr>
              <w:t>filed as Exhibit 3(b) hereto).</w:t>
            </w:r>
          </w:p>
        </w:tc>
      </w:tr>
      <w:tr>
        <w:trPr>
          <w:trHeight w:val="373"/>
        </w:trPr>
        <w:tc>
          <w:tcPr>
            <w:tcW w:w="1500" w:type="dxa"/>
            <w:vAlign w:val="bottom"/>
          </w:tcPr>
          <w:p>
            <w:pPr>
              <w:jc w:val="center"/>
              <w:ind w:left="159"/>
              <w:spacing w:after="0"/>
              <w:rPr>
                <w:sz w:val="20"/>
                <w:szCs w:val="20"/>
                <w:color w:val="auto"/>
              </w:rPr>
            </w:pPr>
            <w:r>
              <w:rPr>
                <w:rFonts w:ascii="Courier New" w:cs="Courier New" w:eastAsia="Courier New" w:hAnsi="Courier New"/>
                <w:sz w:val="16"/>
                <w:szCs w:val="16"/>
                <w:color w:val="auto"/>
                <w:w w:val="98"/>
              </w:rPr>
              <w:t>4(b)</w:t>
            </w:r>
          </w:p>
        </w:tc>
        <w:tc>
          <w:tcPr>
            <w:tcW w:w="380" w:type="dxa"/>
            <w:vAlign w:val="bottom"/>
          </w:tcPr>
          <w:p>
            <w:pPr>
              <w:spacing w:after="0"/>
              <w:rPr>
                <w:sz w:val="24"/>
                <w:szCs w:val="24"/>
                <w:color w:val="auto"/>
              </w:rPr>
            </w:pPr>
          </w:p>
        </w:tc>
        <w:tc>
          <w:tcPr>
            <w:tcW w:w="5880" w:type="dxa"/>
            <w:vAlign w:val="bottom"/>
          </w:tcPr>
          <w:p>
            <w:pPr>
              <w:ind w:left="740"/>
              <w:spacing w:after="0"/>
              <w:rPr>
                <w:sz w:val="20"/>
                <w:szCs w:val="20"/>
                <w:color w:val="auto"/>
              </w:rPr>
            </w:pPr>
            <w:r>
              <w:rPr>
                <w:rFonts w:ascii="Courier New" w:cs="Courier New" w:eastAsia="Courier New" w:hAnsi="Courier New"/>
                <w:sz w:val="16"/>
                <w:szCs w:val="16"/>
                <w:color w:val="auto"/>
              </w:rPr>
              <w:t>Rights Agreement, dated as of December 16, 1997, by</w:t>
            </w:r>
          </w:p>
        </w:tc>
      </w:tr>
      <w:tr>
        <w:trPr>
          <w:trHeight w:val="186"/>
        </w:trPr>
        <w:tc>
          <w:tcPr>
            <w:tcW w:w="15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5880" w:type="dxa"/>
            <w:vAlign w:val="bottom"/>
          </w:tcPr>
          <w:p>
            <w:pPr>
              <w:ind w:left="740"/>
              <w:spacing w:after="0"/>
              <w:rPr>
                <w:sz w:val="20"/>
                <w:szCs w:val="20"/>
                <w:color w:val="auto"/>
              </w:rPr>
            </w:pPr>
            <w:r>
              <w:rPr>
                <w:rFonts w:ascii="Courier New" w:cs="Courier New" w:eastAsia="Courier New" w:hAnsi="Courier New"/>
                <w:sz w:val="16"/>
                <w:szCs w:val="16"/>
                <w:color w:val="auto"/>
              </w:rPr>
              <w:t>and between the Company and The Fifth Third Bank, as</w:t>
            </w:r>
          </w:p>
        </w:tc>
      </w:tr>
      <w:tr>
        <w:trPr>
          <w:trHeight w:val="186"/>
        </w:trPr>
        <w:tc>
          <w:tcPr>
            <w:tcW w:w="15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5880" w:type="dxa"/>
            <w:vAlign w:val="bottom"/>
          </w:tcPr>
          <w:p>
            <w:pPr>
              <w:ind w:left="740"/>
              <w:spacing w:after="0"/>
              <w:rPr>
                <w:sz w:val="20"/>
                <w:szCs w:val="20"/>
                <w:color w:val="auto"/>
              </w:rPr>
            </w:pPr>
            <w:r>
              <w:rPr>
                <w:rFonts w:ascii="Courier New" w:cs="Courier New" w:eastAsia="Courier New" w:hAnsi="Courier New"/>
                <w:sz w:val="16"/>
                <w:szCs w:val="16"/>
                <w:color w:val="auto"/>
              </w:rPr>
              <w:t>Rights Agent. (Reference is made to Exhibit 4.1 to</w:t>
            </w:r>
          </w:p>
        </w:tc>
      </w:tr>
      <w:tr>
        <w:trPr>
          <w:trHeight w:val="186"/>
        </w:trPr>
        <w:tc>
          <w:tcPr>
            <w:tcW w:w="15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5880" w:type="dxa"/>
            <w:vAlign w:val="bottom"/>
          </w:tcPr>
          <w:p>
            <w:pPr>
              <w:ind w:left="740"/>
              <w:spacing w:after="0"/>
              <w:rPr>
                <w:sz w:val="20"/>
                <w:szCs w:val="20"/>
                <w:color w:val="auto"/>
              </w:rPr>
            </w:pPr>
            <w:r>
              <w:rPr>
                <w:rFonts w:ascii="Courier New" w:cs="Courier New" w:eastAsia="Courier New" w:hAnsi="Courier New"/>
                <w:sz w:val="16"/>
                <w:szCs w:val="16"/>
                <w:color w:val="auto"/>
              </w:rPr>
              <w:t>Amendment No. 1 to Registration Statement on Form</w:t>
            </w:r>
          </w:p>
        </w:tc>
      </w:tr>
      <w:tr>
        <w:trPr>
          <w:trHeight w:val="186"/>
        </w:trPr>
        <w:tc>
          <w:tcPr>
            <w:tcW w:w="15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5880" w:type="dxa"/>
            <w:vAlign w:val="bottom"/>
          </w:tcPr>
          <w:p>
            <w:pPr>
              <w:ind w:left="740"/>
              <w:spacing w:after="0"/>
              <w:rPr>
                <w:sz w:val="20"/>
                <w:szCs w:val="20"/>
                <w:color w:val="auto"/>
              </w:rPr>
            </w:pPr>
            <w:r>
              <w:rPr>
                <w:rFonts w:ascii="Courier New" w:cs="Courier New" w:eastAsia="Courier New" w:hAnsi="Courier New"/>
                <w:sz w:val="16"/>
                <w:szCs w:val="16"/>
                <w:color w:val="auto"/>
              </w:rPr>
              <w:t>8-A, filed with the Securities and Exchange</w:t>
            </w:r>
          </w:p>
        </w:tc>
      </w:tr>
      <w:tr>
        <w:trPr>
          <w:trHeight w:val="186"/>
        </w:trPr>
        <w:tc>
          <w:tcPr>
            <w:tcW w:w="15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5880" w:type="dxa"/>
            <w:vAlign w:val="bottom"/>
          </w:tcPr>
          <w:p>
            <w:pPr>
              <w:ind w:left="740"/>
              <w:spacing w:after="0"/>
              <w:rPr>
                <w:sz w:val="20"/>
                <w:szCs w:val="20"/>
                <w:color w:val="auto"/>
              </w:rPr>
            </w:pPr>
            <w:r>
              <w:rPr>
                <w:rFonts w:ascii="Courier New" w:cs="Courier New" w:eastAsia="Courier New" w:hAnsi="Courier New"/>
                <w:sz w:val="16"/>
                <w:szCs w:val="16"/>
                <w:color w:val="auto"/>
              </w:rPr>
              <w:t>Commission on May 12, 1999, and incorporated herein</w:t>
            </w:r>
          </w:p>
        </w:tc>
      </w:tr>
      <w:tr>
        <w:trPr>
          <w:trHeight w:val="186"/>
        </w:trPr>
        <w:tc>
          <w:tcPr>
            <w:tcW w:w="15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5880" w:type="dxa"/>
            <w:vAlign w:val="bottom"/>
          </w:tcPr>
          <w:p>
            <w:pPr>
              <w:ind w:left="740"/>
              <w:spacing w:after="0"/>
              <w:rPr>
                <w:sz w:val="20"/>
                <w:szCs w:val="20"/>
                <w:color w:val="auto"/>
              </w:rPr>
            </w:pPr>
            <w:r>
              <w:rPr>
                <w:rFonts w:ascii="Courier New" w:cs="Courier New" w:eastAsia="Courier New" w:hAnsi="Courier New"/>
                <w:sz w:val="16"/>
                <w:szCs w:val="16"/>
                <w:color w:val="auto"/>
              </w:rPr>
              <w:t>by reference.)</w:t>
            </w:r>
          </w:p>
        </w:tc>
      </w:tr>
      <w:tr>
        <w:trPr>
          <w:trHeight w:val="373"/>
        </w:trPr>
        <w:tc>
          <w:tcPr>
            <w:tcW w:w="1500" w:type="dxa"/>
            <w:vAlign w:val="bottom"/>
          </w:tcPr>
          <w:p>
            <w:pPr>
              <w:jc w:val="center"/>
              <w:ind w:left="159"/>
              <w:spacing w:after="0"/>
              <w:rPr>
                <w:sz w:val="20"/>
                <w:szCs w:val="20"/>
                <w:color w:val="auto"/>
              </w:rPr>
            </w:pPr>
            <w:r>
              <w:rPr>
                <w:rFonts w:ascii="Courier New" w:cs="Courier New" w:eastAsia="Courier New" w:hAnsi="Courier New"/>
                <w:sz w:val="16"/>
                <w:szCs w:val="16"/>
                <w:color w:val="auto"/>
                <w:w w:val="98"/>
              </w:rPr>
              <w:t>4(c)</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5880" w:type="dxa"/>
            <w:vAlign w:val="bottom"/>
          </w:tcPr>
          <w:p>
            <w:pPr>
              <w:ind w:left="740"/>
              <w:spacing w:after="0"/>
              <w:rPr>
                <w:sz w:val="20"/>
                <w:szCs w:val="20"/>
                <w:color w:val="auto"/>
              </w:rPr>
            </w:pPr>
            <w:r>
              <w:rPr>
                <w:rFonts w:ascii="Courier New" w:cs="Courier New" w:eastAsia="Courier New" w:hAnsi="Courier New"/>
                <w:sz w:val="16"/>
                <w:szCs w:val="16"/>
                <w:color w:val="auto"/>
              </w:rPr>
              <w:t>Form of Guarantee.</w:t>
            </w:r>
          </w:p>
        </w:tc>
      </w:tr>
      <w:tr>
        <w:trPr>
          <w:trHeight w:val="373"/>
        </w:trPr>
        <w:tc>
          <w:tcPr>
            <w:tcW w:w="15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880" w:type="dxa"/>
            <w:vAlign w:val="bottom"/>
          </w:tcPr>
          <w:p>
            <w:pPr>
              <w:ind w:left="1800"/>
              <w:spacing w:after="0"/>
              <w:rPr>
                <w:sz w:val="20"/>
                <w:szCs w:val="20"/>
                <w:color w:val="auto"/>
              </w:rPr>
            </w:pPr>
            <w:r>
              <w:rPr>
                <w:rFonts w:ascii="Courier New" w:cs="Courier New" w:eastAsia="Courier New" w:hAnsi="Courier New"/>
                <w:sz w:val="16"/>
                <w:szCs w:val="16"/>
                <w:color w:val="auto"/>
              </w:rPr>
              <w:t>II-3</w:t>
            </w:r>
          </w:p>
        </w:tc>
      </w:tr>
    </w:tbl>
    <w:p>
      <w:pPr>
        <w:sectPr>
          <w:pgSz w:w="11900" w:h="16838" w:orient="portrait"/>
          <w:cols w:equalWidth="0" w:num="1">
            <w:col w:w="10219"/>
          </w:cols>
          <w:pgMar w:left="240" w:top="303" w:right="1440" w:bottom="1440" w:gutter="0" w:footer="0" w:header="0"/>
        </w:sectPr>
      </w:pPr>
    </w:p>
    <w:bookmarkStart w:id="52" w:name="page53"/>
    <w:bookmarkEnd w:id="52"/>
    <w:p>
      <w:pPr>
        <w:ind w:left="301"/>
        <w:spacing w:after="0"/>
        <w:rPr>
          <w:sz w:val="20"/>
          <w:szCs w:val="20"/>
          <w:color w:val="auto"/>
        </w:rPr>
      </w:pPr>
      <w:r>
        <w:rPr>
          <w:rFonts w:ascii="Courier New" w:cs="Courier New" w:eastAsia="Courier New" w:hAnsi="Courier New"/>
          <w:sz w:val="16"/>
          <w:szCs w:val="16"/>
          <w:color w:val="auto"/>
        </w:rPr>
        <w:t>47</w:t>
      </w:r>
    </w:p>
    <w:p>
      <w:pPr>
        <w:spacing w:after="0" w:line="191" w:lineRule="exact"/>
        <w:rPr>
          <w:sz w:val="20"/>
          <w:szCs w:val="20"/>
          <w:color w:val="auto"/>
        </w:rPr>
      </w:pPr>
    </w:p>
    <w:tbl>
      <w:tblPr>
        <w:tblLayout w:type="fixed"/>
        <w:tblInd w:w="681" w:type="dxa"/>
        <w:tblCellMar>
          <w:top w:w="0" w:type="dxa"/>
          <w:left w:w="0" w:type="dxa"/>
          <w:bottom w:w="0" w:type="dxa"/>
          <w:right w:w="0" w:type="dxa"/>
        </w:tblCellMar>
      </w:tblPr>
      <w:tr>
        <w:trPr>
          <w:trHeight w:val="183"/>
        </w:trPr>
        <w:tc>
          <w:tcPr>
            <w:tcW w:w="720" w:type="dxa"/>
            <w:vAlign w:val="bottom"/>
          </w:tcPr>
          <w:p>
            <w:pPr>
              <w:spacing w:after="0"/>
              <w:rPr>
                <w:sz w:val="20"/>
                <w:szCs w:val="20"/>
                <w:color w:val="auto"/>
              </w:rPr>
            </w:pPr>
            <w:r>
              <w:rPr>
                <w:rFonts w:ascii="Courier New" w:cs="Courier New" w:eastAsia="Courier New" w:hAnsi="Courier New"/>
                <w:sz w:val="16"/>
                <w:szCs w:val="16"/>
                <w:color w:val="auto"/>
              </w:rPr>
              <w:t>4(d)</w:t>
            </w:r>
          </w:p>
        </w:tc>
        <w:tc>
          <w:tcPr>
            <w:tcW w:w="820" w:type="dxa"/>
            <w:vAlign w:val="bottom"/>
          </w:tcPr>
          <w:p>
            <w:pPr>
              <w:jc w:val="right"/>
              <w:ind w:right="299"/>
              <w:spacing w:after="0"/>
              <w:rPr>
                <w:sz w:val="20"/>
                <w:szCs w:val="20"/>
                <w:color w:val="auto"/>
              </w:rPr>
            </w:pPr>
            <w:r>
              <w:rPr>
                <w:rFonts w:ascii="Courier New" w:cs="Courier New" w:eastAsia="Courier New" w:hAnsi="Courier New"/>
                <w:sz w:val="16"/>
                <w:szCs w:val="16"/>
                <w:color w:val="auto"/>
              </w:rPr>
              <w:t>*</w:t>
            </w:r>
          </w:p>
        </w:tc>
        <w:tc>
          <w:tcPr>
            <w:tcW w:w="5540" w:type="dxa"/>
            <w:vAlign w:val="bottom"/>
          </w:tcPr>
          <w:p>
            <w:pPr>
              <w:ind w:left="400"/>
              <w:spacing w:after="0"/>
              <w:rPr>
                <w:sz w:val="20"/>
                <w:szCs w:val="20"/>
                <w:color w:val="auto"/>
              </w:rPr>
            </w:pPr>
            <w:r>
              <w:rPr>
                <w:rFonts w:ascii="Courier New" w:cs="Courier New" w:eastAsia="Courier New" w:hAnsi="Courier New"/>
                <w:sz w:val="16"/>
                <w:szCs w:val="16"/>
                <w:color w:val="auto"/>
              </w:rPr>
              <w:t>Indenture, by and between the Company and Fifth Third</w:t>
            </w:r>
          </w:p>
        </w:tc>
      </w:tr>
      <w:tr>
        <w:trPr>
          <w:trHeight w:val="186"/>
        </w:trPr>
        <w:tc>
          <w:tcPr>
            <w:tcW w:w="7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5540" w:type="dxa"/>
            <w:vAlign w:val="bottom"/>
          </w:tcPr>
          <w:p>
            <w:pPr>
              <w:ind w:left="400"/>
              <w:spacing w:after="0"/>
              <w:rPr>
                <w:sz w:val="20"/>
                <w:szCs w:val="20"/>
                <w:color w:val="auto"/>
              </w:rPr>
            </w:pPr>
            <w:r>
              <w:rPr>
                <w:rFonts w:ascii="Courier New" w:cs="Courier New" w:eastAsia="Courier New" w:hAnsi="Courier New"/>
                <w:sz w:val="16"/>
                <w:szCs w:val="16"/>
                <w:color w:val="auto"/>
              </w:rPr>
              <w:t>Bank as Trustee, for the 6.5% Convertible</w:t>
            </w:r>
          </w:p>
        </w:tc>
      </w:tr>
      <w:tr>
        <w:trPr>
          <w:trHeight w:val="186"/>
        </w:trPr>
        <w:tc>
          <w:tcPr>
            <w:tcW w:w="7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5540" w:type="dxa"/>
            <w:vAlign w:val="bottom"/>
          </w:tcPr>
          <w:p>
            <w:pPr>
              <w:ind w:left="400"/>
              <w:spacing w:after="0"/>
              <w:rPr>
                <w:sz w:val="20"/>
                <w:szCs w:val="20"/>
                <w:color w:val="auto"/>
              </w:rPr>
            </w:pPr>
            <w:r>
              <w:rPr>
                <w:rFonts w:ascii="Courier New" w:cs="Courier New" w:eastAsia="Courier New" w:hAnsi="Courier New"/>
                <w:sz w:val="16"/>
                <w:szCs w:val="16"/>
                <w:color w:val="auto"/>
              </w:rPr>
              <w:t>Subordinated Notes due 2006, dated as of November 29,</w:t>
            </w:r>
          </w:p>
        </w:tc>
      </w:tr>
      <w:tr>
        <w:trPr>
          <w:trHeight w:val="186"/>
        </w:trPr>
        <w:tc>
          <w:tcPr>
            <w:tcW w:w="7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5540" w:type="dxa"/>
            <w:vAlign w:val="bottom"/>
          </w:tcPr>
          <w:p>
            <w:pPr>
              <w:ind w:left="400"/>
              <w:spacing w:after="0"/>
              <w:rPr>
                <w:sz w:val="20"/>
                <w:szCs w:val="20"/>
                <w:color w:val="auto"/>
              </w:rPr>
            </w:pPr>
            <w:r>
              <w:rPr>
                <w:rFonts w:ascii="Courier New" w:cs="Courier New" w:eastAsia="Courier New" w:hAnsi="Courier New"/>
                <w:sz w:val="16"/>
                <w:szCs w:val="16"/>
                <w:color w:val="auto"/>
              </w:rPr>
              <w:t>1999, including the form of the 6.5% Note.</w:t>
            </w:r>
          </w:p>
        </w:tc>
      </w:tr>
      <w:tr>
        <w:trPr>
          <w:trHeight w:val="373"/>
        </w:trPr>
        <w:tc>
          <w:tcPr>
            <w:tcW w:w="720" w:type="dxa"/>
            <w:vAlign w:val="bottom"/>
          </w:tcPr>
          <w:p>
            <w:pPr>
              <w:spacing w:after="0"/>
              <w:rPr>
                <w:sz w:val="20"/>
                <w:szCs w:val="20"/>
                <w:color w:val="auto"/>
              </w:rPr>
            </w:pPr>
            <w:r>
              <w:rPr>
                <w:rFonts w:ascii="Courier New" w:cs="Courier New" w:eastAsia="Courier New" w:hAnsi="Courier New"/>
                <w:sz w:val="16"/>
                <w:szCs w:val="16"/>
                <w:color w:val="auto"/>
              </w:rPr>
              <w:t>4(f)</w:t>
            </w:r>
          </w:p>
        </w:tc>
        <w:tc>
          <w:tcPr>
            <w:tcW w:w="820" w:type="dxa"/>
            <w:vAlign w:val="bottom"/>
          </w:tcPr>
          <w:p>
            <w:pPr>
              <w:jc w:val="right"/>
              <w:ind w:right="299"/>
              <w:spacing w:after="0"/>
              <w:rPr>
                <w:sz w:val="20"/>
                <w:szCs w:val="20"/>
                <w:color w:val="auto"/>
              </w:rPr>
            </w:pPr>
            <w:r>
              <w:rPr>
                <w:rFonts w:ascii="Courier New" w:cs="Courier New" w:eastAsia="Courier New" w:hAnsi="Courier New"/>
                <w:sz w:val="16"/>
                <w:szCs w:val="16"/>
                <w:color w:val="auto"/>
              </w:rPr>
              <w:t>*</w:t>
            </w:r>
          </w:p>
        </w:tc>
        <w:tc>
          <w:tcPr>
            <w:tcW w:w="5540" w:type="dxa"/>
            <w:vAlign w:val="bottom"/>
          </w:tcPr>
          <w:p>
            <w:pPr>
              <w:ind w:left="400"/>
              <w:spacing w:after="0"/>
              <w:rPr>
                <w:sz w:val="20"/>
                <w:szCs w:val="20"/>
                <w:color w:val="auto"/>
              </w:rPr>
            </w:pPr>
            <w:r>
              <w:rPr>
                <w:rFonts w:ascii="Courier New" w:cs="Courier New" w:eastAsia="Courier New" w:hAnsi="Courier New"/>
                <w:sz w:val="16"/>
                <w:szCs w:val="16"/>
                <w:color w:val="auto"/>
              </w:rPr>
              <w:t>First Supplemental Indenture by and among the</w:t>
            </w:r>
          </w:p>
        </w:tc>
      </w:tr>
      <w:tr>
        <w:trPr>
          <w:trHeight w:val="186"/>
        </w:trPr>
        <w:tc>
          <w:tcPr>
            <w:tcW w:w="7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5540" w:type="dxa"/>
            <w:vAlign w:val="bottom"/>
          </w:tcPr>
          <w:p>
            <w:pPr>
              <w:ind w:left="400"/>
              <w:spacing w:after="0"/>
              <w:rPr>
                <w:sz w:val="20"/>
                <w:szCs w:val="20"/>
                <w:color w:val="auto"/>
              </w:rPr>
            </w:pPr>
            <w:r>
              <w:rPr>
                <w:rFonts w:ascii="Courier New" w:cs="Courier New" w:eastAsia="Courier New" w:hAnsi="Courier New"/>
                <w:sz w:val="16"/>
                <w:szCs w:val="16"/>
                <w:color w:val="auto"/>
              </w:rPr>
              <w:t>Company, CheckFree Corporation, CheckFree Investment</w:t>
            </w:r>
          </w:p>
        </w:tc>
      </w:tr>
      <w:tr>
        <w:trPr>
          <w:trHeight w:val="186"/>
        </w:trPr>
        <w:tc>
          <w:tcPr>
            <w:tcW w:w="7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5540" w:type="dxa"/>
            <w:vAlign w:val="bottom"/>
          </w:tcPr>
          <w:p>
            <w:pPr>
              <w:ind w:left="400"/>
              <w:spacing w:after="0"/>
              <w:rPr>
                <w:sz w:val="20"/>
                <w:szCs w:val="20"/>
                <w:color w:val="auto"/>
              </w:rPr>
            </w:pPr>
            <w:r>
              <w:rPr>
                <w:rFonts w:ascii="Courier New" w:cs="Courier New" w:eastAsia="Courier New" w:hAnsi="Courier New"/>
                <w:sz w:val="16"/>
                <w:szCs w:val="16"/>
                <w:color w:val="auto"/>
              </w:rPr>
              <w:t>Corporation, CheckFree Investment Services, Inc.,</w:t>
            </w:r>
          </w:p>
        </w:tc>
      </w:tr>
      <w:tr>
        <w:trPr>
          <w:trHeight w:val="186"/>
        </w:trPr>
        <w:tc>
          <w:tcPr>
            <w:tcW w:w="7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5540" w:type="dxa"/>
            <w:vAlign w:val="bottom"/>
          </w:tcPr>
          <w:p>
            <w:pPr>
              <w:ind w:left="400"/>
              <w:spacing w:after="0"/>
              <w:rPr>
                <w:sz w:val="20"/>
                <w:szCs w:val="20"/>
                <w:color w:val="auto"/>
              </w:rPr>
            </w:pPr>
            <w:r>
              <w:rPr>
                <w:rFonts w:ascii="Courier New" w:cs="Courier New" w:eastAsia="Courier New" w:hAnsi="Courier New"/>
                <w:sz w:val="16"/>
                <w:szCs w:val="16"/>
                <w:color w:val="auto"/>
              </w:rPr>
              <w:t>CheckFree Management Corporation, and Fifth Third</w:t>
            </w:r>
          </w:p>
        </w:tc>
      </w:tr>
      <w:tr>
        <w:trPr>
          <w:trHeight w:val="186"/>
        </w:trPr>
        <w:tc>
          <w:tcPr>
            <w:tcW w:w="7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5540" w:type="dxa"/>
            <w:vAlign w:val="bottom"/>
          </w:tcPr>
          <w:p>
            <w:pPr>
              <w:ind w:left="400"/>
              <w:spacing w:after="0"/>
              <w:rPr>
                <w:sz w:val="20"/>
                <w:szCs w:val="20"/>
                <w:color w:val="auto"/>
              </w:rPr>
            </w:pPr>
            <w:r>
              <w:rPr>
                <w:rFonts w:ascii="Courier New" w:cs="Courier New" w:eastAsia="Courier New" w:hAnsi="Courier New"/>
                <w:sz w:val="16"/>
                <w:szCs w:val="16"/>
                <w:color w:val="auto"/>
              </w:rPr>
              <w:t>Bank as Trustee, for the 6.5% Convertible</w:t>
            </w:r>
          </w:p>
        </w:tc>
      </w:tr>
      <w:tr>
        <w:trPr>
          <w:trHeight w:val="186"/>
        </w:trPr>
        <w:tc>
          <w:tcPr>
            <w:tcW w:w="7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5540" w:type="dxa"/>
            <w:vAlign w:val="bottom"/>
          </w:tcPr>
          <w:p>
            <w:pPr>
              <w:ind w:left="400"/>
              <w:spacing w:after="0"/>
              <w:rPr>
                <w:sz w:val="20"/>
                <w:szCs w:val="20"/>
                <w:color w:val="auto"/>
              </w:rPr>
            </w:pPr>
            <w:r>
              <w:rPr>
                <w:rFonts w:ascii="Courier New" w:cs="Courier New" w:eastAsia="Courier New" w:hAnsi="Courier New"/>
                <w:sz w:val="16"/>
                <w:szCs w:val="16"/>
                <w:color w:val="auto"/>
              </w:rPr>
              <w:t>Subordinated Notes due 2006, dated as of November</w:t>
            </w:r>
          </w:p>
        </w:tc>
      </w:tr>
      <w:tr>
        <w:trPr>
          <w:trHeight w:val="186"/>
        </w:trPr>
        <w:tc>
          <w:tcPr>
            <w:tcW w:w="7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5540" w:type="dxa"/>
            <w:vAlign w:val="bottom"/>
          </w:tcPr>
          <w:p>
            <w:pPr>
              <w:ind w:left="400"/>
              <w:spacing w:after="0"/>
              <w:rPr>
                <w:sz w:val="20"/>
                <w:szCs w:val="20"/>
                <w:color w:val="auto"/>
              </w:rPr>
            </w:pPr>
            <w:r>
              <w:rPr>
                <w:rFonts w:ascii="Courier New" w:cs="Courier New" w:eastAsia="Courier New" w:hAnsi="Courier New"/>
                <w:sz w:val="16"/>
                <w:szCs w:val="16"/>
                <w:color w:val="auto"/>
              </w:rPr>
              <w:t>29, 1999.</w:t>
            </w:r>
          </w:p>
        </w:tc>
      </w:tr>
      <w:tr>
        <w:trPr>
          <w:trHeight w:val="373"/>
        </w:trPr>
        <w:tc>
          <w:tcPr>
            <w:tcW w:w="720" w:type="dxa"/>
            <w:vAlign w:val="bottom"/>
          </w:tcPr>
          <w:p>
            <w:pPr>
              <w:spacing w:after="0"/>
              <w:rPr>
                <w:sz w:val="20"/>
                <w:szCs w:val="20"/>
                <w:color w:val="auto"/>
              </w:rPr>
            </w:pPr>
            <w:r>
              <w:rPr>
                <w:rFonts w:ascii="Courier New" w:cs="Courier New" w:eastAsia="Courier New" w:hAnsi="Courier New"/>
                <w:sz w:val="16"/>
                <w:szCs w:val="16"/>
                <w:color w:val="auto"/>
              </w:rPr>
              <w:t>4(g)</w:t>
            </w:r>
          </w:p>
        </w:tc>
        <w:tc>
          <w:tcPr>
            <w:tcW w:w="820" w:type="dxa"/>
            <w:vAlign w:val="bottom"/>
          </w:tcPr>
          <w:p>
            <w:pPr>
              <w:jc w:val="right"/>
              <w:ind w:right="299"/>
              <w:spacing w:after="0"/>
              <w:rPr>
                <w:sz w:val="20"/>
                <w:szCs w:val="20"/>
                <w:color w:val="auto"/>
              </w:rPr>
            </w:pPr>
            <w:r>
              <w:rPr>
                <w:rFonts w:ascii="Courier New" w:cs="Courier New" w:eastAsia="Courier New" w:hAnsi="Courier New"/>
                <w:sz w:val="16"/>
                <w:szCs w:val="16"/>
                <w:color w:val="auto"/>
              </w:rPr>
              <w:t>*</w:t>
            </w:r>
          </w:p>
        </w:tc>
        <w:tc>
          <w:tcPr>
            <w:tcW w:w="5540" w:type="dxa"/>
            <w:vAlign w:val="bottom"/>
          </w:tcPr>
          <w:p>
            <w:pPr>
              <w:ind w:left="400"/>
              <w:spacing w:after="0"/>
              <w:rPr>
                <w:sz w:val="20"/>
                <w:szCs w:val="20"/>
                <w:color w:val="auto"/>
              </w:rPr>
            </w:pPr>
            <w:r>
              <w:rPr>
                <w:rFonts w:ascii="Courier New" w:cs="Courier New" w:eastAsia="Courier New" w:hAnsi="Courier New"/>
                <w:sz w:val="16"/>
                <w:szCs w:val="16"/>
                <w:color w:val="auto"/>
              </w:rPr>
              <w:t>Form of the Global Note.</w:t>
            </w:r>
          </w:p>
        </w:tc>
      </w:tr>
      <w:tr>
        <w:trPr>
          <w:trHeight w:val="373"/>
        </w:trPr>
        <w:tc>
          <w:tcPr>
            <w:tcW w:w="720" w:type="dxa"/>
            <w:vAlign w:val="bottom"/>
          </w:tcPr>
          <w:p>
            <w:pPr>
              <w:spacing w:after="0"/>
              <w:rPr>
                <w:sz w:val="20"/>
                <w:szCs w:val="20"/>
                <w:color w:val="auto"/>
              </w:rPr>
            </w:pPr>
            <w:r>
              <w:rPr>
                <w:rFonts w:ascii="Courier New" w:cs="Courier New" w:eastAsia="Courier New" w:hAnsi="Courier New"/>
                <w:sz w:val="16"/>
                <w:szCs w:val="16"/>
                <w:color w:val="auto"/>
              </w:rPr>
              <w:t>4(h)</w:t>
            </w:r>
          </w:p>
        </w:tc>
        <w:tc>
          <w:tcPr>
            <w:tcW w:w="820" w:type="dxa"/>
            <w:vAlign w:val="bottom"/>
          </w:tcPr>
          <w:p>
            <w:pPr>
              <w:jc w:val="right"/>
              <w:ind w:right="299"/>
              <w:spacing w:after="0"/>
              <w:rPr>
                <w:sz w:val="20"/>
                <w:szCs w:val="20"/>
                <w:color w:val="auto"/>
              </w:rPr>
            </w:pPr>
            <w:r>
              <w:rPr>
                <w:rFonts w:ascii="Courier New" w:cs="Courier New" w:eastAsia="Courier New" w:hAnsi="Courier New"/>
                <w:sz w:val="16"/>
                <w:szCs w:val="16"/>
                <w:color w:val="auto"/>
              </w:rPr>
              <w:t>*</w:t>
            </w:r>
          </w:p>
        </w:tc>
        <w:tc>
          <w:tcPr>
            <w:tcW w:w="5540" w:type="dxa"/>
            <w:vAlign w:val="bottom"/>
          </w:tcPr>
          <w:p>
            <w:pPr>
              <w:ind w:left="400"/>
              <w:spacing w:after="0"/>
              <w:rPr>
                <w:sz w:val="20"/>
                <w:szCs w:val="20"/>
                <w:color w:val="auto"/>
              </w:rPr>
            </w:pPr>
            <w:r>
              <w:rPr>
                <w:rFonts w:ascii="Courier New" w:cs="Courier New" w:eastAsia="Courier New" w:hAnsi="Courier New"/>
                <w:sz w:val="16"/>
                <w:szCs w:val="16"/>
                <w:color w:val="auto"/>
              </w:rPr>
              <w:t>Registration Rights Agreement, dated as of November</w:t>
            </w:r>
          </w:p>
        </w:tc>
      </w:tr>
      <w:tr>
        <w:trPr>
          <w:trHeight w:val="186"/>
        </w:trPr>
        <w:tc>
          <w:tcPr>
            <w:tcW w:w="7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5540" w:type="dxa"/>
            <w:vAlign w:val="bottom"/>
          </w:tcPr>
          <w:p>
            <w:pPr>
              <w:ind w:left="400"/>
              <w:spacing w:after="0"/>
              <w:rPr>
                <w:sz w:val="20"/>
                <w:szCs w:val="20"/>
                <w:color w:val="auto"/>
              </w:rPr>
            </w:pPr>
            <w:r>
              <w:rPr>
                <w:rFonts w:ascii="Courier New" w:cs="Courier New" w:eastAsia="Courier New" w:hAnsi="Courier New"/>
                <w:sz w:val="16"/>
                <w:szCs w:val="16"/>
                <w:color w:val="auto"/>
              </w:rPr>
              <w:t>29, 1999, among the Company, CheckFree Corporation,</w:t>
            </w:r>
          </w:p>
        </w:tc>
      </w:tr>
      <w:tr>
        <w:trPr>
          <w:trHeight w:val="186"/>
        </w:trPr>
        <w:tc>
          <w:tcPr>
            <w:tcW w:w="7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5540" w:type="dxa"/>
            <w:vAlign w:val="bottom"/>
          </w:tcPr>
          <w:p>
            <w:pPr>
              <w:ind w:left="400"/>
              <w:spacing w:after="0"/>
              <w:rPr>
                <w:sz w:val="20"/>
                <w:szCs w:val="20"/>
                <w:color w:val="auto"/>
              </w:rPr>
            </w:pPr>
            <w:r>
              <w:rPr>
                <w:rFonts w:ascii="Courier New" w:cs="Courier New" w:eastAsia="Courier New" w:hAnsi="Courier New"/>
                <w:sz w:val="16"/>
                <w:szCs w:val="16"/>
                <w:color w:val="auto"/>
              </w:rPr>
              <w:t>CheckFree Investment Corporation, CheckFree</w:t>
            </w:r>
          </w:p>
        </w:tc>
      </w:tr>
      <w:tr>
        <w:trPr>
          <w:trHeight w:val="186"/>
        </w:trPr>
        <w:tc>
          <w:tcPr>
            <w:tcW w:w="7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5540" w:type="dxa"/>
            <w:vAlign w:val="bottom"/>
          </w:tcPr>
          <w:p>
            <w:pPr>
              <w:ind w:left="400"/>
              <w:spacing w:after="0"/>
              <w:rPr>
                <w:sz w:val="20"/>
                <w:szCs w:val="20"/>
                <w:color w:val="auto"/>
              </w:rPr>
            </w:pPr>
            <w:r>
              <w:rPr>
                <w:rFonts w:ascii="Courier New" w:cs="Courier New" w:eastAsia="Courier New" w:hAnsi="Courier New"/>
                <w:sz w:val="16"/>
                <w:szCs w:val="16"/>
                <w:color w:val="auto"/>
              </w:rPr>
              <w:t>Management Corporation, CheckFree Investment</w:t>
            </w:r>
          </w:p>
        </w:tc>
      </w:tr>
      <w:tr>
        <w:trPr>
          <w:trHeight w:val="186"/>
        </w:trPr>
        <w:tc>
          <w:tcPr>
            <w:tcW w:w="7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5540" w:type="dxa"/>
            <w:vAlign w:val="bottom"/>
          </w:tcPr>
          <w:p>
            <w:pPr>
              <w:ind w:left="400"/>
              <w:spacing w:after="0"/>
              <w:rPr>
                <w:sz w:val="20"/>
                <w:szCs w:val="20"/>
                <w:color w:val="auto"/>
              </w:rPr>
            </w:pPr>
            <w:r>
              <w:rPr>
                <w:rFonts w:ascii="Courier New" w:cs="Courier New" w:eastAsia="Courier New" w:hAnsi="Courier New"/>
                <w:sz w:val="16"/>
                <w:szCs w:val="16"/>
                <w:color w:val="auto"/>
              </w:rPr>
              <w:t>Services, Inc., Merrill Lynch &amp; Co., Merrill Lynch,</w:t>
            </w:r>
          </w:p>
        </w:tc>
      </w:tr>
      <w:tr>
        <w:trPr>
          <w:trHeight w:val="186"/>
        </w:trPr>
        <w:tc>
          <w:tcPr>
            <w:tcW w:w="7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5540" w:type="dxa"/>
            <w:vAlign w:val="bottom"/>
          </w:tcPr>
          <w:p>
            <w:pPr>
              <w:ind w:left="400"/>
              <w:spacing w:after="0"/>
              <w:rPr>
                <w:sz w:val="20"/>
                <w:szCs w:val="20"/>
                <w:color w:val="auto"/>
              </w:rPr>
            </w:pPr>
            <w:r>
              <w:rPr>
                <w:rFonts w:ascii="Courier New" w:cs="Courier New" w:eastAsia="Courier New" w:hAnsi="Courier New"/>
                <w:sz w:val="16"/>
                <w:szCs w:val="16"/>
                <w:color w:val="auto"/>
              </w:rPr>
              <w:t>Pierce, Fenner &amp; Smith Incorporated, Deutsche Bank</w:t>
            </w:r>
          </w:p>
        </w:tc>
      </w:tr>
      <w:tr>
        <w:trPr>
          <w:trHeight w:val="186"/>
        </w:trPr>
        <w:tc>
          <w:tcPr>
            <w:tcW w:w="7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5540" w:type="dxa"/>
            <w:vAlign w:val="bottom"/>
          </w:tcPr>
          <w:p>
            <w:pPr>
              <w:ind w:left="400"/>
              <w:spacing w:after="0"/>
              <w:rPr>
                <w:sz w:val="20"/>
                <w:szCs w:val="20"/>
                <w:color w:val="auto"/>
              </w:rPr>
            </w:pPr>
            <w:r>
              <w:rPr>
                <w:rFonts w:ascii="Courier New" w:cs="Courier New" w:eastAsia="Courier New" w:hAnsi="Courier New"/>
                <w:sz w:val="16"/>
                <w:szCs w:val="16"/>
                <w:color w:val="auto"/>
              </w:rPr>
              <w:t>Securities Inc., and Hambrecht &amp; Quist LLC.</w:t>
            </w:r>
          </w:p>
        </w:tc>
      </w:tr>
    </w:tbl>
    <w:p>
      <w:pPr>
        <w:spacing w:after="0" w:line="190" w:lineRule="exact"/>
        <w:rPr>
          <w:sz w:val="20"/>
          <w:szCs w:val="20"/>
          <w:color w:val="auto"/>
        </w:rPr>
      </w:pPr>
    </w:p>
    <w:p>
      <w:pPr>
        <w:ind w:left="1741" w:hanging="869"/>
        <w:spacing w:after="0"/>
        <w:tabs>
          <w:tab w:leader="none" w:pos="1741" w:val="left"/>
        </w:tabs>
        <w:numPr>
          <w:ilvl w:val="0"/>
          <w:numId w:val="69"/>
        </w:numPr>
        <w:rPr>
          <w:rFonts w:ascii="Courier New" w:cs="Courier New" w:eastAsia="Courier New" w:hAnsi="Courier New"/>
          <w:sz w:val="16"/>
          <w:szCs w:val="16"/>
          <w:color w:val="auto"/>
        </w:rPr>
      </w:pPr>
      <w:r>
        <w:rPr>
          <w:rFonts w:ascii="Courier New" w:cs="Courier New" w:eastAsia="Courier New" w:hAnsi="Courier New"/>
          <w:sz w:val="16"/>
          <w:szCs w:val="16"/>
          <w:color w:val="auto"/>
        </w:rPr>
        <w:t>*Opinion of Porter, Wright, Morris &amp; Arthur LLP.</w:t>
      </w:r>
    </w:p>
    <w:p>
      <w:pPr>
        <w:spacing w:after="0" w:line="191" w:lineRule="exact"/>
        <w:rPr>
          <w:sz w:val="20"/>
          <w:szCs w:val="20"/>
          <w:color w:val="auto"/>
        </w:rPr>
      </w:pPr>
    </w:p>
    <w:tbl>
      <w:tblPr>
        <w:tblLayout w:type="fixed"/>
        <w:tblInd w:w="681" w:type="dxa"/>
        <w:tblCellMar>
          <w:top w:w="0" w:type="dxa"/>
          <w:left w:w="0" w:type="dxa"/>
          <w:bottom w:w="0" w:type="dxa"/>
          <w:right w:w="0" w:type="dxa"/>
        </w:tblCellMar>
      </w:tblPr>
      <w:tr>
        <w:trPr>
          <w:trHeight w:val="183"/>
        </w:trPr>
        <w:tc>
          <w:tcPr>
            <w:tcW w:w="720" w:type="dxa"/>
            <w:vAlign w:val="bottom"/>
          </w:tcPr>
          <w:p>
            <w:pPr>
              <w:jc w:val="center"/>
              <w:ind w:right="259"/>
              <w:spacing w:after="0"/>
              <w:rPr>
                <w:sz w:val="20"/>
                <w:szCs w:val="20"/>
                <w:color w:val="auto"/>
              </w:rPr>
            </w:pPr>
            <w:r>
              <w:rPr>
                <w:rFonts w:ascii="Courier New" w:cs="Courier New" w:eastAsia="Courier New" w:hAnsi="Courier New"/>
                <w:sz w:val="16"/>
                <w:szCs w:val="16"/>
                <w:color w:val="auto"/>
                <w:w w:val="98"/>
              </w:rPr>
              <w:t>23.1</w:t>
            </w:r>
          </w:p>
        </w:tc>
        <w:tc>
          <w:tcPr>
            <w:tcW w:w="880" w:type="dxa"/>
            <w:vAlign w:val="bottom"/>
          </w:tcPr>
          <w:p>
            <w:pPr>
              <w:spacing w:after="0"/>
              <w:rPr>
                <w:sz w:val="15"/>
                <w:szCs w:val="15"/>
                <w:color w:val="auto"/>
              </w:rPr>
            </w:pPr>
          </w:p>
        </w:tc>
        <w:tc>
          <w:tcPr>
            <w:tcW w:w="4800" w:type="dxa"/>
            <w:vAlign w:val="bottom"/>
          </w:tcPr>
          <w:p>
            <w:pPr>
              <w:ind w:left="340"/>
              <w:spacing w:after="0"/>
              <w:rPr>
                <w:sz w:val="20"/>
                <w:szCs w:val="20"/>
                <w:color w:val="auto"/>
              </w:rPr>
            </w:pPr>
            <w:r>
              <w:rPr>
                <w:rFonts w:ascii="Courier New" w:cs="Courier New" w:eastAsia="Courier New" w:hAnsi="Courier New"/>
                <w:sz w:val="16"/>
                <w:szCs w:val="16"/>
                <w:color w:val="auto"/>
              </w:rPr>
              <w:t>Consent of Porter, Wright, Morris &amp; Arthur LLP</w:t>
            </w:r>
          </w:p>
        </w:tc>
      </w:tr>
      <w:tr>
        <w:trPr>
          <w:trHeight w:val="186"/>
        </w:trPr>
        <w:tc>
          <w:tcPr>
            <w:tcW w:w="7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4800" w:type="dxa"/>
            <w:vAlign w:val="bottom"/>
          </w:tcPr>
          <w:p>
            <w:pPr>
              <w:ind w:left="340"/>
              <w:spacing w:after="0"/>
              <w:rPr>
                <w:sz w:val="20"/>
                <w:szCs w:val="20"/>
                <w:color w:val="auto"/>
              </w:rPr>
            </w:pPr>
            <w:r>
              <w:rPr>
                <w:rFonts w:ascii="Courier New" w:cs="Courier New" w:eastAsia="Courier New" w:hAnsi="Courier New"/>
                <w:sz w:val="16"/>
                <w:szCs w:val="16"/>
                <w:color w:val="auto"/>
              </w:rPr>
              <w:t>(included in Exhibit 5).</w:t>
            </w:r>
          </w:p>
        </w:tc>
      </w:tr>
      <w:tr>
        <w:trPr>
          <w:trHeight w:val="559"/>
        </w:trPr>
        <w:tc>
          <w:tcPr>
            <w:tcW w:w="720" w:type="dxa"/>
            <w:vAlign w:val="bottom"/>
          </w:tcPr>
          <w:p>
            <w:pPr>
              <w:jc w:val="center"/>
              <w:ind w:right="259"/>
              <w:spacing w:after="0"/>
              <w:rPr>
                <w:sz w:val="20"/>
                <w:szCs w:val="20"/>
                <w:color w:val="auto"/>
              </w:rPr>
            </w:pPr>
            <w:r>
              <w:rPr>
                <w:rFonts w:ascii="Courier New" w:cs="Courier New" w:eastAsia="Courier New" w:hAnsi="Courier New"/>
                <w:sz w:val="16"/>
                <w:szCs w:val="16"/>
                <w:color w:val="auto"/>
                <w:w w:val="98"/>
              </w:rPr>
              <w:t>23.2</w:t>
            </w:r>
          </w:p>
        </w:tc>
        <w:tc>
          <w:tcPr>
            <w:tcW w:w="880" w:type="dxa"/>
            <w:vAlign w:val="bottom"/>
          </w:tcPr>
          <w:p>
            <w:pPr>
              <w:ind w:left="340"/>
              <w:spacing w:after="0"/>
              <w:rPr>
                <w:sz w:val="20"/>
                <w:szCs w:val="20"/>
                <w:color w:val="auto"/>
              </w:rPr>
            </w:pPr>
            <w:r>
              <w:rPr>
                <w:rFonts w:ascii="Courier New" w:cs="Courier New" w:eastAsia="Courier New" w:hAnsi="Courier New"/>
                <w:sz w:val="16"/>
                <w:szCs w:val="16"/>
                <w:color w:val="auto"/>
              </w:rPr>
              <w:t>**</w:t>
            </w:r>
          </w:p>
        </w:tc>
        <w:tc>
          <w:tcPr>
            <w:tcW w:w="4800" w:type="dxa"/>
            <w:vAlign w:val="bottom"/>
          </w:tcPr>
          <w:p>
            <w:pPr>
              <w:ind w:left="340"/>
              <w:spacing w:after="0"/>
              <w:rPr>
                <w:sz w:val="20"/>
                <w:szCs w:val="20"/>
                <w:color w:val="auto"/>
              </w:rPr>
            </w:pPr>
            <w:r>
              <w:rPr>
                <w:rFonts w:ascii="Courier New" w:cs="Courier New" w:eastAsia="Courier New" w:hAnsi="Courier New"/>
                <w:sz w:val="16"/>
                <w:szCs w:val="16"/>
                <w:color w:val="auto"/>
              </w:rPr>
              <w:t>Consent of Deloitte &amp; Touche LLP.</w:t>
            </w:r>
          </w:p>
        </w:tc>
      </w:tr>
      <w:tr>
        <w:trPr>
          <w:trHeight w:val="373"/>
        </w:trPr>
        <w:tc>
          <w:tcPr>
            <w:tcW w:w="720" w:type="dxa"/>
            <w:vAlign w:val="bottom"/>
          </w:tcPr>
          <w:p>
            <w:pPr>
              <w:jc w:val="center"/>
              <w:ind w:right="259"/>
              <w:spacing w:after="0"/>
              <w:rPr>
                <w:sz w:val="20"/>
                <w:szCs w:val="20"/>
                <w:color w:val="auto"/>
              </w:rPr>
            </w:pPr>
            <w:r>
              <w:rPr>
                <w:rFonts w:ascii="Courier New" w:cs="Courier New" w:eastAsia="Courier New" w:hAnsi="Courier New"/>
                <w:sz w:val="16"/>
                <w:szCs w:val="16"/>
                <w:color w:val="auto"/>
                <w:w w:val="98"/>
              </w:rPr>
              <w:t>23.3</w:t>
            </w:r>
          </w:p>
        </w:tc>
        <w:tc>
          <w:tcPr>
            <w:tcW w:w="880" w:type="dxa"/>
            <w:vAlign w:val="bottom"/>
          </w:tcPr>
          <w:p>
            <w:pPr>
              <w:ind w:left="340"/>
              <w:spacing w:after="0"/>
              <w:rPr>
                <w:sz w:val="20"/>
                <w:szCs w:val="20"/>
                <w:color w:val="auto"/>
              </w:rPr>
            </w:pPr>
            <w:r>
              <w:rPr>
                <w:rFonts w:ascii="Courier New" w:cs="Courier New" w:eastAsia="Courier New" w:hAnsi="Courier New"/>
                <w:sz w:val="16"/>
                <w:szCs w:val="16"/>
                <w:color w:val="auto"/>
              </w:rPr>
              <w:t>**</w:t>
            </w:r>
          </w:p>
        </w:tc>
        <w:tc>
          <w:tcPr>
            <w:tcW w:w="4800" w:type="dxa"/>
            <w:vAlign w:val="bottom"/>
          </w:tcPr>
          <w:p>
            <w:pPr>
              <w:ind w:left="340"/>
              <w:spacing w:after="0"/>
              <w:rPr>
                <w:sz w:val="20"/>
                <w:szCs w:val="20"/>
                <w:color w:val="auto"/>
              </w:rPr>
            </w:pPr>
            <w:r>
              <w:rPr>
                <w:rFonts w:ascii="Courier New" w:cs="Courier New" w:eastAsia="Courier New" w:hAnsi="Courier New"/>
                <w:sz w:val="16"/>
                <w:szCs w:val="16"/>
                <w:color w:val="auto"/>
              </w:rPr>
              <w:t>Consent of Deloitte &amp; Touche LLP.</w:t>
            </w:r>
          </w:p>
        </w:tc>
      </w:tr>
      <w:tr>
        <w:trPr>
          <w:trHeight w:val="373"/>
        </w:trPr>
        <w:tc>
          <w:tcPr>
            <w:tcW w:w="720" w:type="dxa"/>
            <w:vAlign w:val="bottom"/>
          </w:tcPr>
          <w:p>
            <w:pPr>
              <w:jc w:val="center"/>
              <w:ind w:right="259"/>
              <w:spacing w:after="0"/>
              <w:rPr>
                <w:sz w:val="20"/>
                <w:szCs w:val="20"/>
                <w:color w:val="auto"/>
              </w:rPr>
            </w:pPr>
            <w:r>
              <w:rPr>
                <w:rFonts w:ascii="Courier New" w:cs="Courier New" w:eastAsia="Courier New" w:hAnsi="Courier New"/>
                <w:sz w:val="16"/>
                <w:szCs w:val="16"/>
                <w:color w:val="auto"/>
                <w:w w:val="98"/>
              </w:rPr>
              <w:t>23.4</w:t>
            </w:r>
          </w:p>
        </w:tc>
        <w:tc>
          <w:tcPr>
            <w:tcW w:w="880" w:type="dxa"/>
            <w:vAlign w:val="bottom"/>
          </w:tcPr>
          <w:p>
            <w:pPr>
              <w:ind w:left="340"/>
              <w:spacing w:after="0"/>
              <w:rPr>
                <w:sz w:val="20"/>
                <w:szCs w:val="20"/>
                <w:color w:val="auto"/>
              </w:rPr>
            </w:pPr>
            <w:r>
              <w:rPr>
                <w:rFonts w:ascii="Courier New" w:cs="Courier New" w:eastAsia="Courier New" w:hAnsi="Courier New"/>
                <w:sz w:val="16"/>
                <w:szCs w:val="16"/>
                <w:color w:val="auto"/>
              </w:rPr>
              <w:t>**</w:t>
            </w:r>
          </w:p>
        </w:tc>
        <w:tc>
          <w:tcPr>
            <w:tcW w:w="4800" w:type="dxa"/>
            <w:vAlign w:val="bottom"/>
          </w:tcPr>
          <w:p>
            <w:pPr>
              <w:ind w:left="340"/>
              <w:spacing w:after="0"/>
              <w:rPr>
                <w:sz w:val="20"/>
                <w:szCs w:val="20"/>
                <w:color w:val="auto"/>
              </w:rPr>
            </w:pPr>
            <w:r>
              <w:rPr>
                <w:rFonts w:ascii="Courier New" w:cs="Courier New" w:eastAsia="Courier New" w:hAnsi="Courier New"/>
                <w:sz w:val="16"/>
                <w:szCs w:val="16"/>
                <w:color w:val="auto"/>
              </w:rPr>
              <w:t>Consent of Arthur Andersen LLP.</w:t>
            </w:r>
          </w:p>
        </w:tc>
      </w:tr>
      <w:tr>
        <w:trPr>
          <w:trHeight w:val="559"/>
        </w:trPr>
        <w:tc>
          <w:tcPr>
            <w:tcW w:w="720" w:type="dxa"/>
            <w:vAlign w:val="bottom"/>
          </w:tcPr>
          <w:p>
            <w:pPr>
              <w:jc w:val="center"/>
              <w:ind w:right="259"/>
              <w:spacing w:after="0"/>
              <w:rPr>
                <w:sz w:val="20"/>
                <w:szCs w:val="20"/>
                <w:color w:val="auto"/>
              </w:rPr>
            </w:pPr>
            <w:r>
              <w:rPr>
                <w:rFonts w:ascii="Courier New" w:cs="Courier New" w:eastAsia="Courier New" w:hAnsi="Courier New"/>
                <w:sz w:val="16"/>
                <w:szCs w:val="16"/>
                <w:color w:val="auto"/>
                <w:w w:val="93"/>
              </w:rPr>
              <w:t>24</w:t>
            </w:r>
          </w:p>
        </w:tc>
        <w:tc>
          <w:tcPr>
            <w:tcW w:w="880" w:type="dxa"/>
            <w:vAlign w:val="bottom"/>
          </w:tcPr>
          <w:p>
            <w:pPr>
              <w:ind w:left="340"/>
              <w:spacing w:after="0"/>
              <w:rPr>
                <w:sz w:val="20"/>
                <w:szCs w:val="20"/>
                <w:color w:val="auto"/>
              </w:rPr>
            </w:pPr>
            <w:r>
              <w:rPr>
                <w:rFonts w:ascii="Courier New" w:cs="Courier New" w:eastAsia="Courier New" w:hAnsi="Courier New"/>
                <w:sz w:val="16"/>
                <w:szCs w:val="16"/>
                <w:color w:val="auto"/>
              </w:rPr>
              <w:t>*</w:t>
            </w:r>
          </w:p>
        </w:tc>
        <w:tc>
          <w:tcPr>
            <w:tcW w:w="4800" w:type="dxa"/>
            <w:vAlign w:val="bottom"/>
          </w:tcPr>
          <w:p>
            <w:pPr>
              <w:ind w:left="340"/>
              <w:spacing w:after="0"/>
              <w:rPr>
                <w:sz w:val="20"/>
                <w:szCs w:val="20"/>
                <w:color w:val="auto"/>
              </w:rPr>
            </w:pPr>
            <w:r>
              <w:rPr>
                <w:rFonts w:ascii="Courier New" w:cs="Courier New" w:eastAsia="Courier New" w:hAnsi="Courier New"/>
                <w:sz w:val="16"/>
                <w:szCs w:val="16"/>
                <w:color w:val="auto"/>
              </w:rPr>
              <w:t>Power of Attorney.</w:t>
            </w:r>
          </w:p>
        </w:tc>
      </w:tr>
    </w:tbl>
    <w:p>
      <w:pPr>
        <w:spacing w:after="0" w:line="190" w:lineRule="exact"/>
        <w:rPr>
          <w:sz w:val="20"/>
          <w:szCs w:val="20"/>
          <w:color w:val="auto"/>
        </w:rPr>
      </w:pPr>
    </w:p>
    <w:p>
      <w:pPr>
        <w:ind w:left="201" w:hanging="201"/>
        <w:spacing w:after="0"/>
        <w:tabs>
          <w:tab w:leader="none" w:pos="201" w:val="left"/>
        </w:tabs>
        <w:numPr>
          <w:ilvl w:val="0"/>
          <w:numId w:val="7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377" w:lineRule="exact"/>
        <w:rPr>
          <w:rFonts w:ascii="Courier New" w:cs="Courier New" w:eastAsia="Courier New" w:hAnsi="Courier New"/>
          <w:sz w:val="16"/>
          <w:szCs w:val="16"/>
          <w:color w:val="auto"/>
        </w:rPr>
      </w:pPr>
    </w:p>
    <w:p>
      <w:pPr>
        <w:ind w:left="381"/>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*Previously filed with this registration statement.</w:t>
      </w:r>
    </w:p>
    <w:p>
      <w:pPr>
        <w:spacing w:after="0" w:line="5" w:lineRule="exact"/>
        <w:rPr>
          <w:rFonts w:ascii="Courier New" w:cs="Courier New" w:eastAsia="Courier New" w:hAnsi="Courier New"/>
          <w:sz w:val="16"/>
          <w:szCs w:val="16"/>
          <w:color w:val="auto"/>
        </w:rPr>
      </w:pPr>
    </w:p>
    <w:p>
      <w:pPr>
        <w:ind w:left="881" w:hanging="590"/>
        <w:spacing w:after="0"/>
        <w:tabs>
          <w:tab w:leader="none" w:pos="881" w:val="left"/>
        </w:tabs>
        <w:numPr>
          <w:ilvl w:val="1"/>
          <w:numId w:val="71"/>
        </w:numPr>
        <w:rPr>
          <w:rFonts w:ascii="Courier New" w:cs="Courier New" w:eastAsia="Courier New" w:hAnsi="Courier New"/>
          <w:sz w:val="16"/>
          <w:szCs w:val="16"/>
          <w:color w:val="auto"/>
        </w:rPr>
      </w:pPr>
      <w:r>
        <w:rPr>
          <w:rFonts w:ascii="Courier New" w:cs="Courier New" w:eastAsia="Courier New" w:hAnsi="Courier New"/>
          <w:sz w:val="16"/>
          <w:szCs w:val="16"/>
          <w:color w:val="auto"/>
        </w:rPr>
        <w:t>Filed with this registration statement.</w:t>
      </w:r>
    </w:p>
    <w:p>
      <w:pPr>
        <w:spacing w:after="0" w:line="378" w:lineRule="exact"/>
        <w:rPr>
          <w:sz w:val="20"/>
          <w:szCs w:val="20"/>
          <w:color w:val="auto"/>
        </w:rPr>
      </w:pPr>
    </w:p>
    <w:p>
      <w:pPr>
        <w:ind w:left="1"/>
        <w:spacing w:after="0"/>
        <w:tabs>
          <w:tab w:leader="none" w:pos="1340" w:val="left"/>
        </w:tabs>
        <w:rPr>
          <w:sz w:val="20"/>
          <w:szCs w:val="20"/>
          <w:color w:val="auto"/>
        </w:rPr>
      </w:pPr>
      <w:r>
        <w:rPr>
          <w:rFonts w:ascii="Courier New" w:cs="Courier New" w:eastAsia="Courier New" w:hAnsi="Courier New"/>
          <w:sz w:val="16"/>
          <w:szCs w:val="16"/>
          <w:color w:val="auto"/>
        </w:rPr>
        <w:t>ITEM 17.</w:t>
      </w:r>
      <w:r>
        <w:rPr>
          <w:sz w:val="20"/>
          <w:szCs w:val="20"/>
          <w:color w:val="auto"/>
        </w:rPr>
        <w:tab/>
      </w:r>
      <w:r>
        <w:rPr>
          <w:rFonts w:ascii="Courier New" w:cs="Courier New" w:eastAsia="Courier New" w:hAnsi="Courier New"/>
          <w:sz w:val="16"/>
          <w:szCs w:val="16"/>
          <w:color w:val="auto"/>
        </w:rPr>
        <w:t>UNDERTAKINGS.</w:t>
      </w:r>
    </w:p>
    <w:p>
      <w:pPr>
        <w:spacing w:after="0" w:line="191" w:lineRule="exact"/>
        <w:rPr>
          <w:sz w:val="20"/>
          <w:szCs w:val="20"/>
          <w:color w:val="auto"/>
        </w:rPr>
      </w:pPr>
    </w:p>
    <w:p>
      <w:pPr>
        <w:ind w:left="881"/>
        <w:spacing w:after="0"/>
        <w:rPr>
          <w:sz w:val="20"/>
          <w:szCs w:val="20"/>
          <w:color w:val="auto"/>
        </w:rPr>
      </w:pPr>
      <w:r>
        <w:rPr>
          <w:rFonts w:ascii="Courier New" w:cs="Courier New" w:eastAsia="Courier New" w:hAnsi="Courier New"/>
          <w:sz w:val="16"/>
          <w:szCs w:val="16"/>
          <w:color w:val="auto"/>
        </w:rPr>
        <w:t>The undersigned Registrant hereby undertakes:</w:t>
      </w:r>
    </w:p>
    <w:p>
      <w:pPr>
        <w:spacing w:after="0" w:line="191" w:lineRule="exact"/>
        <w:rPr>
          <w:sz w:val="20"/>
          <w:szCs w:val="20"/>
          <w:color w:val="auto"/>
        </w:rPr>
      </w:pPr>
    </w:p>
    <w:p>
      <w:pPr>
        <w:ind w:left="1" w:right="2559" w:firstLine="871"/>
        <w:spacing w:after="0" w:line="248" w:lineRule="auto"/>
        <w:tabs>
          <w:tab w:leader="none" w:pos="1260" w:val="left"/>
        </w:tabs>
        <w:numPr>
          <w:ilvl w:val="0"/>
          <w:numId w:val="7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file during any period in which offers or sales are being made, a post effective amendment to this registration statement:</w:t>
      </w:r>
    </w:p>
    <w:p>
      <w:pPr>
        <w:spacing w:after="0" w:line="184" w:lineRule="exact"/>
        <w:rPr>
          <w:rFonts w:ascii="Courier New" w:cs="Courier New" w:eastAsia="Courier New" w:hAnsi="Courier New"/>
          <w:sz w:val="16"/>
          <w:szCs w:val="16"/>
          <w:color w:val="auto"/>
        </w:rPr>
      </w:pPr>
    </w:p>
    <w:p>
      <w:pPr>
        <w:ind w:left="881" w:right="2559" w:firstLine="864"/>
        <w:spacing w:after="0" w:line="248" w:lineRule="auto"/>
        <w:tabs>
          <w:tab w:leader="none" w:pos="2140" w:val="left"/>
        </w:tabs>
        <w:numPr>
          <w:ilvl w:val="1"/>
          <w:numId w:val="7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include any prospectus required by section 10(a)(3) of the Securities Act of 1933;</w:t>
      </w:r>
    </w:p>
    <w:p>
      <w:pPr>
        <w:spacing w:after="0" w:line="184" w:lineRule="exact"/>
        <w:rPr>
          <w:rFonts w:ascii="Courier New" w:cs="Courier New" w:eastAsia="Courier New" w:hAnsi="Courier New"/>
          <w:sz w:val="16"/>
          <w:szCs w:val="16"/>
          <w:color w:val="auto"/>
        </w:rPr>
      </w:pPr>
    </w:p>
    <w:p>
      <w:pPr>
        <w:ind w:left="881" w:right="2459" w:firstLine="864"/>
        <w:spacing w:after="0" w:line="246" w:lineRule="auto"/>
        <w:tabs>
          <w:tab w:leader="none" w:pos="2237" w:val="left"/>
        </w:tabs>
        <w:numPr>
          <w:ilvl w:val="1"/>
          <w:numId w:val="7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or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a 20% change in the maximum aggregate offering price set forth in the "Calculation of Registration Fee" table in the effective registration statement;</w:t>
      </w:r>
    </w:p>
    <w:p>
      <w:pPr>
        <w:spacing w:after="0" w:line="193" w:lineRule="exact"/>
        <w:rPr>
          <w:rFonts w:ascii="Courier New" w:cs="Courier New" w:eastAsia="Courier New" w:hAnsi="Courier New"/>
          <w:sz w:val="16"/>
          <w:szCs w:val="16"/>
          <w:color w:val="auto"/>
        </w:rPr>
      </w:pPr>
    </w:p>
    <w:p>
      <w:pPr>
        <w:ind w:left="881" w:right="2559" w:firstLine="864"/>
        <w:spacing w:after="0" w:line="247" w:lineRule="auto"/>
        <w:tabs>
          <w:tab w:leader="none" w:pos="2334" w:val="left"/>
        </w:tabs>
        <w:numPr>
          <w:ilvl w:val="1"/>
          <w:numId w:val="7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include any material information with respect to the plan of distribution not previously disclosed in the registration statement or any material change to such information in the registration statement;</w:t>
      </w:r>
    </w:p>
    <w:p>
      <w:pPr>
        <w:spacing w:after="0" w:line="185" w:lineRule="exact"/>
        <w:rPr>
          <w:rFonts w:ascii="Courier New" w:cs="Courier New" w:eastAsia="Courier New" w:hAnsi="Courier New"/>
          <w:sz w:val="16"/>
          <w:szCs w:val="16"/>
          <w:color w:val="auto"/>
        </w:rPr>
      </w:pPr>
    </w:p>
    <w:p>
      <w:pPr>
        <w:ind w:left="201" w:right="2559" w:firstLine="671"/>
        <w:spacing w:after="0" w:line="247" w:lineRule="auto"/>
        <w:tabs>
          <w:tab w:leader="none" w:pos="1266" w:val="left"/>
        </w:tabs>
        <w:numPr>
          <w:ilvl w:val="0"/>
          <w:numId w:val="7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that for the purpose of determining any liability under the Securities Act of 1933, each such post-effective amendment shall be deemed to be a new registration statement relating to the securities offered therein, and the offering of such securities at that time shall be deemed to be the initial bona fide offering thereof;</w:t>
      </w:r>
    </w:p>
    <w:p>
      <w:pPr>
        <w:spacing w:after="0" w:line="185" w:lineRule="exact"/>
        <w:rPr>
          <w:rFonts w:ascii="Courier New" w:cs="Courier New" w:eastAsia="Courier New" w:hAnsi="Courier New"/>
          <w:sz w:val="16"/>
          <w:szCs w:val="16"/>
          <w:color w:val="auto"/>
        </w:rPr>
      </w:pPr>
    </w:p>
    <w:p>
      <w:pPr>
        <w:jc w:val="both"/>
        <w:ind w:left="201" w:right="2559" w:firstLine="671"/>
        <w:spacing w:after="0" w:line="247" w:lineRule="auto"/>
        <w:tabs>
          <w:tab w:leader="none" w:pos="1266" w:val="left"/>
        </w:tabs>
        <w:numPr>
          <w:ilvl w:val="0"/>
          <w:numId w:val="7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remove from registration by means of a post-effective amendment any of the securities being registered which remain unsold at the termination of the offering.</w:t>
      </w:r>
    </w:p>
    <w:p>
      <w:pPr>
        <w:spacing w:after="0" w:line="186" w:lineRule="exact"/>
        <w:rPr>
          <w:sz w:val="20"/>
          <w:szCs w:val="20"/>
          <w:color w:val="auto"/>
        </w:rPr>
      </w:pPr>
    </w:p>
    <w:p>
      <w:pPr>
        <w:ind w:left="3681"/>
        <w:spacing w:after="0"/>
        <w:rPr>
          <w:sz w:val="20"/>
          <w:szCs w:val="20"/>
          <w:color w:val="auto"/>
        </w:rPr>
      </w:pPr>
      <w:r>
        <w:rPr>
          <w:rFonts w:ascii="Courier New" w:cs="Courier New" w:eastAsia="Courier New" w:hAnsi="Courier New"/>
          <w:sz w:val="16"/>
          <w:szCs w:val="16"/>
          <w:color w:val="auto"/>
        </w:rPr>
        <w:t>II-4</w:t>
      </w:r>
    </w:p>
    <w:p>
      <w:pPr>
        <w:sectPr>
          <w:pgSz w:w="11900" w:h="16838" w:orient="portrait"/>
          <w:cols w:equalWidth="0" w:num="1">
            <w:col w:w="10220"/>
          </w:cols>
          <w:pgMar w:left="239" w:top="303" w:right="1440" w:bottom="0" w:gutter="0" w:footer="0" w:header="0"/>
        </w:sectPr>
      </w:pPr>
    </w:p>
    <w:bookmarkStart w:id="53" w:name="page54"/>
    <w:bookmarkEnd w:id="53"/>
    <w:p>
      <w:pPr>
        <w:ind w:left="300"/>
        <w:spacing w:after="0"/>
        <w:rPr>
          <w:sz w:val="20"/>
          <w:szCs w:val="20"/>
          <w:color w:val="auto"/>
        </w:rPr>
      </w:pPr>
      <w:r>
        <w:rPr>
          <w:rFonts w:ascii="Courier New" w:cs="Courier New" w:eastAsia="Courier New" w:hAnsi="Courier New"/>
          <w:sz w:val="16"/>
          <w:szCs w:val="16"/>
          <w:color w:val="auto"/>
        </w:rPr>
        <w:t>48</w:t>
      </w:r>
    </w:p>
    <w:p>
      <w:pPr>
        <w:spacing w:after="0" w:line="191" w:lineRule="exact"/>
        <w:rPr>
          <w:sz w:val="20"/>
          <w:szCs w:val="20"/>
          <w:color w:val="auto"/>
        </w:rPr>
      </w:pPr>
    </w:p>
    <w:p>
      <w:pPr>
        <w:ind w:right="2559" w:firstLine="872"/>
        <w:spacing w:after="0" w:line="246" w:lineRule="auto"/>
        <w:rPr>
          <w:sz w:val="20"/>
          <w:szCs w:val="20"/>
          <w:color w:val="auto"/>
        </w:rPr>
      </w:pPr>
      <w:r>
        <w:rPr>
          <w:rFonts w:ascii="Courier New" w:cs="Courier New" w:eastAsia="Courier New" w:hAnsi="Courier New"/>
          <w:sz w:val="16"/>
          <w:szCs w:val="16"/>
          <w:color w:val="auto"/>
        </w:rPr>
        <w:t>The undersigned Registrant hereby undertakes that, for purposes of determining any liability under the Securities Act of 1933, each filing of the Registrant's annual report pursuant to Section 13(a) or Section 15(d) of the Securities Exchange Act of 1934 (and, where applicable, each filing of an employee benefit plan's annual report pursuant to Section 15(d) of the Securities Exchange Act of 1934) that is incorporated by reference in the registration statement shall be deemed to be a new registration statement relating to the securities offered therein, and the offering of such securities at that time shall be deemed to be the initial bona fide offering thereof.</w:t>
      </w:r>
    </w:p>
    <w:p>
      <w:pPr>
        <w:spacing w:after="0" w:line="191" w:lineRule="exact"/>
        <w:rPr>
          <w:sz w:val="20"/>
          <w:szCs w:val="20"/>
          <w:color w:val="auto"/>
        </w:rPr>
      </w:pPr>
    </w:p>
    <w:p>
      <w:pPr>
        <w:ind w:right="2459" w:firstLine="872"/>
        <w:spacing w:after="0" w:line="246" w:lineRule="auto"/>
        <w:rPr>
          <w:sz w:val="20"/>
          <w:szCs w:val="20"/>
          <w:color w:val="auto"/>
        </w:rPr>
      </w:pPr>
      <w:r>
        <w:rPr>
          <w:rFonts w:ascii="Courier New" w:cs="Courier New" w:eastAsia="Courier New" w:hAnsi="Courier New"/>
          <w:sz w:val="16"/>
          <w:szCs w:val="16"/>
          <w:color w:val="auto"/>
        </w:rPr>
        <w:t>Insofar as indemnification for liabilities arising under the Securities Act of 1933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Securities Act of 1933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of 1933 and will be governed by the final adjudication of such issue.</w:t>
      </w:r>
    </w:p>
    <w:p>
      <w:pPr>
        <w:spacing w:after="0" w:line="382"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II-5</w:t>
      </w:r>
    </w:p>
    <w:p>
      <w:pPr>
        <w:sectPr>
          <w:pgSz w:w="11900" w:h="16838" w:orient="portrait"/>
          <w:cols w:equalWidth="0" w:num="1">
            <w:col w:w="10219"/>
          </w:cols>
          <w:pgMar w:left="240" w:top="303" w:right="1440" w:bottom="1440" w:gutter="0" w:footer="0" w:header="0"/>
        </w:sectPr>
      </w:pPr>
    </w:p>
    <w:bookmarkStart w:id="54" w:name="page55"/>
    <w:bookmarkEnd w:id="54"/>
    <w:p>
      <w:pPr>
        <w:ind w:left="301"/>
        <w:spacing w:after="0"/>
        <w:rPr>
          <w:sz w:val="20"/>
          <w:szCs w:val="20"/>
          <w:color w:val="auto"/>
        </w:rPr>
      </w:pPr>
      <w:r>
        <w:rPr>
          <w:rFonts w:ascii="Courier New" w:cs="Courier New" w:eastAsia="Courier New" w:hAnsi="Courier New"/>
          <w:sz w:val="16"/>
          <w:szCs w:val="16"/>
          <w:color w:val="auto"/>
        </w:rPr>
        <w:t>49</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left="3401"/>
        <w:spacing w:after="0"/>
        <w:rPr>
          <w:sz w:val="20"/>
          <w:szCs w:val="20"/>
          <w:color w:val="auto"/>
        </w:rPr>
      </w:pPr>
      <w:r>
        <w:rPr>
          <w:rFonts w:ascii="Courier New" w:cs="Courier New" w:eastAsia="Courier New" w:hAnsi="Courier New"/>
          <w:sz w:val="16"/>
          <w:szCs w:val="16"/>
          <w:color w:val="auto"/>
        </w:rPr>
        <w:t>SIGNATURES</w:t>
      </w:r>
    </w:p>
    <w:p>
      <w:pPr>
        <w:spacing w:after="0" w:line="378" w:lineRule="exact"/>
        <w:rPr>
          <w:sz w:val="20"/>
          <w:szCs w:val="20"/>
          <w:color w:val="auto"/>
        </w:rPr>
      </w:pPr>
    </w:p>
    <w:p>
      <w:pPr>
        <w:ind w:left="1" w:right="3100" w:firstLine="872"/>
        <w:spacing w:after="0" w:line="247" w:lineRule="auto"/>
        <w:rPr>
          <w:sz w:val="20"/>
          <w:szCs w:val="20"/>
          <w:color w:val="auto"/>
        </w:rPr>
      </w:pPr>
      <w:r>
        <w:rPr>
          <w:rFonts w:ascii="Courier New" w:cs="Courier New" w:eastAsia="Courier New" w:hAnsi="Courier New"/>
          <w:sz w:val="16"/>
          <w:szCs w:val="16"/>
          <w:color w:val="auto"/>
        </w:rPr>
        <w:t>Pursuant to the requirements of the Securities Act of 1933, the Registrant certifies that it has reasonable grounds to believe that it meets all of the requirements for filing on Form S-3 and has duly caused this Amendment No. 2 to the Registration Statement to be signed on its behalf by the undersigned, thereunto duly authorized, in the City of Norcross, State of Georgia, on April 10, 2000.</w:t>
      </w:r>
    </w:p>
    <w:p>
      <w:pPr>
        <w:spacing w:after="0" w:line="372" w:lineRule="exact"/>
        <w:rPr>
          <w:sz w:val="20"/>
          <w:szCs w:val="20"/>
          <w:color w:val="auto"/>
        </w:rPr>
      </w:pPr>
    </w:p>
    <w:p>
      <w:pPr>
        <w:ind w:left="3001"/>
        <w:spacing w:after="0"/>
        <w:rPr>
          <w:sz w:val="20"/>
          <w:szCs w:val="20"/>
          <w:color w:val="auto"/>
        </w:rPr>
      </w:pPr>
      <w:r>
        <w:rPr>
          <w:rFonts w:ascii="Courier New" w:cs="Courier New" w:eastAsia="Courier New" w:hAnsi="Courier New"/>
          <w:sz w:val="16"/>
          <w:szCs w:val="16"/>
          <w:color w:val="auto"/>
        </w:rPr>
        <w:t>CHECKFREE HOLDINGS CORPORATION</w:t>
      </w:r>
    </w:p>
    <w:p>
      <w:pPr>
        <w:spacing w:after="0" w:line="378" w:lineRule="exact"/>
        <w:rPr>
          <w:sz w:val="20"/>
          <w:szCs w:val="20"/>
          <w:color w:val="auto"/>
        </w:rPr>
      </w:pPr>
    </w:p>
    <w:p>
      <w:pPr>
        <w:ind w:left="3001"/>
        <w:spacing w:after="0"/>
        <w:tabs>
          <w:tab w:leader="none" w:pos="3560" w:val="left"/>
        </w:tabs>
        <w:rPr>
          <w:sz w:val="20"/>
          <w:szCs w:val="20"/>
          <w:color w:val="auto"/>
        </w:rPr>
      </w:pPr>
      <w:r>
        <w:rPr>
          <w:rFonts w:ascii="Courier New" w:cs="Courier New" w:eastAsia="Courier New" w:hAnsi="Courier New"/>
          <w:sz w:val="16"/>
          <w:szCs w:val="16"/>
          <w:color w:val="auto"/>
        </w:rPr>
        <w:t>By:</w:t>
        <w:tab/>
        <w:t>/s/Allen L. Shulman</w:t>
      </w:r>
    </w:p>
    <w:p>
      <w:pPr>
        <w:spacing w:after="0" w:line="5" w:lineRule="exact"/>
        <w:rPr>
          <w:sz w:val="20"/>
          <w:szCs w:val="20"/>
          <w:color w:val="auto"/>
        </w:rPr>
      </w:pPr>
    </w:p>
    <w:p>
      <w:pPr>
        <w:ind w:left="3581"/>
        <w:spacing w:after="0"/>
        <w:rPr>
          <w:sz w:val="20"/>
          <w:szCs w:val="20"/>
          <w:color w:val="auto"/>
        </w:rPr>
      </w:pPr>
      <w:r>
        <w:rPr>
          <w:rFonts w:ascii="Courier New" w:cs="Courier New" w:eastAsia="Courier New" w:hAnsi="Courier New"/>
          <w:sz w:val="16"/>
          <w:szCs w:val="16"/>
          <w:color w:val="auto"/>
        </w:rPr>
        <w:t>-----------------------------------------</w:t>
      </w:r>
    </w:p>
    <w:p>
      <w:pPr>
        <w:spacing w:after="0" w:line="5" w:lineRule="exact"/>
        <w:rPr>
          <w:sz w:val="20"/>
          <w:szCs w:val="20"/>
          <w:color w:val="auto"/>
        </w:rPr>
      </w:pPr>
    </w:p>
    <w:p>
      <w:pPr>
        <w:ind w:left="3581"/>
        <w:spacing w:after="0"/>
        <w:rPr>
          <w:sz w:val="20"/>
          <w:szCs w:val="20"/>
          <w:color w:val="auto"/>
        </w:rPr>
      </w:pPr>
      <w:r>
        <w:rPr>
          <w:rFonts w:ascii="Courier New" w:cs="Courier New" w:eastAsia="Courier New" w:hAnsi="Courier New"/>
          <w:sz w:val="16"/>
          <w:szCs w:val="16"/>
          <w:color w:val="auto"/>
        </w:rPr>
        <w:t>Allen L. Shulman,</w:t>
      </w:r>
    </w:p>
    <w:p>
      <w:pPr>
        <w:spacing w:after="0" w:line="5" w:lineRule="exact"/>
        <w:rPr>
          <w:sz w:val="20"/>
          <w:szCs w:val="20"/>
          <w:color w:val="auto"/>
        </w:rPr>
      </w:pPr>
    </w:p>
    <w:p>
      <w:pPr>
        <w:ind w:left="3581"/>
        <w:spacing w:after="0"/>
        <w:rPr>
          <w:sz w:val="20"/>
          <w:szCs w:val="20"/>
          <w:color w:val="auto"/>
        </w:rPr>
      </w:pPr>
      <w:r>
        <w:rPr>
          <w:rFonts w:ascii="Courier New" w:cs="Courier New" w:eastAsia="Courier New" w:hAnsi="Courier New"/>
          <w:sz w:val="16"/>
          <w:szCs w:val="16"/>
          <w:color w:val="auto"/>
        </w:rPr>
        <w:t>Executive Vice President, Chief Financial</w:t>
      </w:r>
    </w:p>
    <w:p>
      <w:pPr>
        <w:spacing w:after="0" w:line="5" w:lineRule="exact"/>
        <w:rPr>
          <w:sz w:val="20"/>
          <w:szCs w:val="20"/>
          <w:color w:val="auto"/>
        </w:rPr>
      </w:pPr>
    </w:p>
    <w:p>
      <w:pPr>
        <w:ind w:left="3581"/>
        <w:spacing w:after="0"/>
        <w:rPr>
          <w:sz w:val="20"/>
          <w:szCs w:val="20"/>
          <w:color w:val="auto"/>
        </w:rPr>
      </w:pPr>
      <w:r>
        <w:rPr>
          <w:rFonts w:ascii="Courier New" w:cs="Courier New" w:eastAsia="Courier New" w:hAnsi="Courier New"/>
          <w:sz w:val="16"/>
          <w:szCs w:val="16"/>
          <w:color w:val="auto"/>
        </w:rPr>
        <w:t>Officer and General Counsel</w:t>
      </w:r>
    </w:p>
    <w:p>
      <w:pPr>
        <w:spacing w:after="0" w:line="378" w:lineRule="exact"/>
        <w:rPr>
          <w:sz w:val="20"/>
          <w:szCs w:val="20"/>
          <w:color w:val="auto"/>
        </w:rPr>
      </w:pPr>
    </w:p>
    <w:p>
      <w:pPr>
        <w:ind w:left="1" w:right="3400" w:firstLine="872"/>
        <w:spacing w:after="0" w:line="247" w:lineRule="auto"/>
        <w:rPr>
          <w:sz w:val="20"/>
          <w:szCs w:val="20"/>
          <w:color w:val="auto"/>
        </w:rPr>
      </w:pPr>
      <w:r>
        <w:rPr>
          <w:rFonts w:ascii="Courier New" w:cs="Courier New" w:eastAsia="Courier New" w:hAnsi="Courier New"/>
          <w:sz w:val="16"/>
          <w:szCs w:val="16"/>
          <w:color w:val="auto"/>
        </w:rPr>
        <w:t>Pursuant to the requirements of the Securities Act of 1933, this Amendment No. 2 Registration Statement has been signed below by the following persons in the capacities indicated on the 10th day of April, 2000.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tbl>
      <w:tblPr>
        <w:tblLayout w:type="fixed"/>
        <w:tblInd w:w="1" w:type="dxa"/>
        <w:tblCellMar>
          <w:top w:w="0" w:type="dxa"/>
          <w:left w:w="0" w:type="dxa"/>
          <w:bottom w:w="0" w:type="dxa"/>
          <w:right w:w="0" w:type="dxa"/>
        </w:tblCellMar>
      </w:tblPr>
      <w:tr>
        <w:trPr>
          <w:trHeight w:val="183"/>
        </w:trPr>
        <w:tc>
          <w:tcPr>
            <w:tcW w:w="5520" w:type="dxa"/>
            <w:vAlign w:val="bottom"/>
          </w:tcPr>
          <w:p>
            <w:pPr>
              <w:jc w:val="center"/>
              <w:ind w:right="399"/>
              <w:spacing w:after="0"/>
              <w:rPr>
                <w:sz w:val="20"/>
                <w:szCs w:val="20"/>
                <w:color w:val="auto"/>
              </w:rPr>
            </w:pPr>
            <w:r>
              <w:rPr>
                <w:rFonts w:ascii="Courier New" w:cs="Courier New" w:eastAsia="Courier New" w:hAnsi="Courier New"/>
                <w:sz w:val="16"/>
                <w:szCs w:val="16"/>
                <w:color w:val="auto"/>
                <w:w w:val="99"/>
              </w:rPr>
              <w:t>SIGNATURES</w:t>
            </w:r>
          </w:p>
        </w:tc>
        <w:tc>
          <w:tcPr>
            <w:tcW w:w="5340" w:type="dxa"/>
            <w:vAlign w:val="bottom"/>
          </w:tcPr>
          <w:p>
            <w:pPr>
              <w:ind w:left="2040"/>
              <w:spacing w:after="0"/>
              <w:rPr>
                <w:sz w:val="20"/>
                <w:szCs w:val="20"/>
                <w:color w:val="auto"/>
              </w:rPr>
            </w:pPr>
            <w:r>
              <w:rPr>
                <w:rFonts w:ascii="Courier New" w:cs="Courier New" w:eastAsia="Courier New" w:hAnsi="Courier New"/>
                <w:sz w:val="16"/>
                <w:szCs w:val="16"/>
                <w:color w:val="auto"/>
              </w:rPr>
              <w:t>TITLE</w:t>
            </w:r>
          </w:p>
        </w:tc>
      </w:tr>
      <w:tr>
        <w:trPr>
          <w:trHeight w:val="186"/>
        </w:trPr>
        <w:tc>
          <w:tcPr>
            <w:tcW w:w="5520" w:type="dxa"/>
            <w:vAlign w:val="bottom"/>
          </w:tcPr>
          <w:p>
            <w:pPr>
              <w:jc w:val="center"/>
              <w:ind w:right="399"/>
              <w:spacing w:after="0"/>
              <w:rPr>
                <w:sz w:val="20"/>
                <w:szCs w:val="20"/>
                <w:color w:val="auto"/>
              </w:rPr>
            </w:pPr>
            <w:r>
              <w:rPr>
                <w:rFonts w:ascii="Courier New" w:cs="Courier New" w:eastAsia="Courier New" w:hAnsi="Courier New"/>
                <w:sz w:val="16"/>
                <w:szCs w:val="16"/>
                <w:color w:val="auto"/>
                <w:w w:val="99"/>
              </w:rPr>
              <w:t>----------</w:t>
            </w:r>
          </w:p>
        </w:tc>
        <w:tc>
          <w:tcPr>
            <w:tcW w:w="5340" w:type="dxa"/>
            <w:vAlign w:val="bottom"/>
          </w:tcPr>
          <w:p>
            <w:pPr>
              <w:ind w:left="2040"/>
              <w:spacing w:after="0"/>
              <w:rPr>
                <w:sz w:val="20"/>
                <w:szCs w:val="20"/>
                <w:color w:val="auto"/>
              </w:rPr>
            </w:pPr>
            <w:r>
              <w:rPr>
                <w:rFonts w:ascii="Courier New" w:cs="Courier New" w:eastAsia="Courier New" w:hAnsi="Courier New"/>
                <w:sz w:val="16"/>
                <w:szCs w:val="16"/>
                <w:color w:val="auto"/>
              </w:rPr>
              <w:t>-----</w:t>
            </w:r>
          </w:p>
        </w:tc>
      </w:tr>
      <w:tr>
        <w:trPr>
          <w:trHeight w:val="559"/>
        </w:trPr>
        <w:tc>
          <w:tcPr>
            <w:tcW w:w="5520" w:type="dxa"/>
            <w:vAlign w:val="bottom"/>
          </w:tcPr>
          <w:p>
            <w:pPr>
              <w:jc w:val="center"/>
              <w:ind w:right="319"/>
              <w:spacing w:after="0"/>
              <w:rPr>
                <w:sz w:val="20"/>
                <w:szCs w:val="20"/>
                <w:color w:val="auto"/>
              </w:rPr>
            </w:pPr>
            <w:r>
              <w:rPr>
                <w:rFonts w:ascii="Courier New" w:cs="Courier New" w:eastAsia="Courier New" w:hAnsi="Courier New"/>
                <w:sz w:val="16"/>
                <w:szCs w:val="16"/>
                <w:color w:val="auto"/>
              </w:rPr>
              <w:t>/s/ *Peter J. Kight</w:t>
            </w:r>
          </w:p>
        </w:tc>
        <w:tc>
          <w:tcPr>
            <w:tcW w:w="5340" w:type="dxa"/>
            <w:vAlign w:val="bottom"/>
          </w:tcPr>
          <w:p>
            <w:pPr>
              <w:ind w:left="100"/>
              <w:spacing w:after="0"/>
              <w:rPr>
                <w:sz w:val="20"/>
                <w:szCs w:val="20"/>
                <w:color w:val="auto"/>
              </w:rPr>
            </w:pPr>
            <w:r>
              <w:rPr>
                <w:rFonts w:ascii="Courier New" w:cs="Courier New" w:eastAsia="Courier New" w:hAnsi="Courier New"/>
                <w:sz w:val="16"/>
                <w:szCs w:val="16"/>
                <w:color w:val="auto"/>
              </w:rPr>
              <w:t>Chairman of the Board and Chief Executive Officer</w:t>
            </w:r>
          </w:p>
        </w:tc>
      </w:tr>
      <w:tr>
        <w:trPr>
          <w:trHeight w:val="186"/>
        </w:trPr>
        <w:tc>
          <w:tcPr>
            <w:tcW w:w="55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 ------------------------------------------------------</w:t>
            </w:r>
          </w:p>
        </w:tc>
        <w:tc>
          <w:tcPr>
            <w:tcW w:w="5340" w:type="dxa"/>
            <w:vAlign w:val="bottom"/>
          </w:tcPr>
          <w:p>
            <w:pPr>
              <w:ind w:left="300"/>
              <w:spacing w:after="0"/>
              <w:rPr>
                <w:sz w:val="20"/>
                <w:szCs w:val="20"/>
                <w:color w:val="auto"/>
              </w:rPr>
            </w:pPr>
            <w:r>
              <w:rPr>
                <w:rFonts w:ascii="Courier New" w:cs="Courier New" w:eastAsia="Courier New" w:hAnsi="Courier New"/>
                <w:sz w:val="16"/>
                <w:szCs w:val="16"/>
                <w:color w:val="auto"/>
              </w:rPr>
              <w:t>(Principal Executive Officer)</w:t>
            </w:r>
          </w:p>
        </w:tc>
      </w:tr>
      <w:tr>
        <w:trPr>
          <w:trHeight w:val="186"/>
        </w:trPr>
        <w:tc>
          <w:tcPr>
            <w:tcW w:w="5520" w:type="dxa"/>
            <w:vAlign w:val="bottom"/>
          </w:tcPr>
          <w:p>
            <w:pPr>
              <w:jc w:val="center"/>
              <w:ind w:right="399"/>
              <w:spacing w:after="0"/>
              <w:rPr>
                <w:sz w:val="20"/>
                <w:szCs w:val="20"/>
                <w:color w:val="auto"/>
              </w:rPr>
            </w:pPr>
            <w:r>
              <w:rPr>
                <w:rFonts w:ascii="Courier New" w:cs="Courier New" w:eastAsia="Courier New" w:hAnsi="Courier New"/>
                <w:sz w:val="16"/>
                <w:szCs w:val="16"/>
                <w:color w:val="auto"/>
              </w:rPr>
              <w:t>Peter J. Kight</w:t>
            </w:r>
          </w:p>
        </w:tc>
        <w:tc>
          <w:tcPr>
            <w:tcW w:w="5340" w:type="dxa"/>
            <w:vAlign w:val="bottom"/>
          </w:tcPr>
          <w:p>
            <w:pPr>
              <w:spacing w:after="0"/>
              <w:rPr>
                <w:sz w:val="16"/>
                <w:szCs w:val="16"/>
                <w:color w:val="auto"/>
              </w:rPr>
            </w:pPr>
          </w:p>
        </w:tc>
      </w:tr>
      <w:tr>
        <w:trPr>
          <w:trHeight w:val="373"/>
        </w:trPr>
        <w:tc>
          <w:tcPr>
            <w:tcW w:w="5520" w:type="dxa"/>
            <w:vAlign w:val="bottom"/>
          </w:tcPr>
          <w:p>
            <w:pPr>
              <w:jc w:val="center"/>
              <w:ind w:right="419"/>
              <w:spacing w:after="0"/>
              <w:rPr>
                <w:sz w:val="20"/>
                <w:szCs w:val="20"/>
                <w:color w:val="auto"/>
              </w:rPr>
            </w:pPr>
            <w:r>
              <w:rPr>
                <w:rFonts w:ascii="Courier New" w:cs="Courier New" w:eastAsia="Courier New" w:hAnsi="Courier New"/>
                <w:sz w:val="16"/>
                <w:szCs w:val="16"/>
                <w:color w:val="auto"/>
              </w:rPr>
              <w:t>/s/ *Mark A. Johnson</w:t>
            </w:r>
          </w:p>
        </w:tc>
        <w:tc>
          <w:tcPr>
            <w:tcW w:w="5340" w:type="dxa"/>
            <w:vAlign w:val="bottom"/>
          </w:tcPr>
          <w:p>
            <w:pPr>
              <w:ind w:left="100"/>
              <w:spacing w:after="0"/>
              <w:rPr>
                <w:sz w:val="20"/>
                <w:szCs w:val="20"/>
                <w:color w:val="auto"/>
              </w:rPr>
            </w:pPr>
            <w:r>
              <w:rPr>
                <w:rFonts w:ascii="Courier New" w:cs="Courier New" w:eastAsia="Courier New" w:hAnsi="Courier New"/>
                <w:sz w:val="16"/>
                <w:szCs w:val="16"/>
                <w:color w:val="auto"/>
              </w:rPr>
              <w:t>Vice Chairman and Director</w:t>
            </w:r>
          </w:p>
        </w:tc>
      </w:tr>
      <w:tr>
        <w:trPr>
          <w:trHeight w:val="186"/>
        </w:trPr>
        <w:tc>
          <w:tcPr>
            <w:tcW w:w="55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 ------------------------------------------------------</w:t>
            </w:r>
          </w:p>
        </w:tc>
        <w:tc>
          <w:tcPr>
            <w:tcW w:w="5340" w:type="dxa"/>
            <w:vAlign w:val="bottom"/>
          </w:tcPr>
          <w:p>
            <w:pPr>
              <w:spacing w:after="0"/>
              <w:rPr>
                <w:sz w:val="16"/>
                <w:szCs w:val="16"/>
                <w:color w:val="auto"/>
              </w:rPr>
            </w:pPr>
          </w:p>
        </w:tc>
      </w:tr>
      <w:tr>
        <w:trPr>
          <w:trHeight w:val="186"/>
        </w:trPr>
        <w:tc>
          <w:tcPr>
            <w:tcW w:w="5520" w:type="dxa"/>
            <w:vAlign w:val="bottom"/>
          </w:tcPr>
          <w:p>
            <w:pPr>
              <w:jc w:val="center"/>
              <w:ind w:right="299"/>
              <w:spacing w:after="0"/>
              <w:rPr>
                <w:sz w:val="20"/>
                <w:szCs w:val="20"/>
                <w:color w:val="auto"/>
              </w:rPr>
            </w:pPr>
            <w:r>
              <w:rPr>
                <w:rFonts w:ascii="Courier New" w:cs="Courier New" w:eastAsia="Courier New" w:hAnsi="Courier New"/>
                <w:sz w:val="16"/>
                <w:szCs w:val="16"/>
                <w:color w:val="auto"/>
              </w:rPr>
              <w:t>Mark A. Johnson</w:t>
            </w:r>
          </w:p>
        </w:tc>
        <w:tc>
          <w:tcPr>
            <w:tcW w:w="5340" w:type="dxa"/>
            <w:vAlign w:val="bottom"/>
          </w:tcPr>
          <w:p>
            <w:pPr>
              <w:spacing w:after="0"/>
              <w:rPr>
                <w:sz w:val="16"/>
                <w:szCs w:val="16"/>
                <w:color w:val="auto"/>
              </w:rPr>
            </w:pPr>
          </w:p>
        </w:tc>
      </w:tr>
      <w:tr>
        <w:trPr>
          <w:trHeight w:val="373"/>
        </w:trPr>
        <w:tc>
          <w:tcPr>
            <w:tcW w:w="5520" w:type="dxa"/>
            <w:vAlign w:val="bottom"/>
          </w:tcPr>
          <w:p>
            <w:pPr>
              <w:jc w:val="right"/>
              <w:ind w:right="2039"/>
              <w:spacing w:after="0"/>
              <w:rPr>
                <w:sz w:val="20"/>
                <w:szCs w:val="20"/>
                <w:color w:val="auto"/>
              </w:rPr>
            </w:pPr>
            <w:r>
              <w:rPr>
                <w:rFonts w:ascii="Courier New" w:cs="Courier New" w:eastAsia="Courier New" w:hAnsi="Courier New"/>
                <w:sz w:val="16"/>
                <w:szCs w:val="16"/>
                <w:color w:val="auto"/>
              </w:rPr>
              <w:t>/s/ Allen L. Shulman</w:t>
            </w:r>
          </w:p>
        </w:tc>
        <w:tc>
          <w:tcPr>
            <w:tcW w:w="5340" w:type="dxa"/>
            <w:vAlign w:val="bottom"/>
          </w:tcPr>
          <w:p>
            <w:pPr>
              <w:ind w:left="100"/>
              <w:spacing w:after="0"/>
              <w:rPr>
                <w:sz w:val="20"/>
                <w:szCs w:val="20"/>
                <w:color w:val="auto"/>
              </w:rPr>
            </w:pPr>
            <w:r>
              <w:rPr>
                <w:rFonts w:ascii="Courier New" w:cs="Courier New" w:eastAsia="Courier New" w:hAnsi="Courier New"/>
                <w:sz w:val="16"/>
                <w:szCs w:val="16"/>
                <w:color w:val="auto"/>
              </w:rPr>
              <w:t>Executive Vice President, Chief Financial Officer and</w:t>
            </w:r>
          </w:p>
        </w:tc>
      </w:tr>
      <w:tr>
        <w:trPr>
          <w:trHeight w:val="186"/>
        </w:trPr>
        <w:tc>
          <w:tcPr>
            <w:tcW w:w="55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 ------------------------------------------------------</w:t>
            </w:r>
          </w:p>
        </w:tc>
        <w:tc>
          <w:tcPr>
            <w:tcW w:w="5340" w:type="dxa"/>
            <w:vAlign w:val="bottom"/>
          </w:tcPr>
          <w:p>
            <w:pPr>
              <w:ind w:left="300"/>
              <w:spacing w:after="0"/>
              <w:rPr>
                <w:sz w:val="20"/>
                <w:szCs w:val="20"/>
                <w:color w:val="auto"/>
              </w:rPr>
            </w:pPr>
            <w:r>
              <w:rPr>
                <w:rFonts w:ascii="Courier New" w:cs="Courier New" w:eastAsia="Courier New" w:hAnsi="Courier New"/>
                <w:sz w:val="16"/>
                <w:szCs w:val="16"/>
                <w:color w:val="auto"/>
              </w:rPr>
              <w:t>General Counsel</w:t>
            </w:r>
          </w:p>
        </w:tc>
      </w:tr>
      <w:tr>
        <w:trPr>
          <w:trHeight w:val="186"/>
        </w:trPr>
        <w:tc>
          <w:tcPr>
            <w:tcW w:w="5520" w:type="dxa"/>
            <w:vAlign w:val="bottom"/>
          </w:tcPr>
          <w:p>
            <w:pPr>
              <w:jc w:val="center"/>
              <w:ind w:right="399"/>
              <w:spacing w:after="0"/>
              <w:rPr>
                <w:sz w:val="20"/>
                <w:szCs w:val="20"/>
                <w:color w:val="auto"/>
              </w:rPr>
            </w:pPr>
            <w:r>
              <w:rPr>
                <w:rFonts w:ascii="Courier New" w:cs="Courier New" w:eastAsia="Courier New" w:hAnsi="Courier New"/>
                <w:sz w:val="16"/>
                <w:szCs w:val="16"/>
                <w:color w:val="auto"/>
              </w:rPr>
              <w:t>Allen L. Shulman</w:t>
            </w:r>
          </w:p>
        </w:tc>
        <w:tc>
          <w:tcPr>
            <w:tcW w:w="5340" w:type="dxa"/>
            <w:vAlign w:val="bottom"/>
          </w:tcPr>
          <w:p>
            <w:pPr>
              <w:ind w:left="100"/>
              <w:spacing w:after="0"/>
              <w:rPr>
                <w:sz w:val="20"/>
                <w:szCs w:val="20"/>
                <w:color w:val="auto"/>
              </w:rPr>
            </w:pPr>
            <w:r>
              <w:rPr>
                <w:rFonts w:ascii="Courier New" w:cs="Courier New" w:eastAsia="Courier New" w:hAnsi="Courier New"/>
                <w:sz w:val="16"/>
                <w:szCs w:val="16"/>
                <w:color w:val="auto"/>
              </w:rPr>
              <w:t>(Principal Financial Officer)</w:t>
            </w:r>
          </w:p>
        </w:tc>
      </w:tr>
      <w:tr>
        <w:trPr>
          <w:trHeight w:val="373"/>
        </w:trPr>
        <w:tc>
          <w:tcPr>
            <w:tcW w:w="5520" w:type="dxa"/>
            <w:vAlign w:val="bottom"/>
          </w:tcPr>
          <w:p>
            <w:pPr>
              <w:jc w:val="center"/>
              <w:ind w:right="299"/>
              <w:spacing w:after="0"/>
              <w:rPr>
                <w:sz w:val="20"/>
                <w:szCs w:val="20"/>
                <w:color w:val="auto"/>
              </w:rPr>
            </w:pPr>
            <w:r>
              <w:rPr>
                <w:rFonts w:ascii="Courier New" w:cs="Courier New" w:eastAsia="Courier New" w:hAnsi="Courier New"/>
                <w:sz w:val="16"/>
                <w:szCs w:val="16"/>
                <w:color w:val="auto"/>
              </w:rPr>
              <w:t>/s/ *Gary A. Luoma, Jr.</w:t>
            </w:r>
          </w:p>
        </w:tc>
        <w:tc>
          <w:tcPr>
            <w:tcW w:w="5340" w:type="dxa"/>
            <w:vAlign w:val="bottom"/>
          </w:tcPr>
          <w:p>
            <w:pPr>
              <w:ind w:left="100"/>
              <w:spacing w:after="0"/>
              <w:rPr>
                <w:sz w:val="20"/>
                <w:szCs w:val="20"/>
                <w:color w:val="auto"/>
              </w:rPr>
            </w:pPr>
            <w:r>
              <w:rPr>
                <w:rFonts w:ascii="Courier New" w:cs="Courier New" w:eastAsia="Courier New" w:hAnsi="Courier New"/>
                <w:sz w:val="16"/>
                <w:szCs w:val="16"/>
                <w:color w:val="auto"/>
              </w:rPr>
              <w:t>Vice President, Chief Accounting Officer and Assistant</w:t>
            </w:r>
          </w:p>
        </w:tc>
      </w:tr>
      <w:tr>
        <w:trPr>
          <w:trHeight w:val="186"/>
        </w:trPr>
        <w:tc>
          <w:tcPr>
            <w:tcW w:w="55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 ------------------------------------------------------</w:t>
            </w:r>
          </w:p>
        </w:tc>
        <w:tc>
          <w:tcPr>
            <w:tcW w:w="5340" w:type="dxa"/>
            <w:vAlign w:val="bottom"/>
          </w:tcPr>
          <w:p>
            <w:pPr>
              <w:ind w:left="300"/>
              <w:spacing w:after="0"/>
              <w:rPr>
                <w:sz w:val="20"/>
                <w:szCs w:val="20"/>
                <w:color w:val="auto"/>
              </w:rPr>
            </w:pPr>
            <w:r>
              <w:rPr>
                <w:rFonts w:ascii="Courier New" w:cs="Courier New" w:eastAsia="Courier New" w:hAnsi="Courier New"/>
                <w:sz w:val="16"/>
                <w:szCs w:val="16"/>
                <w:color w:val="auto"/>
              </w:rPr>
              <w:t>Secretary</w:t>
            </w:r>
          </w:p>
        </w:tc>
      </w:tr>
      <w:tr>
        <w:trPr>
          <w:trHeight w:val="186"/>
        </w:trPr>
        <w:tc>
          <w:tcPr>
            <w:tcW w:w="5520" w:type="dxa"/>
            <w:vAlign w:val="bottom"/>
          </w:tcPr>
          <w:p>
            <w:pPr>
              <w:jc w:val="center"/>
              <w:ind w:right="399"/>
              <w:spacing w:after="0"/>
              <w:rPr>
                <w:sz w:val="20"/>
                <w:szCs w:val="20"/>
                <w:color w:val="auto"/>
              </w:rPr>
            </w:pPr>
            <w:r>
              <w:rPr>
                <w:rFonts w:ascii="Courier New" w:cs="Courier New" w:eastAsia="Courier New" w:hAnsi="Courier New"/>
                <w:sz w:val="16"/>
                <w:szCs w:val="16"/>
                <w:color w:val="auto"/>
              </w:rPr>
              <w:t>Gary A. Luoma, Jr.</w:t>
            </w:r>
          </w:p>
        </w:tc>
        <w:tc>
          <w:tcPr>
            <w:tcW w:w="5340" w:type="dxa"/>
            <w:vAlign w:val="bottom"/>
          </w:tcPr>
          <w:p>
            <w:pPr>
              <w:ind w:left="100"/>
              <w:spacing w:after="0"/>
              <w:rPr>
                <w:sz w:val="20"/>
                <w:szCs w:val="20"/>
                <w:color w:val="auto"/>
              </w:rPr>
            </w:pPr>
            <w:r>
              <w:rPr>
                <w:rFonts w:ascii="Courier New" w:cs="Courier New" w:eastAsia="Courier New" w:hAnsi="Courier New"/>
                <w:sz w:val="16"/>
                <w:szCs w:val="16"/>
                <w:color w:val="auto"/>
              </w:rPr>
              <w:t>(Principal Accounting Officer)</w:t>
            </w:r>
          </w:p>
        </w:tc>
      </w:tr>
      <w:tr>
        <w:trPr>
          <w:trHeight w:val="373"/>
        </w:trPr>
        <w:tc>
          <w:tcPr>
            <w:tcW w:w="5520" w:type="dxa"/>
            <w:vAlign w:val="bottom"/>
          </w:tcPr>
          <w:p>
            <w:pPr>
              <w:jc w:val="center"/>
              <w:ind w:right="399"/>
              <w:spacing w:after="0"/>
              <w:rPr>
                <w:sz w:val="20"/>
                <w:szCs w:val="20"/>
                <w:color w:val="auto"/>
              </w:rPr>
            </w:pPr>
            <w:r>
              <w:rPr>
                <w:rFonts w:ascii="Courier New" w:cs="Courier New" w:eastAsia="Courier New" w:hAnsi="Courier New"/>
                <w:sz w:val="16"/>
                <w:szCs w:val="16"/>
                <w:color w:val="auto"/>
              </w:rPr>
              <w:t>/s/ *William P. Boardman</w:t>
            </w:r>
          </w:p>
        </w:tc>
        <w:tc>
          <w:tcPr>
            <w:tcW w:w="5340" w:type="dxa"/>
            <w:vAlign w:val="bottom"/>
          </w:tcPr>
          <w:p>
            <w:pPr>
              <w:ind w:left="100"/>
              <w:spacing w:after="0"/>
              <w:rPr>
                <w:sz w:val="20"/>
                <w:szCs w:val="20"/>
                <w:color w:val="auto"/>
              </w:rPr>
            </w:pPr>
            <w:r>
              <w:rPr>
                <w:rFonts w:ascii="Courier New" w:cs="Courier New" w:eastAsia="Courier New" w:hAnsi="Courier New"/>
                <w:sz w:val="16"/>
                <w:szCs w:val="16"/>
                <w:color w:val="auto"/>
              </w:rPr>
              <w:t>Director</w:t>
            </w:r>
          </w:p>
        </w:tc>
      </w:tr>
      <w:tr>
        <w:trPr>
          <w:trHeight w:val="186"/>
        </w:trPr>
        <w:tc>
          <w:tcPr>
            <w:tcW w:w="55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 ------------------------------------------------------</w:t>
            </w:r>
          </w:p>
        </w:tc>
        <w:tc>
          <w:tcPr>
            <w:tcW w:w="5340" w:type="dxa"/>
            <w:vAlign w:val="bottom"/>
          </w:tcPr>
          <w:p>
            <w:pPr>
              <w:spacing w:after="0"/>
              <w:rPr>
                <w:sz w:val="16"/>
                <w:szCs w:val="16"/>
                <w:color w:val="auto"/>
              </w:rPr>
            </w:pPr>
          </w:p>
        </w:tc>
      </w:tr>
      <w:tr>
        <w:trPr>
          <w:trHeight w:val="186"/>
        </w:trPr>
        <w:tc>
          <w:tcPr>
            <w:tcW w:w="5520" w:type="dxa"/>
            <w:vAlign w:val="bottom"/>
          </w:tcPr>
          <w:p>
            <w:pPr>
              <w:jc w:val="center"/>
              <w:ind w:right="319"/>
              <w:spacing w:after="0"/>
              <w:rPr>
                <w:sz w:val="20"/>
                <w:szCs w:val="20"/>
                <w:color w:val="auto"/>
              </w:rPr>
            </w:pPr>
            <w:r>
              <w:rPr>
                <w:rFonts w:ascii="Courier New" w:cs="Courier New" w:eastAsia="Courier New" w:hAnsi="Courier New"/>
                <w:sz w:val="16"/>
                <w:szCs w:val="16"/>
                <w:color w:val="auto"/>
              </w:rPr>
              <w:t>William P. Boardman</w:t>
            </w:r>
          </w:p>
        </w:tc>
        <w:tc>
          <w:tcPr>
            <w:tcW w:w="5340" w:type="dxa"/>
            <w:vAlign w:val="bottom"/>
          </w:tcPr>
          <w:p>
            <w:pPr>
              <w:spacing w:after="0"/>
              <w:rPr>
                <w:sz w:val="16"/>
                <w:szCs w:val="16"/>
                <w:color w:val="auto"/>
              </w:rPr>
            </w:pPr>
          </w:p>
        </w:tc>
      </w:tr>
    </w:tbl>
    <w:p>
      <w:pPr>
        <w:spacing w:after="0" w:line="190" w:lineRule="exact"/>
        <w:rPr>
          <w:sz w:val="20"/>
          <w:szCs w:val="20"/>
          <w:color w:val="auto"/>
        </w:rPr>
      </w:pPr>
    </w:p>
    <w:p>
      <w:pPr>
        <w:ind w:left="1541"/>
        <w:spacing w:after="0"/>
        <w:tabs>
          <w:tab w:leader="none" w:pos="5600" w:val="left"/>
        </w:tabs>
        <w:rPr>
          <w:sz w:val="20"/>
          <w:szCs w:val="20"/>
          <w:color w:val="auto"/>
        </w:rPr>
      </w:pPr>
      <w:r>
        <w:rPr>
          <w:rFonts w:ascii="Courier New" w:cs="Courier New" w:eastAsia="Courier New" w:hAnsi="Courier New"/>
          <w:sz w:val="16"/>
          <w:szCs w:val="16"/>
          <w:color w:val="auto"/>
        </w:rPr>
        <w:t>/s/ *George R. Manser</w:t>
      </w:r>
      <w:r>
        <w:rPr>
          <w:sz w:val="20"/>
          <w:szCs w:val="20"/>
          <w:color w:val="auto"/>
        </w:rPr>
        <w:tab/>
      </w:r>
      <w:r>
        <w:rPr>
          <w:rFonts w:ascii="Courier New" w:cs="Courier New" w:eastAsia="Courier New" w:hAnsi="Courier New"/>
          <w:sz w:val="16"/>
          <w:szCs w:val="16"/>
          <w:color w:val="auto"/>
        </w:rPr>
        <w:t>Director</w:t>
      </w:r>
    </w:p>
    <w:p>
      <w:pPr>
        <w:spacing w:after="0" w:line="5" w:lineRule="exact"/>
        <w:rPr>
          <w:sz w:val="20"/>
          <w:szCs w:val="20"/>
          <w:color w:val="auto"/>
        </w:rPr>
      </w:pPr>
    </w:p>
    <w:p>
      <w:pPr>
        <w:ind w:left="201" w:hanging="201"/>
        <w:spacing w:after="0"/>
        <w:tabs>
          <w:tab w:leader="none" w:pos="201" w:val="left"/>
        </w:tabs>
        <w:numPr>
          <w:ilvl w:val="0"/>
          <w:numId w:val="7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5" w:lineRule="exact"/>
        <w:rPr>
          <w:rFonts w:ascii="Courier New" w:cs="Courier New" w:eastAsia="Courier New" w:hAnsi="Courier New"/>
          <w:sz w:val="16"/>
          <w:szCs w:val="16"/>
          <w:color w:val="auto"/>
        </w:rPr>
      </w:pPr>
    </w:p>
    <w:p>
      <w:pPr>
        <w:ind w:left="1741"/>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George R. Manser</w:t>
      </w:r>
    </w:p>
    <w:p>
      <w:pPr>
        <w:spacing w:after="0" w:line="191" w:lineRule="exact"/>
        <w:rPr>
          <w:sz w:val="20"/>
          <w:szCs w:val="20"/>
          <w:color w:val="auto"/>
        </w:rPr>
      </w:pPr>
    </w:p>
    <w:p>
      <w:pPr>
        <w:ind w:left="1541"/>
        <w:spacing w:after="0"/>
        <w:tabs>
          <w:tab w:leader="none" w:pos="5600" w:val="left"/>
        </w:tabs>
        <w:rPr>
          <w:sz w:val="20"/>
          <w:szCs w:val="20"/>
          <w:color w:val="auto"/>
        </w:rPr>
      </w:pPr>
      <w:r>
        <w:rPr>
          <w:rFonts w:ascii="Courier New" w:cs="Courier New" w:eastAsia="Courier New" w:hAnsi="Courier New"/>
          <w:sz w:val="16"/>
          <w:szCs w:val="16"/>
          <w:color w:val="auto"/>
        </w:rPr>
        <w:t>/s/ *Eugene F. Quinn</w:t>
      </w:r>
      <w:r>
        <w:rPr>
          <w:sz w:val="20"/>
          <w:szCs w:val="20"/>
          <w:color w:val="auto"/>
        </w:rPr>
        <w:tab/>
      </w:r>
      <w:r>
        <w:rPr>
          <w:rFonts w:ascii="Courier New" w:cs="Courier New" w:eastAsia="Courier New" w:hAnsi="Courier New"/>
          <w:sz w:val="16"/>
          <w:szCs w:val="16"/>
          <w:color w:val="auto"/>
        </w:rPr>
        <w:t>Director</w:t>
      </w:r>
    </w:p>
    <w:p>
      <w:pPr>
        <w:spacing w:after="0" w:line="5" w:lineRule="exact"/>
        <w:rPr>
          <w:sz w:val="20"/>
          <w:szCs w:val="20"/>
          <w:color w:val="auto"/>
        </w:rPr>
      </w:pPr>
    </w:p>
    <w:p>
      <w:pPr>
        <w:ind w:left="201" w:hanging="201"/>
        <w:spacing w:after="0"/>
        <w:tabs>
          <w:tab w:leader="none" w:pos="201" w:val="left"/>
        </w:tabs>
        <w:numPr>
          <w:ilvl w:val="0"/>
          <w:numId w:val="7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5" w:lineRule="exact"/>
        <w:rPr>
          <w:rFonts w:ascii="Courier New" w:cs="Courier New" w:eastAsia="Courier New" w:hAnsi="Courier New"/>
          <w:sz w:val="16"/>
          <w:szCs w:val="16"/>
          <w:color w:val="auto"/>
        </w:rPr>
      </w:pPr>
    </w:p>
    <w:p>
      <w:pPr>
        <w:ind w:left="1841"/>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Eugene F. Quinn</w:t>
      </w:r>
    </w:p>
    <w:p>
      <w:pPr>
        <w:spacing w:after="0" w:line="191" w:lineRule="exact"/>
        <w:rPr>
          <w:sz w:val="20"/>
          <w:szCs w:val="20"/>
          <w:color w:val="auto"/>
        </w:rPr>
      </w:pPr>
    </w:p>
    <w:p>
      <w:pPr>
        <w:ind w:left="1461"/>
        <w:spacing w:after="0"/>
        <w:tabs>
          <w:tab w:leader="none" w:pos="5600" w:val="left"/>
        </w:tabs>
        <w:rPr>
          <w:sz w:val="20"/>
          <w:szCs w:val="20"/>
          <w:color w:val="auto"/>
        </w:rPr>
      </w:pPr>
      <w:r>
        <w:rPr>
          <w:rFonts w:ascii="Courier New" w:cs="Courier New" w:eastAsia="Courier New" w:hAnsi="Courier New"/>
          <w:sz w:val="16"/>
          <w:szCs w:val="16"/>
          <w:color w:val="auto"/>
        </w:rPr>
        <w:t>/s/ *Jeffrey M. Wilkins</w:t>
      </w:r>
      <w:r>
        <w:rPr>
          <w:sz w:val="20"/>
          <w:szCs w:val="20"/>
          <w:color w:val="auto"/>
        </w:rPr>
        <w:tab/>
      </w:r>
      <w:r>
        <w:rPr>
          <w:rFonts w:ascii="Courier New" w:cs="Courier New" w:eastAsia="Courier New" w:hAnsi="Courier New"/>
          <w:sz w:val="16"/>
          <w:szCs w:val="16"/>
          <w:color w:val="auto"/>
        </w:rPr>
        <w:t>Director</w:t>
      </w:r>
    </w:p>
    <w:p>
      <w:pPr>
        <w:spacing w:after="0" w:line="5" w:lineRule="exact"/>
        <w:rPr>
          <w:sz w:val="20"/>
          <w:szCs w:val="20"/>
          <w:color w:val="auto"/>
        </w:rPr>
      </w:pPr>
    </w:p>
    <w:p>
      <w:pPr>
        <w:ind w:left="201" w:hanging="201"/>
        <w:spacing w:after="0"/>
        <w:tabs>
          <w:tab w:leader="none" w:pos="201" w:val="left"/>
        </w:tabs>
        <w:numPr>
          <w:ilvl w:val="0"/>
          <w:numId w:val="7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5" w:lineRule="exact"/>
        <w:rPr>
          <w:rFonts w:ascii="Courier New" w:cs="Courier New" w:eastAsia="Courier New" w:hAnsi="Courier New"/>
          <w:sz w:val="16"/>
          <w:szCs w:val="16"/>
          <w:color w:val="auto"/>
        </w:rPr>
      </w:pPr>
    </w:p>
    <w:p>
      <w:pPr>
        <w:ind w:left="1641"/>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Jeffrey M. Wilkins</w:t>
      </w:r>
    </w:p>
    <w:p>
      <w:pPr>
        <w:spacing w:after="0" w:line="191"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*By: /s/Curtis A. Loveland</w:t>
      </w:r>
    </w:p>
    <w:p>
      <w:pPr>
        <w:spacing w:after="0" w:line="5" w:lineRule="exact"/>
        <w:rPr>
          <w:sz w:val="20"/>
          <w:szCs w:val="20"/>
          <w:color w:val="auto"/>
        </w:rPr>
      </w:pPr>
    </w:p>
    <w:p>
      <w:pPr>
        <w:ind w:left="201" w:hanging="201"/>
        <w:spacing w:after="0"/>
        <w:tabs>
          <w:tab w:leader="none" w:pos="201" w:val="left"/>
        </w:tabs>
        <w:numPr>
          <w:ilvl w:val="0"/>
          <w:numId w:val="7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5" w:lineRule="exact"/>
        <w:rPr>
          <w:rFonts w:ascii="Courier New" w:cs="Courier New" w:eastAsia="Courier New" w:hAnsi="Courier New"/>
          <w:sz w:val="16"/>
          <w:szCs w:val="16"/>
          <w:color w:val="auto"/>
        </w:rPr>
      </w:pPr>
    </w:p>
    <w:p>
      <w:pPr>
        <w:ind w:left="481"/>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Curtis A. Loveland, Attorney-in-Fact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left="3681"/>
        <w:spacing w:after="0"/>
        <w:rPr>
          <w:sz w:val="20"/>
          <w:szCs w:val="20"/>
          <w:color w:val="auto"/>
        </w:rPr>
      </w:pPr>
      <w:r>
        <w:rPr>
          <w:rFonts w:ascii="Courier New" w:cs="Courier New" w:eastAsia="Courier New" w:hAnsi="Courier New"/>
          <w:sz w:val="16"/>
          <w:szCs w:val="16"/>
          <w:color w:val="auto"/>
        </w:rPr>
        <w:t>II-6</w:t>
      </w:r>
    </w:p>
    <w:p>
      <w:pPr>
        <w:sectPr>
          <w:pgSz w:w="11900" w:h="16838" w:orient="portrait"/>
          <w:cols w:equalWidth="0" w:num="1">
            <w:col w:w="10861"/>
          </w:cols>
          <w:pgMar w:left="239" w:top="303" w:right="799" w:bottom="1068" w:gutter="0" w:footer="0" w:header="0"/>
        </w:sectPr>
      </w:pPr>
    </w:p>
    <w:bookmarkStart w:id="55" w:name="page56"/>
    <w:bookmarkEnd w:id="55"/>
    <w:p>
      <w:pPr>
        <w:ind w:left="300"/>
        <w:spacing w:after="0"/>
        <w:rPr>
          <w:sz w:val="20"/>
          <w:szCs w:val="20"/>
          <w:color w:val="auto"/>
        </w:rPr>
      </w:pPr>
      <w:r>
        <w:rPr>
          <w:rFonts w:ascii="Courier New" w:cs="Courier New" w:eastAsia="Courier New" w:hAnsi="Courier New"/>
          <w:sz w:val="16"/>
          <w:szCs w:val="16"/>
          <w:color w:val="auto"/>
        </w:rPr>
        <w:t>50</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9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120" w:type="dxa"/>
            <w:vAlign w:val="bottom"/>
          </w:tcPr>
          <w:p>
            <w:pPr>
              <w:ind w:left="1560"/>
              <w:spacing w:after="0"/>
              <w:rPr>
                <w:sz w:val="20"/>
                <w:szCs w:val="20"/>
                <w:color w:val="auto"/>
              </w:rPr>
            </w:pPr>
            <w:r>
              <w:rPr>
                <w:rFonts w:ascii="Courier New" w:cs="Courier New" w:eastAsia="Courier New" w:hAnsi="Courier New"/>
                <w:sz w:val="16"/>
                <w:szCs w:val="16"/>
                <w:color w:val="auto"/>
              </w:rPr>
              <w:t>EXHIBIT INDEX</w:t>
            </w:r>
          </w:p>
        </w:tc>
      </w:tr>
      <w:tr>
        <w:trPr>
          <w:trHeight w:val="559"/>
        </w:trPr>
        <w:tc>
          <w:tcPr>
            <w:tcW w:w="960" w:type="dxa"/>
            <w:vAlign w:val="bottom"/>
          </w:tcPr>
          <w:p>
            <w:pPr>
              <w:spacing w:after="0"/>
              <w:rPr>
                <w:sz w:val="20"/>
                <w:szCs w:val="20"/>
                <w:color w:val="auto"/>
              </w:rPr>
            </w:pPr>
            <w:r>
              <w:rPr>
                <w:rFonts w:ascii="Courier New" w:cs="Courier New" w:eastAsia="Courier New" w:hAnsi="Courier New"/>
                <w:sz w:val="16"/>
                <w:szCs w:val="16"/>
                <w:color w:val="auto"/>
              </w:rPr>
              <w:t>EXHIBIT</w:t>
            </w:r>
          </w:p>
        </w:tc>
        <w:tc>
          <w:tcPr>
            <w:tcW w:w="680" w:type="dxa"/>
            <w:vAlign w:val="bottom"/>
          </w:tcPr>
          <w:p>
            <w:pPr>
              <w:spacing w:after="0"/>
              <w:rPr>
                <w:sz w:val="24"/>
                <w:szCs w:val="24"/>
                <w:color w:val="auto"/>
              </w:rPr>
            </w:pPr>
          </w:p>
        </w:tc>
        <w:tc>
          <w:tcPr>
            <w:tcW w:w="6120" w:type="dxa"/>
            <w:vAlign w:val="bottom"/>
          </w:tcPr>
          <w:p>
            <w:pPr>
              <w:ind w:left="2620"/>
              <w:spacing w:after="0"/>
              <w:rPr>
                <w:sz w:val="20"/>
                <w:szCs w:val="20"/>
                <w:color w:val="auto"/>
              </w:rPr>
            </w:pPr>
            <w:r>
              <w:rPr>
                <w:rFonts w:ascii="Courier New" w:cs="Courier New" w:eastAsia="Courier New" w:hAnsi="Courier New"/>
                <w:sz w:val="16"/>
                <w:szCs w:val="16"/>
                <w:color w:val="auto"/>
              </w:rPr>
              <w:t>EXHIBIT</w:t>
            </w:r>
          </w:p>
        </w:tc>
      </w:tr>
      <w:tr>
        <w:trPr>
          <w:trHeight w:val="186"/>
        </w:trPr>
        <w:tc>
          <w:tcPr>
            <w:tcW w:w="960" w:type="dxa"/>
            <w:vAlign w:val="bottom"/>
          </w:tcPr>
          <w:p>
            <w:pPr>
              <w:jc w:val="center"/>
              <w:ind w:right="299"/>
              <w:spacing w:after="0"/>
              <w:rPr>
                <w:sz w:val="20"/>
                <w:szCs w:val="20"/>
                <w:color w:val="auto"/>
              </w:rPr>
            </w:pPr>
            <w:r>
              <w:rPr>
                <w:rFonts w:ascii="Courier New" w:cs="Courier New" w:eastAsia="Courier New" w:hAnsi="Courier New"/>
                <w:sz w:val="16"/>
                <w:szCs w:val="16"/>
                <w:color w:val="auto"/>
              </w:rPr>
              <w:t>NUMBER</w:t>
            </w:r>
          </w:p>
        </w:tc>
        <w:tc>
          <w:tcPr>
            <w:tcW w:w="680" w:type="dxa"/>
            <w:vAlign w:val="bottom"/>
          </w:tcPr>
          <w:p>
            <w:pPr>
              <w:spacing w:after="0"/>
              <w:rPr>
                <w:sz w:val="16"/>
                <w:szCs w:val="16"/>
                <w:color w:val="auto"/>
              </w:rPr>
            </w:pPr>
          </w:p>
        </w:tc>
        <w:tc>
          <w:tcPr>
            <w:tcW w:w="6120" w:type="dxa"/>
            <w:vAlign w:val="bottom"/>
          </w:tcPr>
          <w:p>
            <w:pPr>
              <w:ind w:left="2420"/>
              <w:spacing w:after="0"/>
              <w:rPr>
                <w:sz w:val="20"/>
                <w:szCs w:val="20"/>
                <w:color w:val="auto"/>
              </w:rPr>
            </w:pPr>
            <w:r>
              <w:rPr>
                <w:rFonts w:ascii="Courier New" w:cs="Courier New" w:eastAsia="Courier New" w:hAnsi="Courier New"/>
                <w:sz w:val="16"/>
                <w:szCs w:val="16"/>
                <w:color w:val="auto"/>
              </w:rPr>
              <w:t>DESCRIPTION</w:t>
            </w:r>
          </w:p>
        </w:tc>
      </w:tr>
      <w:tr>
        <w:trPr>
          <w:trHeight w:val="186"/>
        </w:trPr>
        <w:tc>
          <w:tcPr>
            <w:tcW w:w="960" w:type="dxa"/>
            <w:vAlign w:val="bottom"/>
          </w:tcPr>
          <w:p>
            <w:pPr>
              <w:spacing w:after="0"/>
              <w:rPr>
                <w:sz w:val="20"/>
                <w:szCs w:val="20"/>
                <w:color w:val="auto"/>
              </w:rPr>
            </w:pPr>
            <w:r>
              <w:rPr>
                <w:rFonts w:ascii="Courier New" w:cs="Courier New" w:eastAsia="Courier New" w:hAnsi="Courier New"/>
                <w:sz w:val="16"/>
                <w:szCs w:val="16"/>
                <w:color w:val="auto"/>
              </w:rPr>
              <w:t>- ------</w:t>
            </w:r>
          </w:p>
        </w:tc>
        <w:tc>
          <w:tcPr>
            <w:tcW w:w="680" w:type="dxa"/>
            <w:vAlign w:val="bottom"/>
          </w:tcPr>
          <w:p>
            <w:pPr>
              <w:spacing w:after="0"/>
              <w:rPr>
                <w:sz w:val="16"/>
                <w:szCs w:val="16"/>
                <w:color w:val="auto"/>
              </w:rPr>
            </w:pPr>
          </w:p>
        </w:tc>
        <w:tc>
          <w:tcPr>
            <w:tcW w:w="6120" w:type="dxa"/>
            <w:vAlign w:val="bottom"/>
          </w:tcPr>
          <w:p>
            <w:pPr>
              <w:ind w:left="2620"/>
              <w:spacing w:after="0"/>
              <w:rPr>
                <w:sz w:val="20"/>
                <w:szCs w:val="20"/>
                <w:color w:val="auto"/>
              </w:rPr>
            </w:pPr>
            <w:r>
              <w:rPr>
                <w:rFonts w:ascii="Courier New" w:cs="Courier New" w:eastAsia="Courier New" w:hAnsi="Courier New"/>
                <w:sz w:val="16"/>
                <w:szCs w:val="16"/>
                <w:color w:val="auto"/>
              </w:rPr>
              <w:t>-----------</w:t>
            </w:r>
          </w:p>
        </w:tc>
      </w:tr>
      <w:tr>
        <w:trPr>
          <w:trHeight w:val="373"/>
        </w:trPr>
        <w:tc>
          <w:tcPr>
            <w:tcW w:w="960" w:type="dxa"/>
            <w:vAlign w:val="bottom"/>
          </w:tcPr>
          <w:p>
            <w:pPr>
              <w:jc w:val="center"/>
              <w:ind w:right="299"/>
              <w:spacing w:after="0"/>
              <w:rPr>
                <w:sz w:val="20"/>
                <w:szCs w:val="20"/>
                <w:color w:val="auto"/>
              </w:rPr>
            </w:pPr>
            <w:r>
              <w:rPr>
                <w:rFonts w:ascii="Courier New" w:cs="Courier New" w:eastAsia="Courier New" w:hAnsi="Courier New"/>
                <w:sz w:val="16"/>
                <w:szCs w:val="16"/>
                <w:color w:val="auto"/>
                <w:w w:val="98"/>
              </w:rPr>
              <w:t>2(a)</w:t>
            </w:r>
          </w:p>
        </w:tc>
        <w:tc>
          <w:tcPr>
            <w:tcW w:w="680" w:type="dxa"/>
            <w:vAlign w:val="bottom"/>
          </w:tcPr>
          <w:p>
            <w:pPr>
              <w:spacing w:after="0"/>
              <w:rPr>
                <w:sz w:val="24"/>
                <w:szCs w:val="24"/>
                <w:color w:val="auto"/>
              </w:rPr>
            </w:pPr>
          </w:p>
        </w:tc>
        <w:tc>
          <w:tcPr>
            <w:tcW w:w="6120" w:type="dxa"/>
            <w:vAlign w:val="bottom"/>
          </w:tcPr>
          <w:p>
            <w:pPr>
              <w:ind w:left="400"/>
              <w:spacing w:after="0"/>
              <w:rPr>
                <w:sz w:val="20"/>
                <w:szCs w:val="20"/>
                <w:color w:val="auto"/>
              </w:rPr>
            </w:pPr>
            <w:r>
              <w:rPr>
                <w:rFonts w:ascii="Courier New" w:cs="Courier New" w:eastAsia="Courier New" w:hAnsi="Courier New"/>
                <w:sz w:val="16"/>
                <w:szCs w:val="16"/>
                <w:color w:val="auto"/>
              </w:rPr>
              <w:t>Asset Purchase Agreement, dated as of July 1, 1997, among</w:t>
            </w:r>
          </w:p>
        </w:tc>
      </w:tr>
      <w:tr>
        <w:trPr>
          <w:trHeight w:val="186"/>
        </w:trPr>
        <w:tc>
          <w:tcPr>
            <w:tcW w:w="9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120" w:type="dxa"/>
            <w:vAlign w:val="bottom"/>
          </w:tcPr>
          <w:p>
            <w:pPr>
              <w:ind w:left="400"/>
              <w:spacing w:after="0"/>
              <w:rPr>
                <w:sz w:val="20"/>
                <w:szCs w:val="20"/>
                <w:color w:val="auto"/>
              </w:rPr>
            </w:pPr>
            <w:r>
              <w:rPr>
                <w:rFonts w:ascii="Courier New" w:cs="Courier New" w:eastAsia="Courier New" w:hAnsi="Courier New"/>
                <w:sz w:val="16"/>
                <w:szCs w:val="16"/>
                <w:color w:val="auto"/>
              </w:rPr>
              <w:t>CheckFree Corporation, Servantis Systems Holdings, Inc.,</w:t>
            </w:r>
          </w:p>
        </w:tc>
      </w:tr>
      <w:tr>
        <w:trPr>
          <w:trHeight w:val="186"/>
        </w:trPr>
        <w:tc>
          <w:tcPr>
            <w:tcW w:w="9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120" w:type="dxa"/>
            <w:vAlign w:val="bottom"/>
          </w:tcPr>
          <w:p>
            <w:pPr>
              <w:ind w:left="400"/>
              <w:spacing w:after="0"/>
              <w:rPr>
                <w:sz w:val="20"/>
                <w:szCs w:val="20"/>
                <w:color w:val="auto"/>
              </w:rPr>
            </w:pPr>
            <w:r>
              <w:rPr>
                <w:rFonts w:ascii="Courier New" w:cs="Courier New" w:eastAsia="Courier New" w:hAnsi="Courier New"/>
                <w:sz w:val="16"/>
                <w:szCs w:val="16"/>
                <w:color w:val="auto"/>
              </w:rPr>
              <w:t>Servantis Systems, Inc., London Bridge Software Holdings</w:t>
            </w:r>
          </w:p>
        </w:tc>
      </w:tr>
      <w:tr>
        <w:trPr>
          <w:trHeight w:val="186"/>
        </w:trPr>
        <w:tc>
          <w:tcPr>
            <w:tcW w:w="9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120" w:type="dxa"/>
            <w:vAlign w:val="bottom"/>
          </w:tcPr>
          <w:p>
            <w:pPr>
              <w:ind w:left="400"/>
              <w:spacing w:after="0"/>
              <w:rPr>
                <w:sz w:val="20"/>
                <w:szCs w:val="20"/>
                <w:color w:val="auto"/>
              </w:rPr>
            </w:pPr>
            <w:r>
              <w:rPr>
                <w:rFonts w:ascii="Courier New" w:cs="Courier New" w:eastAsia="Courier New" w:hAnsi="Courier New"/>
                <w:sz w:val="16"/>
                <w:szCs w:val="16"/>
                <w:color w:val="auto"/>
              </w:rPr>
              <w:t>plc, and LBSS, Inc. (Reference is made to Exhibit 2 to the</w:t>
            </w:r>
          </w:p>
        </w:tc>
      </w:tr>
      <w:tr>
        <w:trPr>
          <w:trHeight w:val="186"/>
        </w:trPr>
        <w:tc>
          <w:tcPr>
            <w:tcW w:w="9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120" w:type="dxa"/>
            <w:vAlign w:val="bottom"/>
          </w:tcPr>
          <w:p>
            <w:pPr>
              <w:ind w:left="400"/>
              <w:spacing w:after="0"/>
              <w:rPr>
                <w:sz w:val="20"/>
                <w:szCs w:val="20"/>
                <w:color w:val="auto"/>
              </w:rPr>
            </w:pPr>
            <w:r>
              <w:rPr>
                <w:rFonts w:ascii="Courier New" w:cs="Courier New" w:eastAsia="Courier New" w:hAnsi="Courier New"/>
                <w:sz w:val="16"/>
                <w:szCs w:val="16"/>
                <w:color w:val="auto"/>
              </w:rPr>
              <w:t>Current Report on Form 8-K, dated July 1, 1997, filed with</w:t>
            </w:r>
          </w:p>
        </w:tc>
      </w:tr>
      <w:tr>
        <w:trPr>
          <w:trHeight w:val="186"/>
        </w:trPr>
        <w:tc>
          <w:tcPr>
            <w:tcW w:w="9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120" w:type="dxa"/>
            <w:vAlign w:val="bottom"/>
          </w:tcPr>
          <w:p>
            <w:pPr>
              <w:ind w:left="400"/>
              <w:spacing w:after="0"/>
              <w:rPr>
                <w:sz w:val="20"/>
                <w:szCs w:val="20"/>
                <w:color w:val="auto"/>
              </w:rPr>
            </w:pPr>
            <w:r>
              <w:rPr>
                <w:rFonts w:ascii="Courier New" w:cs="Courier New" w:eastAsia="Courier New" w:hAnsi="Courier New"/>
                <w:sz w:val="16"/>
                <w:szCs w:val="16"/>
                <w:color w:val="auto"/>
              </w:rPr>
              <w:t>the Securities and Exchange Commission on July 3, 1997, and</w:t>
            </w:r>
          </w:p>
        </w:tc>
      </w:tr>
      <w:tr>
        <w:trPr>
          <w:trHeight w:val="186"/>
        </w:trPr>
        <w:tc>
          <w:tcPr>
            <w:tcW w:w="9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120" w:type="dxa"/>
            <w:vAlign w:val="bottom"/>
          </w:tcPr>
          <w:p>
            <w:pPr>
              <w:ind w:left="400"/>
              <w:spacing w:after="0"/>
              <w:rPr>
                <w:sz w:val="20"/>
                <w:szCs w:val="20"/>
                <w:color w:val="auto"/>
              </w:rPr>
            </w:pPr>
            <w:r>
              <w:rPr>
                <w:rFonts w:ascii="Courier New" w:cs="Courier New" w:eastAsia="Courier New" w:hAnsi="Courier New"/>
                <w:sz w:val="16"/>
                <w:szCs w:val="16"/>
                <w:color w:val="auto"/>
              </w:rPr>
              <w:t>incorporated herein by reference.)</w:t>
            </w:r>
          </w:p>
        </w:tc>
      </w:tr>
      <w:tr>
        <w:trPr>
          <w:trHeight w:val="373"/>
        </w:trPr>
        <w:tc>
          <w:tcPr>
            <w:tcW w:w="960" w:type="dxa"/>
            <w:vAlign w:val="bottom"/>
          </w:tcPr>
          <w:p>
            <w:pPr>
              <w:jc w:val="center"/>
              <w:ind w:right="299"/>
              <w:spacing w:after="0"/>
              <w:rPr>
                <w:sz w:val="20"/>
                <w:szCs w:val="20"/>
                <w:color w:val="auto"/>
              </w:rPr>
            </w:pPr>
            <w:r>
              <w:rPr>
                <w:rFonts w:ascii="Courier New" w:cs="Courier New" w:eastAsia="Courier New" w:hAnsi="Courier New"/>
                <w:sz w:val="16"/>
                <w:szCs w:val="16"/>
                <w:color w:val="auto"/>
                <w:w w:val="98"/>
              </w:rPr>
              <w:t>2(b)</w:t>
            </w:r>
          </w:p>
        </w:tc>
        <w:tc>
          <w:tcPr>
            <w:tcW w:w="680" w:type="dxa"/>
            <w:vAlign w:val="bottom"/>
          </w:tcPr>
          <w:p>
            <w:pPr>
              <w:spacing w:after="0"/>
              <w:rPr>
                <w:sz w:val="24"/>
                <w:szCs w:val="24"/>
                <w:color w:val="auto"/>
              </w:rPr>
            </w:pPr>
          </w:p>
        </w:tc>
        <w:tc>
          <w:tcPr>
            <w:tcW w:w="6120" w:type="dxa"/>
            <w:vAlign w:val="bottom"/>
          </w:tcPr>
          <w:p>
            <w:pPr>
              <w:ind w:left="400"/>
              <w:spacing w:after="0"/>
              <w:rPr>
                <w:sz w:val="20"/>
                <w:szCs w:val="20"/>
                <w:color w:val="auto"/>
              </w:rPr>
            </w:pPr>
            <w:r>
              <w:rPr>
                <w:rFonts w:ascii="Courier New" w:cs="Courier New" w:eastAsia="Courier New" w:hAnsi="Courier New"/>
                <w:sz w:val="16"/>
                <w:szCs w:val="16"/>
                <w:color w:val="auto"/>
              </w:rPr>
              <w:t>Agreement and Plan of Merger, dated as of December 22,</w:t>
            </w:r>
          </w:p>
        </w:tc>
      </w:tr>
      <w:tr>
        <w:trPr>
          <w:trHeight w:val="186"/>
        </w:trPr>
        <w:tc>
          <w:tcPr>
            <w:tcW w:w="9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120" w:type="dxa"/>
            <w:vAlign w:val="bottom"/>
          </w:tcPr>
          <w:p>
            <w:pPr>
              <w:ind w:left="400"/>
              <w:spacing w:after="0"/>
              <w:rPr>
                <w:sz w:val="20"/>
                <w:szCs w:val="20"/>
                <w:color w:val="auto"/>
              </w:rPr>
            </w:pPr>
            <w:r>
              <w:rPr>
                <w:rFonts w:ascii="Courier New" w:cs="Courier New" w:eastAsia="Courier New" w:hAnsi="Courier New"/>
                <w:sz w:val="16"/>
                <w:szCs w:val="16"/>
                <w:color w:val="auto"/>
              </w:rPr>
              <w:t>1997, among the Company, CheckFree Corporation, and</w:t>
            </w:r>
          </w:p>
        </w:tc>
      </w:tr>
      <w:tr>
        <w:trPr>
          <w:trHeight w:val="186"/>
        </w:trPr>
        <w:tc>
          <w:tcPr>
            <w:tcW w:w="9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120" w:type="dxa"/>
            <w:vAlign w:val="bottom"/>
          </w:tcPr>
          <w:p>
            <w:pPr>
              <w:ind w:left="400"/>
              <w:spacing w:after="0"/>
              <w:rPr>
                <w:sz w:val="20"/>
                <w:szCs w:val="20"/>
                <w:color w:val="auto"/>
              </w:rPr>
            </w:pPr>
            <w:r>
              <w:rPr>
                <w:rFonts w:ascii="Courier New" w:cs="Courier New" w:eastAsia="Courier New" w:hAnsi="Courier New"/>
                <w:sz w:val="16"/>
                <w:szCs w:val="16"/>
                <w:color w:val="auto"/>
              </w:rPr>
              <w:t>CheckFree Merger Corporation. (Reference is made to Exhibit</w:t>
            </w:r>
          </w:p>
        </w:tc>
      </w:tr>
      <w:tr>
        <w:trPr>
          <w:trHeight w:val="186"/>
        </w:trPr>
        <w:tc>
          <w:tcPr>
            <w:tcW w:w="9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120" w:type="dxa"/>
            <w:vAlign w:val="bottom"/>
          </w:tcPr>
          <w:p>
            <w:pPr>
              <w:ind w:left="400"/>
              <w:spacing w:after="0"/>
              <w:rPr>
                <w:sz w:val="20"/>
                <w:szCs w:val="20"/>
                <w:color w:val="auto"/>
              </w:rPr>
            </w:pPr>
            <w:r>
              <w:rPr>
                <w:rFonts w:ascii="Courier New" w:cs="Courier New" w:eastAsia="Courier New" w:hAnsi="Courier New"/>
                <w:sz w:val="16"/>
                <w:szCs w:val="16"/>
                <w:color w:val="auto"/>
              </w:rPr>
              <w:t>2 to the Current Report on Form 8-K, dated December 22,</w:t>
            </w:r>
          </w:p>
        </w:tc>
      </w:tr>
      <w:tr>
        <w:trPr>
          <w:trHeight w:val="186"/>
        </w:trPr>
        <w:tc>
          <w:tcPr>
            <w:tcW w:w="9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120" w:type="dxa"/>
            <w:vAlign w:val="bottom"/>
          </w:tcPr>
          <w:p>
            <w:pPr>
              <w:ind w:left="400"/>
              <w:spacing w:after="0"/>
              <w:rPr>
                <w:sz w:val="20"/>
                <w:szCs w:val="20"/>
                <w:color w:val="auto"/>
              </w:rPr>
            </w:pPr>
            <w:r>
              <w:rPr>
                <w:rFonts w:ascii="Courier New" w:cs="Courier New" w:eastAsia="Courier New" w:hAnsi="Courier New"/>
                <w:sz w:val="16"/>
                <w:szCs w:val="16"/>
                <w:color w:val="auto"/>
              </w:rPr>
              <w:t>1997, filed with the Securities and Exchange Commission on</w:t>
            </w:r>
          </w:p>
        </w:tc>
      </w:tr>
      <w:tr>
        <w:trPr>
          <w:trHeight w:val="186"/>
        </w:trPr>
        <w:tc>
          <w:tcPr>
            <w:tcW w:w="9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120" w:type="dxa"/>
            <w:vAlign w:val="bottom"/>
          </w:tcPr>
          <w:p>
            <w:pPr>
              <w:ind w:left="400"/>
              <w:spacing w:after="0"/>
              <w:rPr>
                <w:sz w:val="20"/>
                <w:szCs w:val="20"/>
                <w:color w:val="auto"/>
              </w:rPr>
            </w:pPr>
            <w:r>
              <w:rPr>
                <w:rFonts w:ascii="Courier New" w:cs="Courier New" w:eastAsia="Courier New" w:hAnsi="Courier New"/>
                <w:sz w:val="16"/>
                <w:szCs w:val="16"/>
                <w:color w:val="auto"/>
              </w:rPr>
              <w:t>December 30, 1997, and incorporated herein by reference.)</w:t>
            </w:r>
          </w:p>
        </w:tc>
      </w:tr>
      <w:tr>
        <w:trPr>
          <w:trHeight w:val="373"/>
        </w:trPr>
        <w:tc>
          <w:tcPr>
            <w:tcW w:w="960" w:type="dxa"/>
            <w:vAlign w:val="bottom"/>
          </w:tcPr>
          <w:p>
            <w:pPr>
              <w:jc w:val="center"/>
              <w:ind w:right="299"/>
              <w:spacing w:after="0"/>
              <w:rPr>
                <w:sz w:val="20"/>
                <w:szCs w:val="20"/>
                <w:color w:val="auto"/>
              </w:rPr>
            </w:pPr>
            <w:r>
              <w:rPr>
                <w:rFonts w:ascii="Courier New" w:cs="Courier New" w:eastAsia="Courier New" w:hAnsi="Courier New"/>
                <w:sz w:val="16"/>
                <w:szCs w:val="16"/>
                <w:color w:val="auto"/>
                <w:w w:val="98"/>
              </w:rPr>
              <w:t>3(a)</w:t>
            </w:r>
          </w:p>
        </w:tc>
        <w:tc>
          <w:tcPr>
            <w:tcW w:w="680" w:type="dxa"/>
            <w:vAlign w:val="bottom"/>
          </w:tcPr>
          <w:p>
            <w:pPr>
              <w:spacing w:after="0"/>
              <w:rPr>
                <w:sz w:val="24"/>
                <w:szCs w:val="24"/>
                <w:color w:val="auto"/>
              </w:rPr>
            </w:pPr>
          </w:p>
        </w:tc>
        <w:tc>
          <w:tcPr>
            <w:tcW w:w="6120" w:type="dxa"/>
            <w:vAlign w:val="bottom"/>
          </w:tcPr>
          <w:p>
            <w:pPr>
              <w:ind w:left="400"/>
              <w:spacing w:after="0"/>
              <w:rPr>
                <w:sz w:val="20"/>
                <w:szCs w:val="20"/>
                <w:color w:val="auto"/>
              </w:rPr>
            </w:pPr>
            <w:r>
              <w:rPr>
                <w:rFonts w:ascii="Courier New" w:cs="Courier New" w:eastAsia="Courier New" w:hAnsi="Courier New"/>
                <w:sz w:val="16"/>
                <w:szCs w:val="16"/>
                <w:color w:val="auto"/>
              </w:rPr>
              <w:t>Restated Certificate of Incorporation of the Company.</w:t>
            </w:r>
          </w:p>
        </w:tc>
      </w:tr>
      <w:tr>
        <w:trPr>
          <w:trHeight w:val="186"/>
        </w:trPr>
        <w:tc>
          <w:tcPr>
            <w:tcW w:w="9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120" w:type="dxa"/>
            <w:vAlign w:val="bottom"/>
          </w:tcPr>
          <w:p>
            <w:pPr>
              <w:ind w:left="400"/>
              <w:spacing w:after="0"/>
              <w:rPr>
                <w:sz w:val="20"/>
                <w:szCs w:val="20"/>
                <w:color w:val="auto"/>
              </w:rPr>
            </w:pPr>
            <w:r>
              <w:rPr>
                <w:rFonts w:ascii="Courier New" w:cs="Courier New" w:eastAsia="Courier New" w:hAnsi="Courier New"/>
                <w:sz w:val="16"/>
                <w:szCs w:val="16"/>
                <w:color w:val="auto"/>
              </w:rPr>
              <w:t>(Reference is made to Exhibit 3(a) to the Current Report on</w:t>
            </w:r>
          </w:p>
        </w:tc>
      </w:tr>
      <w:tr>
        <w:trPr>
          <w:trHeight w:val="186"/>
        </w:trPr>
        <w:tc>
          <w:tcPr>
            <w:tcW w:w="9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120" w:type="dxa"/>
            <w:vAlign w:val="bottom"/>
          </w:tcPr>
          <w:p>
            <w:pPr>
              <w:ind w:left="400"/>
              <w:spacing w:after="0"/>
              <w:rPr>
                <w:sz w:val="20"/>
                <w:szCs w:val="20"/>
                <w:color w:val="auto"/>
              </w:rPr>
            </w:pPr>
            <w:r>
              <w:rPr>
                <w:rFonts w:ascii="Courier New" w:cs="Courier New" w:eastAsia="Courier New" w:hAnsi="Courier New"/>
                <w:sz w:val="16"/>
                <w:szCs w:val="16"/>
                <w:color w:val="auto"/>
              </w:rPr>
              <w:t>Form 8-K, dated December 22, 1997, filed with the</w:t>
            </w:r>
          </w:p>
        </w:tc>
      </w:tr>
      <w:tr>
        <w:trPr>
          <w:trHeight w:val="186"/>
        </w:trPr>
        <w:tc>
          <w:tcPr>
            <w:tcW w:w="9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120" w:type="dxa"/>
            <w:vAlign w:val="bottom"/>
          </w:tcPr>
          <w:p>
            <w:pPr>
              <w:ind w:left="400"/>
              <w:spacing w:after="0"/>
              <w:rPr>
                <w:sz w:val="20"/>
                <w:szCs w:val="20"/>
                <w:color w:val="auto"/>
              </w:rPr>
            </w:pPr>
            <w:r>
              <w:rPr>
                <w:rFonts w:ascii="Courier New" w:cs="Courier New" w:eastAsia="Courier New" w:hAnsi="Courier New"/>
                <w:sz w:val="16"/>
                <w:szCs w:val="16"/>
                <w:color w:val="auto"/>
              </w:rPr>
              <w:t>Securities and Exchange Commission on December 30, 1997,</w:t>
            </w:r>
          </w:p>
        </w:tc>
      </w:tr>
      <w:tr>
        <w:trPr>
          <w:trHeight w:val="186"/>
        </w:trPr>
        <w:tc>
          <w:tcPr>
            <w:tcW w:w="9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120" w:type="dxa"/>
            <w:vAlign w:val="bottom"/>
          </w:tcPr>
          <w:p>
            <w:pPr>
              <w:ind w:left="400"/>
              <w:spacing w:after="0"/>
              <w:rPr>
                <w:sz w:val="20"/>
                <w:szCs w:val="20"/>
                <w:color w:val="auto"/>
              </w:rPr>
            </w:pPr>
            <w:r>
              <w:rPr>
                <w:rFonts w:ascii="Courier New" w:cs="Courier New" w:eastAsia="Courier New" w:hAnsi="Courier New"/>
                <w:sz w:val="16"/>
                <w:szCs w:val="16"/>
                <w:color w:val="auto"/>
              </w:rPr>
              <w:t>and incorporated herein by reference.)</w:t>
            </w:r>
          </w:p>
        </w:tc>
      </w:tr>
      <w:tr>
        <w:trPr>
          <w:trHeight w:val="373"/>
        </w:trPr>
        <w:tc>
          <w:tcPr>
            <w:tcW w:w="960" w:type="dxa"/>
            <w:vAlign w:val="bottom"/>
          </w:tcPr>
          <w:p>
            <w:pPr>
              <w:jc w:val="center"/>
              <w:ind w:right="299"/>
              <w:spacing w:after="0"/>
              <w:rPr>
                <w:sz w:val="20"/>
                <w:szCs w:val="20"/>
                <w:color w:val="auto"/>
              </w:rPr>
            </w:pPr>
            <w:r>
              <w:rPr>
                <w:rFonts w:ascii="Courier New" w:cs="Courier New" w:eastAsia="Courier New" w:hAnsi="Courier New"/>
                <w:sz w:val="16"/>
                <w:szCs w:val="16"/>
                <w:color w:val="auto"/>
                <w:w w:val="98"/>
              </w:rPr>
              <w:t>3(b)</w:t>
            </w:r>
          </w:p>
        </w:tc>
        <w:tc>
          <w:tcPr>
            <w:tcW w:w="680" w:type="dxa"/>
            <w:vAlign w:val="bottom"/>
          </w:tcPr>
          <w:p>
            <w:pPr>
              <w:spacing w:after="0"/>
              <w:rPr>
                <w:sz w:val="24"/>
                <w:szCs w:val="24"/>
                <w:color w:val="auto"/>
              </w:rPr>
            </w:pPr>
          </w:p>
        </w:tc>
        <w:tc>
          <w:tcPr>
            <w:tcW w:w="6120" w:type="dxa"/>
            <w:vAlign w:val="bottom"/>
          </w:tcPr>
          <w:p>
            <w:pPr>
              <w:ind w:left="400"/>
              <w:spacing w:after="0"/>
              <w:rPr>
                <w:sz w:val="20"/>
                <w:szCs w:val="20"/>
                <w:color w:val="auto"/>
              </w:rPr>
            </w:pPr>
            <w:r>
              <w:rPr>
                <w:rFonts w:ascii="Courier New" w:cs="Courier New" w:eastAsia="Courier New" w:hAnsi="Courier New"/>
                <w:sz w:val="16"/>
                <w:szCs w:val="16"/>
                <w:color w:val="auto"/>
              </w:rPr>
              <w:t>By-Laws of the Company. (Reference is made to Exhibit 3(b)</w:t>
            </w:r>
          </w:p>
        </w:tc>
      </w:tr>
      <w:tr>
        <w:trPr>
          <w:trHeight w:val="186"/>
        </w:trPr>
        <w:tc>
          <w:tcPr>
            <w:tcW w:w="9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120" w:type="dxa"/>
            <w:vAlign w:val="bottom"/>
          </w:tcPr>
          <w:p>
            <w:pPr>
              <w:ind w:left="400"/>
              <w:spacing w:after="0"/>
              <w:rPr>
                <w:sz w:val="20"/>
                <w:szCs w:val="20"/>
                <w:color w:val="auto"/>
              </w:rPr>
            </w:pPr>
            <w:r>
              <w:rPr>
                <w:rFonts w:ascii="Courier New" w:cs="Courier New" w:eastAsia="Courier New" w:hAnsi="Courier New"/>
                <w:sz w:val="16"/>
                <w:szCs w:val="16"/>
                <w:color w:val="auto"/>
              </w:rPr>
              <w:t>to the Current Report on Form 8-K, dated December 22, 1997,</w:t>
            </w:r>
          </w:p>
        </w:tc>
      </w:tr>
      <w:tr>
        <w:trPr>
          <w:trHeight w:val="186"/>
        </w:trPr>
        <w:tc>
          <w:tcPr>
            <w:tcW w:w="9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120" w:type="dxa"/>
            <w:vAlign w:val="bottom"/>
          </w:tcPr>
          <w:p>
            <w:pPr>
              <w:ind w:left="400"/>
              <w:spacing w:after="0"/>
              <w:rPr>
                <w:sz w:val="20"/>
                <w:szCs w:val="20"/>
                <w:color w:val="auto"/>
              </w:rPr>
            </w:pPr>
            <w:r>
              <w:rPr>
                <w:rFonts w:ascii="Courier New" w:cs="Courier New" w:eastAsia="Courier New" w:hAnsi="Courier New"/>
                <w:sz w:val="16"/>
                <w:szCs w:val="16"/>
                <w:color w:val="auto"/>
              </w:rPr>
              <w:t>filed with the Securities and Exchange Commission on</w:t>
            </w:r>
          </w:p>
        </w:tc>
      </w:tr>
      <w:tr>
        <w:trPr>
          <w:trHeight w:val="186"/>
        </w:trPr>
        <w:tc>
          <w:tcPr>
            <w:tcW w:w="9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120" w:type="dxa"/>
            <w:vAlign w:val="bottom"/>
          </w:tcPr>
          <w:p>
            <w:pPr>
              <w:ind w:left="400"/>
              <w:spacing w:after="0"/>
              <w:rPr>
                <w:sz w:val="20"/>
                <w:szCs w:val="20"/>
                <w:color w:val="auto"/>
              </w:rPr>
            </w:pPr>
            <w:r>
              <w:rPr>
                <w:rFonts w:ascii="Courier New" w:cs="Courier New" w:eastAsia="Courier New" w:hAnsi="Courier New"/>
                <w:sz w:val="16"/>
                <w:szCs w:val="16"/>
                <w:color w:val="auto"/>
              </w:rPr>
              <w:t>December 30, 1997, and incorporated herein by reference.)</w:t>
            </w:r>
          </w:p>
        </w:tc>
      </w:tr>
      <w:tr>
        <w:trPr>
          <w:trHeight w:val="373"/>
        </w:trPr>
        <w:tc>
          <w:tcPr>
            <w:tcW w:w="960" w:type="dxa"/>
            <w:vAlign w:val="bottom"/>
          </w:tcPr>
          <w:p>
            <w:pPr>
              <w:jc w:val="center"/>
              <w:ind w:right="299"/>
              <w:spacing w:after="0"/>
              <w:rPr>
                <w:sz w:val="20"/>
                <w:szCs w:val="20"/>
                <w:color w:val="auto"/>
              </w:rPr>
            </w:pPr>
            <w:r>
              <w:rPr>
                <w:rFonts w:ascii="Courier New" w:cs="Courier New" w:eastAsia="Courier New" w:hAnsi="Courier New"/>
                <w:sz w:val="16"/>
                <w:szCs w:val="16"/>
                <w:color w:val="auto"/>
                <w:w w:val="98"/>
              </w:rPr>
              <w:t>3(c)</w:t>
            </w:r>
          </w:p>
        </w:tc>
        <w:tc>
          <w:tcPr>
            <w:tcW w:w="680" w:type="dxa"/>
            <w:vAlign w:val="bottom"/>
          </w:tcPr>
          <w:p>
            <w:pPr>
              <w:spacing w:after="0"/>
              <w:rPr>
                <w:sz w:val="24"/>
                <w:szCs w:val="24"/>
                <w:color w:val="auto"/>
              </w:rPr>
            </w:pPr>
          </w:p>
        </w:tc>
        <w:tc>
          <w:tcPr>
            <w:tcW w:w="6120" w:type="dxa"/>
            <w:vAlign w:val="bottom"/>
          </w:tcPr>
          <w:p>
            <w:pPr>
              <w:ind w:left="400"/>
              <w:spacing w:after="0"/>
              <w:rPr>
                <w:sz w:val="20"/>
                <w:szCs w:val="20"/>
                <w:color w:val="auto"/>
              </w:rPr>
            </w:pPr>
            <w:r>
              <w:rPr>
                <w:rFonts w:ascii="Courier New" w:cs="Courier New" w:eastAsia="Courier New" w:hAnsi="Courier New"/>
                <w:sz w:val="16"/>
                <w:szCs w:val="16"/>
                <w:color w:val="auto"/>
              </w:rPr>
              <w:t>Form of Specimen Stock Certificate. (Reference is made to</w:t>
            </w:r>
          </w:p>
        </w:tc>
      </w:tr>
      <w:tr>
        <w:trPr>
          <w:trHeight w:val="186"/>
        </w:trPr>
        <w:tc>
          <w:tcPr>
            <w:tcW w:w="9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120" w:type="dxa"/>
            <w:vAlign w:val="bottom"/>
          </w:tcPr>
          <w:p>
            <w:pPr>
              <w:ind w:left="400"/>
              <w:spacing w:after="0"/>
              <w:rPr>
                <w:sz w:val="20"/>
                <w:szCs w:val="20"/>
                <w:color w:val="auto"/>
              </w:rPr>
            </w:pPr>
            <w:r>
              <w:rPr>
                <w:rFonts w:ascii="Courier New" w:cs="Courier New" w:eastAsia="Courier New" w:hAnsi="Courier New"/>
                <w:sz w:val="16"/>
                <w:szCs w:val="16"/>
                <w:color w:val="auto"/>
              </w:rPr>
              <w:t>Exhibit 3(c) to the Current Report on Form 8-K, dated</w:t>
            </w:r>
          </w:p>
        </w:tc>
      </w:tr>
      <w:tr>
        <w:trPr>
          <w:trHeight w:val="186"/>
        </w:trPr>
        <w:tc>
          <w:tcPr>
            <w:tcW w:w="9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120" w:type="dxa"/>
            <w:vAlign w:val="bottom"/>
          </w:tcPr>
          <w:p>
            <w:pPr>
              <w:ind w:left="400"/>
              <w:spacing w:after="0"/>
              <w:rPr>
                <w:sz w:val="20"/>
                <w:szCs w:val="20"/>
                <w:color w:val="auto"/>
              </w:rPr>
            </w:pPr>
            <w:r>
              <w:rPr>
                <w:rFonts w:ascii="Courier New" w:cs="Courier New" w:eastAsia="Courier New" w:hAnsi="Courier New"/>
                <w:sz w:val="16"/>
                <w:szCs w:val="16"/>
                <w:color w:val="auto"/>
              </w:rPr>
              <w:t>December 22, 1997, filed with the Securities and Exchange</w:t>
            </w:r>
          </w:p>
        </w:tc>
      </w:tr>
      <w:tr>
        <w:trPr>
          <w:trHeight w:val="186"/>
        </w:trPr>
        <w:tc>
          <w:tcPr>
            <w:tcW w:w="9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120" w:type="dxa"/>
            <w:vAlign w:val="bottom"/>
          </w:tcPr>
          <w:p>
            <w:pPr>
              <w:ind w:left="400"/>
              <w:spacing w:after="0"/>
              <w:rPr>
                <w:sz w:val="20"/>
                <w:szCs w:val="20"/>
                <w:color w:val="auto"/>
              </w:rPr>
            </w:pPr>
            <w:r>
              <w:rPr>
                <w:rFonts w:ascii="Courier New" w:cs="Courier New" w:eastAsia="Courier New" w:hAnsi="Courier New"/>
                <w:sz w:val="16"/>
                <w:szCs w:val="16"/>
                <w:color w:val="auto"/>
              </w:rPr>
              <w:t>Commission on December 30, 1997, and incorporated herein by</w:t>
            </w:r>
          </w:p>
        </w:tc>
      </w:tr>
      <w:tr>
        <w:trPr>
          <w:trHeight w:val="186"/>
        </w:trPr>
        <w:tc>
          <w:tcPr>
            <w:tcW w:w="9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120" w:type="dxa"/>
            <w:vAlign w:val="bottom"/>
          </w:tcPr>
          <w:p>
            <w:pPr>
              <w:ind w:left="400"/>
              <w:spacing w:after="0"/>
              <w:rPr>
                <w:sz w:val="20"/>
                <w:szCs w:val="20"/>
                <w:color w:val="auto"/>
              </w:rPr>
            </w:pPr>
            <w:r>
              <w:rPr>
                <w:rFonts w:ascii="Courier New" w:cs="Courier New" w:eastAsia="Courier New" w:hAnsi="Courier New"/>
                <w:sz w:val="16"/>
                <w:szCs w:val="16"/>
                <w:color w:val="auto"/>
              </w:rPr>
              <w:t>reference.)</w:t>
            </w:r>
          </w:p>
        </w:tc>
      </w:tr>
      <w:tr>
        <w:trPr>
          <w:trHeight w:val="373"/>
        </w:trPr>
        <w:tc>
          <w:tcPr>
            <w:tcW w:w="960" w:type="dxa"/>
            <w:vAlign w:val="bottom"/>
          </w:tcPr>
          <w:p>
            <w:pPr>
              <w:jc w:val="center"/>
              <w:ind w:right="299"/>
              <w:spacing w:after="0"/>
              <w:rPr>
                <w:sz w:val="20"/>
                <w:szCs w:val="20"/>
                <w:color w:val="auto"/>
              </w:rPr>
            </w:pPr>
            <w:r>
              <w:rPr>
                <w:rFonts w:ascii="Courier New" w:cs="Courier New" w:eastAsia="Courier New" w:hAnsi="Courier New"/>
                <w:sz w:val="16"/>
                <w:szCs w:val="16"/>
                <w:color w:val="auto"/>
                <w:w w:val="98"/>
              </w:rPr>
              <w:t>4(a)</w:t>
            </w:r>
          </w:p>
        </w:tc>
        <w:tc>
          <w:tcPr>
            <w:tcW w:w="680" w:type="dxa"/>
            <w:vAlign w:val="bottom"/>
          </w:tcPr>
          <w:p>
            <w:pPr>
              <w:spacing w:after="0"/>
              <w:rPr>
                <w:sz w:val="24"/>
                <w:szCs w:val="24"/>
                <w:color w:val="auto"/>
              </w:rPr>
            </w:pPr>
          </w:p>
        </w:tc>
        <w:tc>
          <w:tcPr>
            <w:tcW w:w="6120" w:type="dxa"/>
            <w:vAlign w:val="bottom"/>
          </w:tcPr>
          <w:p>
            <w:pPr>
              <w:ind w:left="400"/>
              <w:spacing w:after="0"/>
              <w:rPr>
                <w:sz w:val="20"/>
                <w:szCs w:val="20"/>
                <w:color w:val="auto"/>
              </w:rPr>
            </w:pPr>
            <w:r>
              <w:rPr>
                <w:rFonts w:ascii="Courier New" w:cs="Courier New" w:eastAsia="Courier New" w:hAnsi="Courier New"/>
                <w:sz w:val="16"/>
                <w:szCs w:val="16"/>
                <w:color w:val="auto"/>
              </w:rPr>
              <w:t>Articles FOURTH, FIFTH, SEVENTH, EIGHTH, TENTH AND ELEVENTH</w:t>
            </w:r>
          </w:p>
        </w:tc>
      </w:tr>
      <w:tr>
        <w:trPr>
          <w:trHeight w:val="186"/>
        </w:trPr>
        <w:tc>
          <w:tcPr>
            <w:tcW w:w="9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120" w:type="dxa"/>
            <w:vAlign w:val="bottom"/>
          </w:tcPr>
          <w:p>
            <w:pPr>
              <w:ind w:left="400"/>
              <w:spacing w:after="0"/>
              <w:rPr>
                <w:sz w:val="20"/>
                <w:szCs w:val="20"/>
                <w:color w:val="auto"/>
              </w:rPr>
            </w:pPr>
            <w:r>
              <w:rPr>
                <w:rFonts w:ascii="Courier New" w:cs="Courier New" w:eastAsia="Courier New" w:hAnsi="Courier New"/>
                <w:sz w:val="16"/>
                <w:szCs w:val="16"/>
                <w:color w:val="auto"/>
              </w:rPr>
              <w:t>of the Company's Restated Certificate of Incorporation</w:t>
            </w:r>
          </w:p>
        </w:tc>
      </w:tr>
      <w:tr>
        <w:trPr>
          <w:trHeight w:val="186"/>
        </w:trPr>
        <w:tc>
          <w:tcPr>
            <w:tcW w:w="9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120" w:type="dxa"/>
            <w:vAlign w:val="bottom"/>
          </w:tcPr>
          <w:p>
            <w:pPr>
              <w:ind w:left="400"/>
              <w:spacing w:after="0"/>
              <w:rPr>
                <w:sz w:val="20"/>
                <w:szCs w:val="20"/>
                <w:color w:val="auto"/>
              </w:rPr>
            </w:pPr>
            <w:r>
              <w:rPr>
                <w:rFonts w:ascii="Courier New" w:cs="Courier New" w:eastAsia="Courier New" w:hAnsi="Courier New"/>
                <w:sz w:val="16"/>
                <w:szCs w:val="16"/>
                <w:color w:val="auto"/>
              </w:rPr>
              <w:t>(contained in the Company's Restated Certificate of</w:t>
            </w:r>
          </w:p>
        </w:tc>
      </w:tr>
      <w:tr>
        <w:trPr>
          <w:trHeight w:val="186"/>
        </w:trPr>
        <w:tc>
          <w:tcPr>
            <w:tcW w:w="9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120" w:type="dxa"/>
            <w:vAlign w:val="bottom"/>
          </w:tcPr>
          <w:p>
            <w:pPr>
              <w:ind w:left="400"/>
              <w:spacing w:after="0"/>
              <w:rPr>
                <w:sz w:val="20"/>
                <w:szCs w:val="20"/>
                <w:color w:val="auto"/>
              </w:rPr>
            </w:pPr>
            <w:r>
              <w:rPr>
                <w:rFonts w:ascii="Courier New" w:cs="Courier New" w:eastAsia="Courier New" w:hAnsi="Courier New"/>
                <w:sz w:val="16"/>
                <w:szCs w:val="16"/>
                <w:color w:val="auto"/>
              </w:rPr>
              <w:t>Incorporation filed as Exhibit 3(a) hereto) and Articles</w:t>
            </w:r>
          </w:p>
        </w:tc>
      </w:tr>
      <w:tr>
        <w:trPr>
          <w:trHeight w:val="186"/>
        </w:trPr>
        <w:tc>
          <w:tcPr>
            <w:tcW w:w="9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120" w:type="dxa"/>
            <w:vAlign w:val="bottom"/>
          </w:tcPr>
          <w:p>
            <w:pPr>
              <w:ind w:left="400"/>
              <w:spacing w:after="0"/>
              <w:rPr>
                <w:sz w:val="20"/>
                <w:szCs w:val="20"/>
                <w:color w:val="auto"/>
              </w:rPr>
            </w:pPr>
            <w:r>
              <w:rPr>
                <w:rFonts w:ascii="Courier New" w:cs="Courier New" w:eastAsia="Courier New" w:hAnsi="Courier New"/>
                <w:sz w:val="16"/>
                <w:szCs w:val="16"/>
                <w:color w:val="auto"/>
              </w:rPr>
              <w:t>II, III, IV, VI and VIII of the Company's By-Laws</w:t>
            </w:r>
          </w:p>
        </w:tc>
      </w:tr>
      <w:tr>
        <w:trPr>
          <w:trHeight w:val="186"/>
        </w:trPr>
        <w:tc>
          <w:tcPr>
            <w:tcW w:w="9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120" w:type="dxa"/>
            <w:vAlign w:val="bottom"/>
          </w:tcPr>
          <w:p>
            <w:pPr>
              <w:ind w:left="400"/>
              <w:spacing w:after="0"/>
              <w:rPr>
                <w:sz w:val="20"/>
                <w:szCs w:val="20"/>
                <w:color w:val="auto"/>
              </w:rPr>
            </w:pPr>
            <w:r>
              <w:rPr>
                <w:rFonts w:ascii="Courier New" w:cs="Courier New" w:eastAsia="Courier New" w:hAnsi="Courier New"/>
                <w:sz w:val="16"/>
                <w:szCs w:val="16"/>
                <w:color w:val="auto"/>
              </w:rPr>
              <w:t>(contained in the Company's By-Laws filed as Exhibit 3(b)</w:t>
            </w:r>
          </w:p>
        </w:tc>
      </w:tr>
      <w:tr>
        <w:trPr>
          <w:trHeight w:val="186"/>
        </w:trPr>
        <w:tc>
          <w:tcPr>
            <w:tcW w:w="9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120" w:type="dxa"/>
            <w:vAlign w:val="bottom"/>
          </w:tcPr>
          <w:p>
            <w:pPr>
              <w:ind w:left="400"/>
              <w:spacing w:after="0"/>
              <w:rPr>
                <w:sz w:val="20"/>
                <w:szCs w:val="20"/>
                <w:color w:val="auto"/>
              </w:rPr>
            </w:pPr>
            <w:r>
              <w:rPr>
                <w:rFonts w:ascii="Courier New" w:cs="Courier New" w:eastAsia="Courier New" w:hAnsi="Courier New"/>
                <w:sz w:val="16"/>
                <w:szCs w:val="16"/>
                <w:color w:val="auto"/>
              </w:rPr>
              <w:t>hereto).</w:t>
            </w:r>
          </w:p>
        </w:tc>
      </w:tr>
      <w:tr>
        <w:trPr>
          <w:trHeight w:val="373"/>
        </w:trPr>
        <w:tc>
          <w:tcPr>
            <w:tcW w:w="960" w:type="dxa"/>
            <w:vAlign w:val="bottom"/>
          </w:tcPr>
          <w:p>
            <w:pPr>
              <w:jc w:val="center"/>
              <w:ind w:right="299"/>
              <w:spacing w:after="0"/>
              <w:rPr>
                <w:sz w:val="20"/>
                <w:szCs w:val="20"/>
                <w:color w:val="auto"/>
              </w:rPr>
            </w:pPr>
            <w:r>
              <w:rPr>
                <w:rFonts w:ascii="Courier New" w:cs="Courier New" w:eastAsia="Courier New" w:hAnsi="Courier New"/>
                <w:sz w:val="16"/>
                <w:szCs w:val="16"/>
                <w:color w:val="auto"/>
                <w:w w:val="98"/>
              </w:rPr>
              <w:t>4(b)</w:t>
            </w:r>
          </w:p>
        </w:tc>
        <w:tc>
          <w:tcPr>
            <w:tcW w:w="680" w:type="dxa"/>
            <w:vAlign w:val="bottom"/>
          </w:tcPr>
          <w:p>
            <w:pPr>
              <w:spacing w:after="0"/>
              <w:rPr>
                <w:sz w:val="24"/>
                <w:szCs w:val="24"/>
                <w:color w:val="auto"/>
              </w:rPr>
            </w:pPr>
          </w:p>
        </w:tc>
        <w:tc>
          <w:tcPr>
            <w:tcW w:w="6120" w:type="dxa"/>
            <w:vAlign w:val="bottom"/>
          </w:tcPr>
          <w:p>
            <w:pPr>
              <w:ind w:left="400"/>
              <w:spacing w:after="0"/>
              <w:rPr>
                <w:sz w:val="20"/>
                <w:szCs w:val="20"/>
                <w:color w:val="auto"/>
              </w:rPr>
            </w:pPr>
            <w:r>
              <w:rPr>
                <w:rFonts w:ascii="Courier New" w:cs="Courier New" w:eastAsia="Courier New" w:hAnsi="Courier New"/>
                <w:sz w:val="16"/>
                <w:szCs w:val="16"/>
                <w:color w:val="auto"/>
              </w:rPr>
              <w:t>Rights Agreement, dated as of December 16, 1997, by and</w:t>
            </w:r>
          </w:p>
        </w:tc>
      </w:tr>
      <w:tr>
        <w:trPr>
          <w:trHeight w:val="186"/>
        </w:trPr>
        <w:tc>
          <w:tcPr>
            <w:tcW w:w="9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120" w:type="dxa"/>
            <w:vAlign w:val="bottom"/>
          </w:tcPr>
          <w:p>
            <w:pPr>
              <w:ind w:left="400"/>
              <w:spacing w:after="0"/>
              <w:rPr>
                <w:sz w:val="20"/>
                <w:szCs w:val="20"/>
                <w:color w:val="auto"/>
              </w:rPr>
            </w:pPr>
            <w:r>
              <w:rPr>
                <w:rFonts w:ascii="Courier New" w:cs="Courier New" w:eastAsia="Courier New" w:hAnsi="Courier New"/>
                <w:sz w:val="16"/>
                <w:szCs w:val="16"/>
                <w:color w:val="auto"/>
              </w:rPr>
              <w:t>between the Company and The Fifth Third Bank, as Rights</w:t>
            </w:r>
          </w:p>
        </w:tc>
      </w:tr>
      <w:tr>
        <w:trPr>
          <w:trHeight w:val="186"/>
        </w:trPr>
        <w:tc>
          <w:tcPr>
            <w:tcW w:w="9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120" w:type="dxa"/>
            <w:vAlign w:val="bottom"/>
          </w:tcPr>
          <w:p>
            <w:pPr>
              <w:ind w:left="400"/>
              <w:spacing w:after="0"/>
              <w:rPr>
                <w:sz w:val="20"/>
                <w:szCs w:val="20"/>
                <w:color w:val="auto"/>
              </w:rPr>
            </w:pPr>
            <w:r>
              <w:rPr>
                <w:rFonts w:ascii="Courier New" w:cs="Courier New" w:eastAsia="Courier New" w:hAnsi="Courier New"/>
                <w:sz w:val="16"/>
                <w:szCs w:val="16"/>
                <w:color w:val="auto"/>
              </w:rPr>
              <w:t>Agent. (Reference is made to Exhibit 4.1 to Amendment No. 1</w:t>
            </w:r>
          </w:p>
        </w:tc>
      </w:tr>
      <w:tr>
        <w:trPr>
          <w:trHeight w:val="186"/>
        </w:trPr>
        <w:tc>
          <w:tcPr>
            <w:tcW w:w="9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120" w:type="dxa"/>
            <w:vAlign w:val="bottom"/>
          </w:tcPr>
          <w:p>
            <w:pPr>
              <w:ind w:left="400"/>
              <w:spacing w:after="0"/>
              <w:rPr>
                <w:sz w:val="20"/>
                <w:szCs w:val="20"/>
                <w:color w:val="auto"/>
              </w:rPr>
            </w:pPr>
            <w:r>
              <w:rPr>
                <w:rFonts w:ascii="Courier New" w:cs="Courier New" w:eastAsia="Courier New" w:hAnsi="Courier New"/>
                <w:sz w:val="16"/>
                <w:szCs w:val="16"/>
                <w:color w:val="auto"/>
              </w:rPr>
              <w:t>to Registration Statement on Form 8-A, filed with the</w:t>
            </w:r>
          </w:p>
        </w:tc>
      </w:tr>
      <w:tr>
        <w:trPr>
          <w:trHeight w:val="186"/>
        </w:trPr>
        <w:tc>
          <w:tcPr>
            <w:tcW w:w="9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120" w:type="dxa"/>
            <w:vAlign w:val="bottom"/>
          </w:tcPr>
          <w:p>
            <w:pPr>
              <w:ind w:left="400"/>
              <w:spacing w:after="0"/>
              <w:rPr>
                <w:sz w:val="20"/>
                <w:szCs w:val="20"/>
                <w:color w:val="auto"/>
              </w:rPr>
            </w:pPr>
            <w:r>
              <w:rPr>
                <w:rFonts w:ascii="Courier New" w:cs="Courier New" w:eastAsia="Courier New" w:hAnsi="Courier New"/>
                <w:sz w:val="16"/>
                <w:szCs w:val="16"/>
                <w:color w:val="auto"/>
              </w:rPr>
              <w:t>Securities and Exchange Commission on May 12, 1999, and</w:t>
            </w:r>
          </w:p>
        </w:tc>
      </w:tr>
      <w:tr>
        <w:trPr>
          <w:trHeight w:val="186"/>
        </w:trPr>
        <w:tc>
          <w:tcPr>
            <w:tcW w:w="9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120" w:type="dxa"/>
            <w:vAlign w:val="bottom"/>
          </w:tcPr>
          <w:p>
            <w:pPr>
              <w:ind w:left="400"/>
              <w:spacing w:after="0"/>
              <w:rPr>
                <w:sz w:val="20"/>
                <w:szCs w:val="20"/>
                <w:color w:val="auto"/>
              </w:rPr>
            </w:pPr>
            <w:r>
              <w:rPr>
                <w:rFonts w:ascii="Courier New" w:cs="Courier New" w:eastAsia="Courier New" w:hAnsi="Courier New"/>
                <w:sz w:val="16"/>
                <w:szCs w:val="16"/>
                <w:color w:val="auto"/>
              </w:rPr>
              <w:t>incorporated herein by reference.)</w:t>
            </w:r>
          </w:p>
        </w:tc>
      </w:tr>
      <w:tr>
        <w:trPr>
          <w:trHeight w:val="373"/>
        </w:trPr>
        <w:tc>
          <w:tcPr>
            <w:tcW w:w="960" w:type="dxa"/>
            <w:vAlign w:val="bottom"/>
          </w:tcPr>
          <w:p>
            <w:pPr>
              <w:jc w:val="center"/>
              <w:ind w:right="299"/>
              <w:spacing w:after="0"/>
              <w:rPr>
                <w:sz w:val="20"/>
                <w:szCs w:val="20"/>
                <w:color w:val="auto"/>
              </w:rPr>
            </w:pPr>
            <w:r>
              <w:rPr>
                <w:rFonts w:ascii="Courier New" w:cs="Courier New" w:eastAsia="Courier New" w:hAnsi="Courier New"/>
                <w:sz w:val="16"/>
                <w:szCs w:val="16"/>
                <w:color w:val="auto"/>
                <w:w w:val="98"/>
              </w:rPr>
              <w:t>4(c)</w:t>
            </w:r>
          </w:p>
        </w:tc>
        <w:tc>
          <w:tcPr>
            <w:tcW w:w="680" w:type="dxa"/>
            <w:vAlign w:val="bottom"/>
          </w:tcPr>
          <w:p>
            <w:pPr>
              <w:jc w:val="right"/>
              <w:ind w:right="299"/>
              <w:spacing w:after="0"/>
              <w:rPr>
                <w:sz w:val="20"/>
                <w:szCs w:val="20"/>
                <w:color w:val="auto"/>
              </w:rPr>
            </w:pPr>
            <w:r>
              <w:rPr>
                <w:rFonts w:ascii="Courier New" w:cs="Courier New" w:eastAsia="Courier New" w:hAnsi="Courier New"/>
                <w:sz w:val="16"/>
                <w:szCs w:val="16"/>
                <w:color w:val="auto"/>
              </w:rPr>
              <w:t>*</w:t>
            </w:r>
          </w:p>
        </w:tc>
        <w:tc>
          <w:tcPr>
            <w:tcW w:w="6120" w:type="dxa"/>
            <w:vAlign w:val="bottom"/>
          </w:tcPr>
          <w:p>
            <w:pPr>
              <w:ind w:left="400"/>
              <w:spacing w:after="0"/>
              <w:rPr>
                <w:sz w:val="20"/>
                <w:szCs w:val="20"/>
                <w:color w:val="auto"/>
              </w:rPr>
            </w:pPr>
            <w:r>
              <w:rPr>
                <w:rFonts w:ascii="Courier New" w:cs="Courier New" w:eastAsia="Courier New" w:hAnsi="Courier New"/>
                <w:sz w:val="16"/>
                <w:szCs w:val="16"/>
                <w:color w:val="auto"/>
              </w:rPr>
              <w:t>Form of Guarantee.</w:t>
            </w:r>
          </w:p>
        </w:tc>
      </w:tr>
      <w:tr>
        <w:trPr>
          <w:trHeight w:val="373"/>
        </w:trPr>
        <w:tc>
          <w:tcPr>
            <w:tcW w:w="960" w:type="dxa"/>
            <w:vAlign w:val="bottom"/>
          </w:tcPr>
          <w:p>
            <w:pPr>
              <w:jc w:val="center"/>
              <w:ind w:right="299"/>
              <w:spacing w:after="0"/>
              <w:rPr>
                <w:sz w:val="20"/>
                <w:szCs w:val="20"/>
                <w:color w:val="auto"/>
              </w:rPr>
            </w:pPr>
            <w:r>
              <w:rPr>
                <w:rFonts w:ascii="Courier New" w:cs="Courier New" w:eastAsia="Courier New" w:hAnsi="Courier New"/>
                <w:sz w:val="16"/>
                <w:szCs w:val="16"/>
                <w:color w:val="auto"/>
                <w:w w:val="98"/>
              </w:rPr>
              <w:t>4(d)</w:t>
            </w:r>
          </w:p>
        </w:tc>
        <w:tc>
          <w:tcPr>
            <w:tcW w:w="680" w:type="dxa"/>
            <w:vAlign w:val="bottom"/>
          </w:tcPr>
          <w:p>
            <w:pPr>
              <w:jc w:val="right"/>
              <w:ind w:right="299"/>
              <w:spacing w:after="0"/>
              <w:rPr>
                <w:sz w:val="20"/>
                <w:szCs w:val="20"/>
                <w:color w:val="auto"/>
              </w:rPr>
            </w:pPr>
            <w:r>
              <w:rPr>
                <w:rFonts w:ascii="Courier New" w:cs="Courier New" w:eastAsia="Courier New" w:hAnsi="Courier New"/>
                <w:sz w:val="16"/>
                <w:szCs w:val="16"/>
                <w:color w:val="auto"/>
              </w:rPr>
              <w:t>*</w:t>
            </w:r>
          </w:p>
        </w:tc>
        <w:tc>
          <w:tcPr>
            <w:tcW w:w="6120" w:type="dxa"/>
            <w:vAlign w:val="bottom"/>
          </w:tcPr>
          <w:p>
            <w:pPr>
              <w:ind w:left="400"/>
              <w:spacing w:after="0"/>
              <w:rPr>
                <w:sz w:val="20"/>
                <w:szCs w:val="20"/>
                <w:color w:val="auto"/>
              </w:rPr>
            </w:pPr>
            <w:r>
              <w:rPr>
                <w:rFonts w:ascii="Courier New" w:cs="Courier New" w:eastAsia="Courier New" w:hAnsi="Courier New"/>
                <w:sz w:val="16"/>
                <w:szCs w:val="16"/>
                <w:color w:val="auto"/>
              </w:rPr>
              <w:t>Indenture, by and between the Company and Fifth Third Bank</w:t>
            </w:r>
          </w:p>
        </w:tc>
      </w:tr>
      <w:tr>
        <w:trPr>
          <w:trHeight w:val="186"/>
        </w:trPr>
        <w:tc>
          <w:tcPr>
            <w:tcW w:w="9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120" w:type="dxa"/>
            <w:vAlign w:val="bottom"/>
          </w:tcPr>
          <w:p>
            <w:pPr>
              <w:ind w:left="400"/>
              <w:spacing w:after="0"/>
              <w:rPr>
                <w:sz w:val="20"/>
                <w:szCs w:val="20"/>
                <w:color w:val="auto"/>
              </w:rPr>
            </w:pPr>
            <w:r>
              <w:rPr>
                <w:rFonts w:ascii="Courier New" w:cs="Courier New" w:eastAsia="Courier New" w:hAnsi="Courier New"/>
                <w:sz w:val="16"/>
                <w:szCs w:val="16"/>
                <w:color w:val="auto"/>
              </w:rPr>
              <w:t>as Trustee, for the 6.5% Convertible Subordinated Notes due</w:t>
            </w:r>
          </w:p>
        </w:tc>
      </w:tr>
      <w:tr>
        <w:trPr>
          <w:trHeight w:val="186"/>
        </w:trPr>
        <w:tc>
          <w:tcPr>
            <w:tcW w:w="9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120" w:type="dxa"/>
            <w:vAlign w:val="bottom"/>
          </w:tcPr>
          <w:p>
            <w:pPr>
              <w:ind w:left="400"/>
              <w:spacing w:after="0"/>
              <w:rPr>
                <w:sz w:val="20"/>
                <w:szCs w:val="20"/>
                <w:color w:val="auto"/>
              </w:rPr>
            </w:pPr>
            <w:r>
              <w:rPr>
                <w:rFonts w:ascii="Courier New" w:cs="Courier New" w:eastAsia="Courier New" w:hAnsi="Courier New"/>
                <w:sz w:val="16"/>
                <w:szCs w:val="16"/>
                <w:color w:val="auto"/>
              </w:rPr>
              <w:t>2006, dated as of November 29, 1999, including the form of</w:t>
            </w:r>
          </w:p>
        </w:tc>
      </w:tr>
      <w:tr>
        <w:trPr>
          <w:trHeight w:val="186"/>
        </w:trPr>
        <w:tc>
          <w:tcPr>
            <w:tcW w:w="9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120" w:type="dxa"/>
            <w:vAlign w:val="bottom"/>
          </w:tcPr>
          <w:p>
            <w:pPr>
              <w:ind w:left="400"/>
              <w:spacing w:after="0"/>
              <w:rPr>
                <w:sz w:val="20"/>
                <w:szCs w:val="20"/>
                <w:color w:val="auto"/>
              </w:rPr>
            </w:pPr>
            <w:r>
              <w:rPr>
                <w:rFonts w:ascii="Courier New" w:cs="Courier New" w:eastAsia="Courier New" w:hAnsi="Courier New"/>
                <w:sz w:val="16"/>
                <w:szCs w:val="16"/>
                <w:color w:val="auto"/>
              </w:rPr>
              <w:t>the 6.5% Note.</w:t>
            </w:r>
          </w:p>
        </w:tc>
      </w:tr>
      <w:tr>
        <w:trPr>
          <w:trHeight w:val="373"/>
        </w:trPr>
        <w:tc>
          <w:tcPr>
            <w:tcW w:w="960" w:type="dxa"/>
            <w:vAlign w:val="bottom"/>
          </w:tcPr>
          <w:p>
            <w:pPr>
              <w:jc w:val="center"/>
              <w:ind w:right="299"/>
              <w:spacing w:after="0"/>
              <w:rPr>
                <w:sz w:val="20"/>
                <w:szCs w:val="20"/>
                <w:color w:val="auto"/>
              </w:rPr>
            </w:pPr>
            <w:r>
              <w:rPr>
                <w:rFonts w:ascii="Courier New" w:cs="Courier New" w:eastAsia="Courier New" w:hAnsi="Courier New"/>
                <w:sz w:val="16"/>
                <w:szCs w:val="16"/>
                <w:color w:val="auto"/>
                <w:w w:val="98"/>
              </w:rPr>
              <w:t>4(f)</w:t>
            </w:r>
          </w:p>
        </w:tc>
        <w:tc>
          <w:tcPr>
            <w:tcW w:w="680" w:type="dxa"/>
            <w:vAlign w:val="bottom"/>
          </w:tcPr>
          <w:p>
            <w:pPr>
              <w:jc w:val="right"/>
              <w:ind w:right="299"/>
              <w:spacing w:after="0"/>
              <w:rPr>
                <w:sz w:val="20"/>
                <w:szCs w:val="20"/>
                <w:color w:val="auto"/>
              </w:rPr>
            </w:pPr>
            <w:r>
              <w:rPr>
                <w:rFonts w:ascii="Courier New" w:cs="Courier New" w:eastAsia="Courier New" w:hAnsi="Courier New"/>
                <w:sz w:val="16"/>
                <w:szCs w:val="16"/>
                <w:color w:val="auto"/>
              </w:rPr>
              <w:t>*</w:t>
            </w:r>
          </w:p>
        </w:tc>
        <w:tc>
          <w:tcPr>
            <w:tcW w:w="6120" w:type="dxa"/>
            <w:vAlign w:val="bottom"/>
          </w:tcPr>
          <w:p>
            <w:pPr>
              <w:ind w:left="400"/>
              <w:spacing w:after="0"/>
              <w:rPr>
                <w:sz w:val="20"/>
                <w:szCs w:val="20"/>
                <w:color w:val="auto"/>
              </w:rPr>
            </w:pPr>
            <w:r>
              <w:rPr>
                <w:rFonts w:ascii="Courier New" w:cs="Courier New" w:eastAsia="Courier New" w:hAnsi="Courier New"/>
                <w:sz w:val="16"/>
                <w:szCs w:val="16"/>
                <w:color w:val="auto"/>
              </w:rPr>
              <w:t>First Supplemental Indenture by and among the Company,</w:t>
            </w:r>
          </w:p>
        </w:tc>
      </w:tr>
      <w:tr>
        <w:trPr>
          <w:trHeight w:val="186"/>
        </w:trPr>
        <w:tc>
          <w:tcPr>
            <w:tcW w:w="9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120" w:type="dxa"/>
            <w:vAlign w:val="bottom"/>
          </w:tcPr>
          <w:p>
            <w:pPr>
              <w:ind w:left="400"/>
              <w:spacing w:after="0"/>
              <w:rPr>
                <w:sz w:val="20"/>
                <w:szCs w:val="20"/>
                <w:color w:val="auto"/>
              </w:rPr>
            </w:pPr>
            <w:r>
              <w:rPr>
                <w:rFonts w:ascii="Courier New" w:cs="Courier New" w:eastAsia="Courier New" w:hAnsi="Courier New"/>
                <w:sz w:val="16"/>
                <w:szCs w:val="16"/>
                <w:color w:val="auto"/>
              </w:rPr>
              <w:t>CheckFree Corporation, CheckFree Investment Corporation,</w:t>
            </w:r>
          </w:p>
        </w:tc>
      </w:tr>
      <w:tr>
        <w:trPr>
          <w:trHeight w:val="186"/>
        </w:trPr>
        <w:tc>
          <w:tcPr>
            <w:tcW w:w="9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120" w:type="dxa"/>
            <w:vAlign w:val="bottom"/>
          </w:tcPr>
          <w:p>
            <w:pPr>
              <w:ind w:left="400"/>
              <w:spacing w:after="0"/>
              <w:rPr>
                <w:sz w:val="20"/>
                <w:szCs w:val="20"/>
                <w:color w:val="auto"/>
              </w:rPr>
            </w:pPr>
            <w:r>
              <w:rPr>
                <w:rFonts w:ascii="Courier New" w:cs="Courier New" w:eastAsia="Courier New" w:hAnsi="Courier New"/>
                <w:sz w:val="16"/>
                <w:szCs w:val="16"/>
                <w:color w:val="auto"/>
              </w:rPr>
              <w:t>CheckFree Investment Services, Inc., CheckFree Management</w:t>
            </w:r>
          </w:p>
        </w:tc>
      </w:tr>
      <w:tr>
        <w:trPr>
          <w:trHeight w:val="186"/>
        </w:trPr>
        <w:tc>
          <w:tcPr>
            <w:tcW w:w="9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120" w:type="dxa"/>
            <w:vAlign w:val="bottom"/>
          </w:tcPr>
          <w:p>
            <w:pPr>
              <w:ind w:left="400"/>
              <w:spacing w:after="0"/>
              <w:rPr>
                <w:sz w:val="20"/>
                <w:szCs w:val="20"/>
                <w:color w:val="auto"/>
              </w:rPr>
            </w:pPr>
            <w:r>
              <w:rPr>
                <w:rFonts w:ascii="Courier New" w:cs="Courier New" w:eastAsia="Courier New" w:hAnsi="Courier New"/>
                <w:sz w:val="16"/>
                <w:szCs w:val="16"/>
                <w:color w:val="auto"/>
              </w:rPr>
              <w:t>Corporation, and Fifth Third Bank as Trustee, for the 6.5%</w:t>
            </w:r>
          </w:p>
        </w:tc>
      </w:tr>
      <w:tr>
        <w:trPr>
          <w:trHeight w:val="186"/>
        </w:trPr>
        <w:tc>
          <w:tcPr>
            <w:tcW w:w="9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120" w:type="dxa"/>
            <w:vAlign w:val="bottom"/>
          </w:tcPr>
          <w:p>
            <w:pPr>
              <w:ind w:left="400"/>
              <w:spacing w:after="0"/>
              <w:rPr>
                <w:sz w:val="20"/>
                <w:szCs w:val="20"/>
                <w:color w:val="auto"/>
              </w:rPr>
            </w:pPr>
            <w:r>
              <w:rPr>
                <w:rFonts w:ascii="Courier New" w:cs="Courier New" w:eastAsia="Courier New" w:hAnsi="Courier New"/>
                <w:sz w:val="16"/>
                <w:szCs w:val="16"/>
                <w:color w:val="auto"/>
              </w:rPr>
              <w:t>Convertible Subordinated Notes due 2006, dated as of</w:t>
            </w:r>
          </w:p>
        </w:tc>
      </w:tr>
      <w:tr>
        <w:trPr>
          <w:trHeight w:val="186"/>
        </w:trPr>
        <w:tc>
          <w:tcPr>
            <w:tcW w:w="9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120" w:type="dxa"/>
            <w:vAlign w:val="bottom"/>
          </w:tcPr>
          <w:p>
            <w:pPr>
              <w:ind w:left="400"/>
              <w:spacing w:after="0"/>
              <w:rPr>
                <w:sz w:val="20"/>
                <w:szCs w:val="20"/>
                <w:color w:val="auto"/>
              </w:rPr>
            </w:pPr>
            <w:r>
              <w:rPr>
                <w:rFonts w:ascii="Courier New" w:cs="Courier New" w:eastAsia="Courier New" w:hAnsi="Courier New"/>
                <w:sz w:val="16"/>
                <w:szCs w:val="16"/>
                <w:color w:val="auto"/>
              </w:rPr>
              <w:t>November 29, 1999.</w:t>
            </w:r>
          </w:p>
        </w:tc>
      </w:tr>
      <w:tr>
        <w:trPr>
          <w:trHeight w:val="373"/>
        </w:trPr>
        <w:tc>
          <w:tcPr>
            <w:tcW w:w="960" w:type="dxa"/>
            <w:vAlign w:val="bottom"/>
          </w:tcPr>
          <w:p>
            <w:pPr>
              <w:jc w:val="center"/>
              <w:ind w:right="299"/>
              <w:spacing w:after="0"/>
              <w:rPr>
                <w:sz w:val="20"/>
                <w:szCs w:val="20"/>
                <w:color w:val="auto"/>
              </w:rPr>
            </w:pPr>
            <w:r>
              <w:rPr>
                <w:rFonts w:ascii="Courier New" w:cs="Courier New" w:eastAsia="Courier New" w:hAnsi="Courier New"/>
                <w:sz w:val="16"/>
                <w:szCs w:val="16"/>
                <w:color w:val="auto"/>
                <w:w w:val="98"/>
              </w:rPr>
              <w:t>4(g)</w:t>
            </w:r>
          </w:p>
        </w:tc>
        <w:tc>
          <w:tcPr>
            <w:tcW w:w="680" w:type="dxa"/>
            <w:vAlign w:val="bottom"/>
          </w:tcPr>
          <w:p>
            <w:pPr>
              <w:jc w:val="right"/>
              <w:ind w:right="299"/>
              <w:spacing w:after="0"/>
              <w:rPr>
                <w:sz w:val="20"/>
                <w:szCs w:val="20"/>
                <w:color w:val="auto"/>
              </w:rPr>
            </w:pPr>
            <w:r>
              <w:rPr>
                <w:rFonts w:ascii="Courier New" w:cs="Courier New" w:eastAsia="Courier New" w:hAnsi="Courier New"/>
                <w:sz w:val="16"/>
                <w:szCs w:val="16"/>
                <w:color w:val="auto"/>
              </w:rPr>
              <w:t>*</w:t>
            </w:r>
          </w:p>
        </w:tc>
        <w:tc>
          <w:tcPr>
            <w:tcW w:w="6120" w:type="dxa"/>
            <w:vAlign w:val="bottom"/>
          </w:tcPr>
          <w:p>
            <w:pPr>
              <w:ind w:left="400"/>
              <w:spacing w:after="0"/>
              <w:rPr>
                <w:sz w:val="20"/>
                <w:szCs w:val="20"/>
                <w:color w:val="auto"/>
              </w:rPr>
            </w:pPr>
            <w:r>
              <w:rPr>
                <w:rFonts w:ascii="Courier New" w:cs="Courier New" w:eastAsia="Courier New" w:hAnsi="Courier New"/>
                <w:sz w:val="16"/>
                <w:szCs w:val="16"/>
                <w:color w:val="auto"/>
              </w:rPr>
              <w:t>Form of the Global Note.</w:t>
            </w:r>
          </w:p>
        </w:tc>
      </w:tr>
      <w:tr>
        <w:trPr>
          <w:trHeight w:val="373"/>
        </w:trPr>
        <w:tc>
          <w:tcPr>
            <w:tcW w:w="960" w:type="dxa"/>
            <w:vAlign w:val="bottom"/>
          </w:tcPr>
          <w:p>
            <w:pPr>
              <w:jc w:val="center"/>
              <w:ind w:right="299"/>
              <w:spacing w:after="0"/>
              <w:rPr>
                <w:sz w:val="20"/>
                <w:szCs w:val="20"/>
                <w:color w:val="auto"/>
              </w:rPr>
            </w:pPr>
            <w:r>
              <w:rPr>
                <w:rFonts w:ascii="Courier New" w:cs="Courier New" w:eastAsia="Courier New" w:hAnsi="Courier New"/>
                <w:sz w:val="16"/>
                <w:szCs w:val="16"/>
                <w:color w:val="auto"/>
                <w:w w:val="98"/>
              </w:rPr>
              <w:t>4(h)</w:t>
            </w:r>
          </w:p>
        </w:tc>
        <w:tc>
          <w:tcPr>
            <w:tcW w:w="680" w:type="dxa"/>
            <w:vAlign w:val="bottom"/>
          </w:tcPr>
          <w:p>
            <w:pPr>
              <w:jc w:val="right"/>
              <w:ind w:right="299"/>
              <w:spacing w:after="0"/>
              <w:rPr>
                <w:sz w:val="20"/>
                <w:szCs w:val="20"/>
                <w:color w:val="auto"/>
              </w:rPr>
            </w:pPr>
            <w:r>
              <w:rPr>
                <w:rFonts w:ascii="Courier New" w:cs="Courier New" w:eastAsia="Courier New" w:hAnsi="Courier New"/>
                <w:sz w:val="16"/>
                <w:szCs w:val="16"/>
                <w:color w:val="auto"/>
              </w:rPr>
              <w:t>*</w:t>
            </w:r>
          </w:p>
        </w:tc>
        <w:tc>
          <w:tcPr>
            <w:tcW w:w="6120" w:type="dxa"/>
            <w:vAlign w:val="bottom"/>
          </w:tcPr>
          <w:p>
            <w:pPr>
              <w:ind w:left="400"/>
              <w:spacing w:after="0"/>
              <w:rPr>
                <w:sz w:val="20"/>
                <w:szCs w:val="20"/>
                <w:color w:val="auto"/>
              </w:rPr>
            </w:pPr>
            <w:r>
              <w:rPr>
                <w:rFonts w:ascii="Courier New" w:cs="Courier New" w:eastAsia="Courier New" w:hAnsi="Courier New"/>
                <w:sz w:val="16"/>
                <w:szCs w:val="16"/>
                <w:color w:val="auto"/>
              </w:rPr>
              <w:t>Registration Rights Agreement, dated as of November 29,</w:t>
            </w:r>
          </w:p>
        </w:tc>
      </w:tr>
      <w:tr>
        <w:trPr>
          <w:trHeight w:val="186"/>
        </w:trPr>
        <w:tc>
          <w:tcPr>
            <w:tcW w:w="9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120" w:type="dxa"/>
            <w:vAlign w:val="bottom"/>
          </w:tcPr>
          <w:p>
            <w:pPr>
              <w:ind w:left="400"/>
              <w:spacing w:after="0"/>
              <w:rPr>
                <w:sz w:val="20"/>
                <w:szCs w:val="20"/>
                <w:color w:val="auto"/>
              </w:rPr>
            </w:pPr>
            <w:r>
              <w:rPr>
                <w:rFonts w:ascii="Courier New" w:cs="Courier New" w:eastAsia="Courier New" w:hAnsi="Courier New"/>
                <w:sz w:val="16"/>
                <w:szCs w:val="16"/>
                <w:color w:val="auto"/>
              </w:rPr>
              <w:t>1999, among the Company, CheckFree Corporation, CheckFree</w:t>
            </w:r>
          </w:p>
        </w:tc>
      </w:tr>
    </w:tbl>
    <w:p>
      <w:pPr>
        <w:spacing w:after="0" w:line="4" w:lineRule="exact"/>
        <w:rPr>
          <w:sz w:val="20"/>
          <w:szCs w:val="20"/>
          <w:color w:val="auto"/>
        </w:rPr>
      </w:pPr>
    </w:p>
    <w:p>
      <w:pPr>
        <w:ind w:left="2040" w:right="2659"/>
        <w:spacing w:after="0" w:line="247" w:lineRule="auto"/>
        <w:rPr>
          <w:sz w:val="20"/>
          <w:szCs w:val="20"/>
          <w:color w:val="auto"/>
        </w:rPr>
      </w:pPr>
      <w:r>
        <w:rPr>
          <w:rFonts w:ascii="Courier New" w:cs="Courier New" w:eastAsia="Courier New" w:hAnsi="Courier New"/>
          <w:sz w:val="16"/>
          <w:szCs w:val="16"/>
          <w:color w:val="auto"/>
        </w:rPr>
        <w:t>Investment Corporation, CheckFree Management Corporation, CheckFree Investment Services, Inc., Merrill Lynch &amp; Co., Merrill Lynch, Pierce, Fenner &amp; Smith Incorporated, Deutsche Bank Securities Inc., and Hambrecht &amp; Quist LLC.</w:t>
      </w:r>
    </w:p>
    <w:p>
      <w:pPr>
        <w:spacing w:after="0" w:line="186" w:lineRule="exact"/>
        <w:rPr>
          <w:sz w:val="20"/>
          <w:szCs w:val="20"/>
          <w:color w:val="auto"/>
        </w:rPr>
      </w:pPr>
    </w:p>
    <w:p>
      <w:pPr>
        <w:ind w:left="1160" w:hanging="870"/>
        <w:spacing w:after="0"/>
        <w:tabs>
          <w:tab w:leader="none" w:pos="1160" w:val="left"/>
        </w:tabs>
        <w:numPr>
          <w:ilvl w:val="0"/>
          <w:numId w:val="77"/>
        </w:numPr>
        <w:rPr>
          <w:rFonts w:ascii="Courier New" w:cs="Courier New" w:eastAsia="Courier New" w:hAnsi="Courier New"/>
          <w:sz w:val="16"/>
          <w:szCs w:val="16"/>
          <w:color w:val="auto"/>
        </w:rPr>
      </w:pPr>
      <w:r>
        <w:rPr>
          <w:rFonts w:ascii="Courier New" w:cs="Courier New" w:eastAsia="Courier New" w:hAnsi="Courier New"/>
          <w:sz w:val="16"/>
          <w:szCs w:val="16"/>
          <w:color w:val="auto"/>
        </w:rPr>
        <w:t>*Opinion of Porter, Wright, Morris &amp; Arthur LLP.</w:t>
      </w:r>
    </w:p>
    <w:p>
      <w:pPr>
        <w:spacing w:after="0" w:line="191" w:lineRule="exact"/>
        <w:rPr>
          <w:sz w:val="20"/>
          <w:szCs w:val="20"/>
          <w:color w:val="auto"/>
        </w:rPr>
      </w:pPr>
    </w:p>
    <w:tbl>
      <w:tblPr>
        <w:tblLayout w:type="fixed"/>
        <w:tblInd w:w="100" w:type="dxa"/>
        <w:tblCellMar>
          <w:top w:w="0" w:type="dxa"/>
          <w:left w:w="0" w:type="dxa"/>
          <w:bottom w:w="0" w:type="dxa"/>
          <w:right w:w="0" w:type="dxa"/>
        </w:tblCellMar>
      </w:tblPr>
      <w:tr>
        <w:trPr>
          <w:trHeight w:val="183"/>
        </w:trPr>
        <w:tc>
          <w:tcPr>
            <w:tcW w:w="720" w:type="dxa"/>
            <w:vAlign w:val="bottom"/>
          </w:tcPr>
          <w:p>
            <w:pPr>
              <w:jc w:val="right"/>
              <w:ind w:right="259"/>
              <w:spacing w:after="0"/>
              <w:rPr>
                <w:sz w:val="20"/>
                <w:szCs w:val="20"/>
                <w:color w:val="auto"/>
              </w:rPr>
            </w:pPr>
            <w:r>
              <w:rPr>
                <w:rFonts w:ascii="Courier New" w:cs="Courier New" w:eastAsia="Courier New" w:hAnsi="Courier New"/>
                <w:sz w:val="16"/>
                <w:szCs w:val="16"/>
                <w:color w:val="auto"/>
                <w:w w:val="93"/>
              </w:rPr>
              <w:t>23.1</w:t>
            </w:r>
          </w:p>
        </w:tc>
        <w:tc>
          <w:tcPr>
            <w:tcW w:w="880" w:type="dxa"/>
            <w:vAlign w:val="bottom"/>
          </w:tcPr>
          <w:p>
            <w:pPr>
              <w:spacing w:after="0"/>
              <w:rPr>
                <w:sz w:val="15"/>
                <w:szCs w:val="15"/>
                <w:color w:val="auto"/>
              </w:rPr>
            </w:pPr>
          </w:p>
        </w:tc>
        <w:tc>
          <w:tcPr>
            <w:tcW w:w="6060" w:type="dxa"/>
            <w:vAlign w:val="bottom"/>
            <w:gridSpan w:val="2"/>
          </w:tcPr>
          <w:p>
            <w:pPr>
              <w:ind w:left="340"/>
              <w:spacing w:after="0"/>
              <w:rPr>
                <w:sz w:val="20"/>
                <w:szCs w:val="20"/>
                <w:color w:val="auto"/>
              </w:rPr>
            </w:pPr>
            <w:r>
              <w:rPr>
                <w:rFonts w:ascii="Courier New" w:cs="Courier New" w:eastAsia="Courier New" w:hAnsi="Courier New"/>
                <w:sz w:val="16"/>
                <w:szCs w:val="16"/>
                <w:color w:val="auto"/>
              </w:rPr>
              <w:t>Consent of Porter, Wright, Morris &amp; Arthur LLP (included in</w:t>
            </w:r>
          </w:p>
        </w:tc>
      </w:tr>
      <w:tr>
        <w:trPr>
          <w:trHeight w:val="186"/>
        </w:trPr>
        <w:tc>
          <w:tcPr>
            <w:tcW w:w="7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6060" w:type="dxa"/>
            <w:vAlign w:val="bottom"/>
            <w:gridSpan w:val="2"/>
          </w:tcPr>
          <w:p>
            <w:pPr>
              <w:ind w:left="340"/>
              <w:spacing w:after="0"/>
              <w:rPr>
                <w:sz w:val="20"/>
                <w:szCs w:val="20"/>
                <w:color w:val="auto"/>
              </w:rPr>
            </w:pPr>
            <w:r>
              <w:rPr>
                <w:rFonts w:ascii="Courier New" w:cs="Courier New" w:eastAsia="Courier New" w:hAnsi="Courier New"/>
                <w:sz w:val="16"/>
                <w:szCs w:val="16"/>
                <w:color w:val="auto"/>
              </w:rPr>
              <w:t>Exhibit 5).</w:t>
            </w:r>
          </w:p>
        </w:tc>
      </w:tr>
      <w:tr>
        <w:trPr>
          <w:trHeight w:val="373"/>
        </w:trPr>
        <w:tc>
          <w:tcPr>
            <w:tcW w:w="720" w:type="dxa"/>
            <w:vAlign w:val="bottom"/>
          </w:tcPr>
          <w:p>
            <w:pPr>
              <w:jc w:val="right"/>
              <w:ind w:right="259"/>
              <w:spacing w:after="0"/>
              <w:rPr>
                <w:sz w:val="20"/>
                <w:szCs w:val="20"/>
                <w:color w:val="auto"/>
              </w:rPr>
            </w:pPr>
            <w:r>
              <w:rPr>
                <w:rFonts w:ascii="Courier New" w:cs="Courier New" w:eastAsia="Courier New" w:hAnsi="Courier New"/>
                <w:sz w:val="16"/>
                <w:szCs w:val="16"/>
                <w:color w:val="auto"/>
                <w:w w:val="93"/>
              </w:rPr>
              <w:t>23.2</w:t>
            </w:r>
          </w:p>
        </w:tc>
        <w:tc>
          <w:tcPr>
            <w:tcW w:w="88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w:t>
            </w:r>
          </w:p>
        </w:tc>
        <w:tc>
          <w:tcPr>
            <w:tcW w:w="1360" w:type="dxa"/>
            <w:vAlign w:val="bottom"/>
          </w:tcPr>
          <w:p>
            <w:pPr>
              <w:ind w:left="340"/>
              <w:spacing w:after="0"/>
              <w:rPr>
                <w:sz w:val="20"/>
                <w:szCs w:val="20"/>
                <w:color w:val="auto"/>
              </w:rPr>
            </w:pPr>
            <w:r>
              <w:rPr>
                <w:rFonts w:ascii="Courier New" w:cs="Courier New" w:eastAsia="Courier New" w:hAnsi="Courier New"/>
                <w:sz w:val="16"/>
                <w:szCs w:val="16"/>
                <w:color w:val="auto"/>
              </w:rPr>
              <w:t>Consent of</w:t>
            </w:r>
          </w:p>
        </w:tc>
        <w:tc>
          <w:tcPr>
            <w:tcW w:w="4700" w:type="dxa"/>
            <w:vAlign w:val="bottom"/>
          </w:tcPr>
          <w:p>
            <w:pPr>
              <w:ind w:left="40"/>
              <w:spacing w:after="0"/>
              <w:rPr>
                <w:sz w:val="20"/>
                <w:szCs w:val="20"/>
                <w:color w:val="auto"/>
              </w:rPr>
            </w:pPr>
            <w:r>
              <w:rPr>
                <w:rFonts w:ascii="Courier New" w:cs="Courier New" w:eastAsia="Courier New" w:hAnsi="Courier New"/>
                <w:sz w:val="16"/>
                <w:szCs w:val="16"/>
                <w:color w:val="auto"/>
              </w:rPr>
              <w:t>Deloitte &amp; Touche LLP.</w:t>
            </w:r>
          </w:p>
        </w:tc>
      </w:tr>
      <w:tr>
        <w:trPr>
          <w:trHeight w:val="373"/>
        </w:trPr>
        <w:tc>
          <w:tcPr>
            <w:tcW w:w="720" w:type="dxa"/>
            <w:vAlign w:val="bottom"/>
          </w:tcPr>
          <w:p>
            <w:pPr>
              <w:jc w:val="right"/>
              <w:ind w:right="259"/>
              <w:spacing w:after="0"/>
              <w:rPr>
                <w:sz w:val="20"/>
                <w:szCs w:val="20"/>
                <w:color w:val="auto"/>
              </w:rPr>
            </w:pPr>
            <w:r>
              <w:rPr>
                <w:rFonts w:ascii="Courier New" w:cs="Courier New" w:eastAsia="Courier New" w:hAnsi="Courier New"/>
                <w:sz w:val="16"/>
                <w:szCs w:val="16"/>
                <w:color w:val="auto"/>
                <w:w w:val="93"/>
              </w:rPr>
              <w:t>23.3</w:t>
            </w:r>
          </w:p>
        </w:tc>
        <w:tc>
          <w:tcPr>
            <w:tcW w:w="88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w:t>
            </w:r>
          </w:p>
        </w:tc>
        <w:tc>
          <w:tcPr>
            <w:tcW w:w="1360" w:type="dxa"/>
            <w:vAlign w:val="bottom"/>
          </w:tcPr>
          <w:p>
            <w:pPr>
              <w:ind w:left="340"/>
              <w:spacing w:after="0"/>
              <w:rPr>
                <w:sz w:val="20"/>
                <w:szCs w:val="20"/>
                <w:color w:val="auto"/>
              </w:rPr>
            </w:pPr>
            <w:r>
              <w:rPr>
                <w:rFonts w:ascii="Courier New" w:cs="Courier New" w:eastAsia="Courier New" w:hAnsi="Courier New"/>
                <w:sz w:val="16"/>
                <w:szCs w:val="16"/>
                <w:color w:val="auto"/>
              </w:rPr>
              <w:t>Consent of</w:t>
            </w:r>
          </w:p>
        </w:tc>
        <w:tc>
          <w:tcPr>
            <w:tcW w:w="4700" w:type="dxa"/>
            <w:vAlign w:val="bottom"/>
          </w:tcPr>
          <w:p>
            <w:pPr>
              <w:ind w:left="40"/>
              <w:spacing w:after="0"/>
              <w:rPr>
                <w:sz w:val="20"/>
                <w:szCs w:val="20"/>
                <w:color w:val="auto"/>
              </w:rPr>
            </w:pPr>
            <w:r>
              <w:rPr>
                <w:rFonts w:ascii="Courier New" w:cs="Courier New" w:eastAsia="Courier New" w:hAnsi="Courier New"/>
                <w:sz w:val="16"/>
                <w:szCs w:val="16"/>
                <w:color w:val="auto"/>
              </w:rPr>
              <w:t>Deloitte &amp; Touche LLP.</w:t>
            </w:r>
          </w:p>
        </w:tc>
      </w:tr>
    </w:tbl>
    <w:p>
      <w:pPr>
        <w:sectPr>
          <w:pgSz w:w="11900" w:h="16838" w:orient="portrait"/>
          <w:cols w:equalWidth="0" w:num="1">
            <w:col w:w="10219"/>
          </w:cols>
          <w:pgMar w:left="240" w:top="303" w:right="1440" w:bottom="0" w:gutter="0" w:footer="0" w:header="0"/>
        </w:sectPr>
      </w:pPr>
    </w:p>
    <w:bookmarkStart w:id="56" w:name="page57"/>
    <w:bookmarkEnd w:id="56"/>
    <w:p>
      <w:pPr>
        <w:spacing w:after="0" w:line="1" w:lineRule="exact"/>
        <w:rPr>
          <w:sz w:val="20"/>
          <w:szCs w:val="20"/>
          <w:color w:val="auto"/>
        </w:rPr>
      </w:pPr>
    </w:p>
    <w:tbl>
      <w:tblPr>
        <w:tblLayout w:type="fixed"/>
        <w:tblInd w:w="101" w:type="dxa"/>
        <w:tblCellMar>
          <w:top w:w="0" w:type="dxa"/>
          <w:left w:w="0" w:type="dxa"/>
          <w:bottom w:w="0" w:type="dxa"/>
          <w:right w:w="0" w:type="dxa"/>
        </w:tblCellMar>
      </w:tblPr>
      <w:tr>
        <w:trPr>
          <w:trHeight w:val="183"/>
        </w:trPr>
        <w:tc>
          <w:tcPr>
            <w:tcW w:w="720" w:type="dxa"/>
            <w:vAlign w:val="bottom"/>
          </w:tcPr>
          <w:p>
            <w:pPr>
              <w:jc w:val="right"/>
              <w:ind w:right="259"/>
              <w:spacing w:after="0"/>
              <w:rPr>
                <w:sz w:val="20"/>
                <w:szCs w:val="20"/>
                <w:color w:val="auto"/>
              </w:rPr>
            </w:pPr>
            <w:r>
              <w:rPr>
                <w:rFonts w:ascii="Courier New" w:cs="Courier New" w:eastAsia="Courier New" w:hAnsi="Courier New"/>
                <w:sz w:val="16"/>
                <w:szCs w:val="16"/>
                <w:color w:val="auto"/>
                <w:w w:val="93"/>
              </w:rPr>
              <w:t>23.4</w:t>
            </w:r>
          </w:p>
        </w:tc>
        <w:tc>
          <w:tcPr>
            <w:tcW w:w="880" w:type="dxa"/>
            <w:vAlign w:val="bottom"/>
          </w:tcPr>
          <w:p>
            <w:pPr>
              <w:ind w:left="340"/>
              <w:spacing w:after="0"/>
              <w:rPr>
                <w:sz w:val="20"/>
                <w:szCs w:val="20"/>
                <w:color w:val="auto"/>
              </w:rPr>
            </w:pPr>
            <w:r>
              <w:rPr>
                <w:rFonts w:ascii="Courier New" w:cs="Courier New" w:eastAsia="Courier New" w:hAnsi="Courier New"/>
                <w:sz w:val="16"/>
                <w:szCs w:val="16"/>
                <w:color w:val="auto"/>
              </w:rPr>
              <w:t>**</w:t>
            </w:r>
          </w:p>
        </w:tc>
        <w:tc>
          <w:tcPr>
            <w:tcW w:w="3340" w:type="dxa"/>
            <w:vAlign w:val="bottom"/>
          </w:tcPr>
          <w:p>
            <w:pPr>
              <w:ind w:left="340"/>
              <w:spacing w:after="0"/>
              <w:rPr>
                <w:sz w:val="20"/>
                <w:szCs w:val="20"/>
                <w:color w:val="auto"/>
              </w:rPr>
            </w:pPr>
            <w:r>
              <w:rPr>
                <w:rFonts w:ascii="Courier New" w:cs="Courier New" w:eastAsia="Courier New" w:hAnsi="Courier New"/>
                <w:sz w:val="16"/>
                <w:szCs w:val="16"/>
                <w:color w:val="auto"/>
              </w:rPr>
              <w:t>Consent of Arthur Andersen LLP.</w:t>
            </w:r>
          </w:p>
        </w:tc>
      </w:tr>
      <w:tr>
        <w:trPr>
          <w:trHeight w:val="373"/>
        </w:trPr>
        <w:tc>
          <w:tcPr>
            <w:tcW w:w="720" w:type="dxa"/>
            <w:vAlign w:val="bottom"/>
          </w:tcPr>
          <w:p>
            <w:pPr>
              <w:jc w:val="right"/>
              <w:ind w:right="359"/>
              <w:spacing w:after="0"/>
              <w:rPr>
                <w:sz w:val="20"/>
                <w:szCs w:val="20"/>
                <w:color w:val="auto"/>
              </w:rPr>
            </w:pPr>
            <w:r>
              <w:rPr>
                <w:rFonts w:ascii="Courier New" w:cs="Courier New" w:eastAsia="Courier New" w:hAnsi="Courier New"/>
                <w:sz w:val="16"/>
                <w:szCs w:val="16"/>
                <w:color w:val="auto"/>
              </w:rPr>
              <w:t>24</w:t>
            </w:r>
          </w:p>
        </w:tc>
        <w:tc>
          <w:tcPr>
            <w:tcW w:w="880" w:type="dxa"/>
            <w:vAlign w:val="bottom"/>
          </w:tcPr>
          <w:p>
            <w:pPr>
              <w:ind w:left="340"/>
              <w:spacing w:after="0"/>
              <w:rPr>
                <w:sz w:val="20"/>
                <w:szCs w:val="20"/>
                <w:color w:val="auto"/>
              </w:rPr>
            </w:pPr>
            <w:r>
              <w:rPr>
                <w:rFonts w:ascii="Courier New" w:cs="Courier New" w:eastAsia="Courier New" w:hAnsi="Courier New"/>
                <w:sz w:val="16"/>
                <w:szCs w:val="16"/>
                <w:color w:val="auto"/>
              </w:rPr>
              <w:t>*</w:t>
            </w:r>
          </w:p>
        </w:tc>
        <w:tc>
          <w:tcPr>
            <w:tcW w:w="3340" w:type="dxa"/>
            <w:vAlign w:val="bottom"/>
          </w:tcPr>
          <w:p>
            <w:pPr>
              <w:ind w:left="340"/>
              <w:spacing w:after="0"/>
              <w:rPr>
                <w:sz w:val="20"/>
                <w:szCs w:val="20"/>
                <w:color w:val="auto"/>
              </w:rPr>
            </w:pPr>
            <w:r>
              <w:rPr>
                <w:rFonts w:ascii="Courier New" w:cs="Courier New" w:eastAsia="Courier New" w:hAnsi="Courier New"/>
                <w:sz w:val="16"/>
                <w:szCs w:val="16"/>
                <w:color w:val="auto"/>
              </w:rPr>
              <w:t>Power of Attorney.</w:t>
            </w:r>
          </w:p>
        </w:tc>
      </w:tr>
    </w:tbl>
    <w:p>
      <w:pPr>
        <w:spacing w:after="0" w:line="190" w:lineRule="exact"/>
        <w:rPr>
          <w:sz w:val="20"/>
          <w:szCs w:val="20"/>
          <w:color w:val="auto"/>
        </w:rPr>
      </w:pPr>
    </w:p>
    <w:p>
      <w:pPr>
        <w:ind w:left="201" w:hanging="201"/>
        <w:spacing w:after="0"/>
        <w:tabs>
          <w:tab w:leader="none" w:pos="201" w:val="left"/>
        </w:tabs>
        <w:numPr>
          <w:ilvl w:val="0"/>
          <w:numId w:val="7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91" w:lineRule="exact"/>
        <w:rPr>
          <w:rFonts w:ascii="Courier New" w:cs="Courier New" w:eastAsia="Courier New" w:hAnsi="Courier New"/>
          <w:sz w:val="16"/>
          <w:szCs w:val="16"/>
          <w:color w:val="auto"/>
        </w:rPr>
      </w:pPr>
    </w:p>
    <w:p>
      <w:pPr>
        <w:ind w:left="381"/>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*Previously filed with this registration statement.</w:t>
      </w:r>
    </w:p>
    <w:p>
      <w:pPr>
        <w:spacing w:after="0" w:line="5" w:lineRule="exact"/>
        <w:rPr>
          <w:rFonts w:ascii="Courier New" w:cs="Courier New" w:eastAsia="Courier New" w:hAnsi="Courier New"/>
          <w:sz w:val="16"/>
          <w:szCs w:val="16"/>
          <w:color w:val="auto"/>
        </w:rPr>
      </w:pPr>
    </w:p>
    <w:p>
      <w:pPr>
        <w:ind w:left="881" w:hanging="590"/>
        <w:spacing w:after="0"/>
        <w:tabs>
          <w:tab w:leader="none" w:pos="881" w:val="left"/>
        </w:tabs>
        <w:numPr>
          <w:ilvl w:val="1"/>
          <w:numId w:val="79"/>
        </w:numPr>
        <w:rPr>
          <w:rFonts w:ascii="Courier New" w:cs="Courier New" w:eastAsia="Courier New" w:hAnsi="Courier New"/>
          <w:sz w:val="16"/>
          <w:szCs w:val="16"/>
          <w:color w:val="auto"/>
        </w:rPr>
      </w:pPr>
      <w:r>
        <w:rPr>
          <w:rFonts w:ascii="Courier New" w:cs="Courier New" w:eastAsia="Courier New" w:hAnsi="Courier New"/>
          <w:sz w:val="16"/>
          <w:szCs w:val="16"/>
          <w:color w:val="auto"/>
        </w:rPr>
        <w:t>Filed with this registration statement.</w:t>
      </w:r>
    </w:p>
    <w:p>
      <w:pPr>
        <w:spacing w:after="0" w:line="378" w:lineRule="exact"/>
        <w:rPr>
          <w:sz w:val="20"/>
          <w:szCs w:val="20"/>
          <w:color w:val="auto"/>
        </w:rPr>
      </w:pPr>
    </w:p>
    <w:p>
      <w:pPr>
        <w:ind w:left="3681"/>
        <w:spacing w:after="0"/>
        <w:rPr>
          <w:sz w:val="20"/>
          <w:szCs w:val="20"/>
          <w:color w:val="auto"/>
        </w:rPr>
      </w:pPr>
      <w:r>
        <w:rPr>
          <w:rFonts w:ascii="Courier New" w:cs="Courier New" w:eastAsia="Courier New" w:hAnsi="Courier New"/>
          <w:sz w:val="16"/>
          <w:szCs w:val="16"/>
          <w:color w:val="auto"/>
        </w:rPr>
        <w:t>II-7</w:t>
      </w:r>
    </w:p>
    <w:p>
      <w:pPr>
        <w:sectPr>
          <w:pgSz w:w="11900" w:h="16838" w:orient="portrait"/>
          <w:cols w:equalWidth="0" w:num="1">
            <w:col w:w="10220"/>
          </w:cols>
          <w:pgMar w:left="239" w:top="142" w:right="1440" w:bottom="1440" w:gutter="0" w:footer="0" w:header="0"/>
        </w:sectPr>
      </w:pPr>
    </w:p>
    <w:bookmarkStart w:id="57" w:name="page58"/>
    <w:bookmarkEnd w:id="57"/>
    <w:p>
      <w:pPr>
        <w:ind w:left="300"/>
        <w:spacing w:after="0"/>
        <w:rPr>
          <w:sz w:val="20"/>
          <w:szCs w:val="20"/>
          <w:color w:val="auto"/>
        </w:rPr>
      </w:pPr>
      <w:r>
        <w:rPr>
          <w:rFonts w:ascii="Courier New" w:cs="Courier New" w:eastAsia="Courier New" w:hAnsi="Courier New"/>
          <w:sz w:val="16"/>
          <w:szCs w:val="16"/>
          <w:color w:val="auto"/>
        </w:rPr>
        <w:t>1</w:t>
      </w:r>
    </w:p>
    <w:p>
      <w:pPr>
        <w:spacing w:after="0" w:line="5" w:lineRule="exact"/>
        <w:rPr>
          <w:sz w:val="20"/>
          <w:szCs w:val="20"/>
          <w:color w:val="auto"/>
        </w:rPr>
      </w:pPr>
    </w:p>
    <w:p>
      <w:pPr>
        <w:jc w:val="right"/>
        <w:ind w:right="2459"/>
        <w:spacing w:after="0"/>
        <w:rPr>
          <w:sz w:val="20"/>
          <w:szCs w:val="20"/>
          <w:color w:val="auto"/>
        </w:rPr>
      </w:pPr>
      <w:r>
        <w:rPr>
          <w:rFonts w:ascii="Courier New" w:cs="Courier New" w:eastAsia="Courier New" w:hAnsi="Courier New"/>
          <w:sz w:val="16"/>
          <w:szCs w:val="16"/>
          <w:color w:val="auto"/>
        </w:rPr>
        <w:t>Exhibit 23.2</w:t>
      </w:r>
    </w:p>
    <w:p>
      <w:pPr>
        <w:spacing w:after="0" w:line="191" w:lineRule="exact"/>
        <w:rPr>
          <w:sz w:val="20"/>
          <w:szCs w:val="20"/>
          <w:color w:val="auto"/>
        </w:rPr>
      </w:pPr>
    </w:p>
    <w:p>
      <w:pPr>
        <w:ind w:left="2220"/>
        <w:spacing w:after="0"/>
        <w:rPr>
          <w:sz w:val="20"/>
          <w:szCs w:val="20"/>
          <w:color w:val="auto"/>
        </w:rPr>
      </w:pPr>
      <w:r>
        <w:rPr>
          <w:rFonts w:ascii="Courier New" w:cs="Courier New" w:eastAsia="Courier New" w:hAnsi="Courier New"/>
          <w:sz w:val="16"/>
          <w:szCs w:val="16"/>
          <w:color w:val="auto"/>
        </w:rPr>
        <w:t>INDEPENDENT AUDITOR'S CONSENT</w:t>
      </w:r>
    </w:p>
    <w:p>
      <w:pPr>
        <w:spacing w:after="0" w:line="191" w:lineRule="exact"/>
        <w:rPr>
          <w:sz w:val="20"/>
          <w:szCs w:val="20"/>
          <w:color w:val="auto"/>
        </w:rPr>
      </w:pPr>
    </w:p>
    <w:p>
      <w:pPr>
        <w:ind w:right="2759"/>
        <w:spacing w:after="0" w:line="246" w:lineRule="auto"/>
        <w:rPr>
          <w:sz w:val="20"/>
          <w:szCs w:val="20"/>
          <w:color w:val="auto"/>
        </w:rPr>
      </w:pPr>
      <w:r>
        <w:rPr>
          <w:rFonts w:ascii="Courier New" w:cs="Courier New" w:eastAsia="Courier New" w:hAnsi="Courier New"/>
          <w:sz w:val="16"/>
          <w:szCs w:val="16"/>
          <w:color w:val="auto"/>
        </w:rPr>
        <w:t>We consent to incorporation by reference in this Amendment No. 2 to Registration Statement No. 333-94757 of CheckFree Holdings Corporation on Form S-3 of our reports dated August 9, 1999, relating to the consolidated financial statements of CheckFree Holdings Corporation, appearing in and incorporated by reference in the Annual Report on Form 10-K of CheckFree Holdings Corporation for the year ended June 30, 1999. We also consent to the reference to us under the heading "Experts" in the Prospectus, which is part of this Registration Statement.</w:t>
      </w:r>
    </w:p>
    <w:p>
      <w:pPr>
        <w:spacing w:after="0" w:line="19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Deloitte &amp; Touche LLP</w:t>
      </w:r>
    </w:p>
    <w:p>
      <w:pPr>
        <w:spacing w:after="0" w:line="19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 Deloitte &amp; Touche LLP</w:t>
      </w:r>
    </w:p>
    <w:p>
      <w:pPr>
        <w:spacing w:after="0" w:line="19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Atlanta, Georgia</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April 10, 2000</w:t>
      </w:r>
    </w:p>
    <w:p>
      <w:pPr>
        <w:sectPr>
          <w:pgSz w:w="11900" w:h="16838" w:orient="portrait"/>
          <w:cols w:equalWidth="0" w:num="1">
            <w:col w:w="10219"/>
          </w:cols>
          <w:pgMar w:left="240" w:top="142" w:right="1440" w:bottom="1440" w:gutter="0" w:footer="0" w:header="0"/>
        </w:sectPr>
      </w:pPr>
    </w:p>
    <w:bookmarkStart w:id="58" w:name="page59"/>
    <w:bookmarkEnd w:id="58"/>
    <w:p>
      <w:pPr>
        <w:ind w:left="300"/>
        <w:spacing w:after="0"/>
        <w:rPr>
          <w:sz w:val="20"/>
          <w:szCs w:val="20"/>
          <w:color w:val="auto"/>
        </w:rPr>
      </w:pPr>
      <w:r>
        <w:rPr>
          <w:rFonts w:ascii="Courier New" w:cs="Courier New" w:eastAsia="Courier New" w:hAnsi="Courier New"/>
          <w:sz w:val="16"/>
          <w:szCs w:val="16"/>
          <w:color w:val="auto"/>
        </w:rPr>
        <w:t>1</w:t>
      </w:r>
    </w:p>
    <w:p>
      <w:pPr>
        <w:spacing w:after="0" w:line="5" w:lineRule="exact"/>
        <w:rPr>
          <w:sz w:val="20"/>
          <w:szCs w:val="20"/>
          <w:color w:val="auto"/>
        </w:rPr>
      </w:pPr>
    </w:p>
    <w:p>
      <w:pPr>
        <w:ind w:left="6000"/>
        <w:spacing w:after="0"/>
        <w:rPr>
          <w:sz w:val="20"/>
          <w:szCs w:val="20"/>
          <w:color w:val="auto"/>
        </w:rPr>
      </w:pPr>
      <w:r>
        <w:rPr>
          <w:rFonts w:ascii="Courier New" w:cs="Courier New" w:eastAsia="Courier New" w:hAnsi="Courier New"/>
          <w:sz w:val="16"/>
          <w:szCs w:val="16"/>
          <w:color w:val="auto"/>
        </w:rPr>
        <w:t>Exhibit 23.3</w:t>
      </w:r>
    </w:p>
    <w:p>
      <w:pPr>
        <w:spacing w:after="0" w:line="191" w:lineRule="exact"/>
        <w:rPr>
          <w:sz w:val="20"/>
          <w:szCs w:val="20"/>
          <w:color w:val="auto"/>
        </w:rPr>
      </w:pPr>
    </w:p>
    <w:p>
      <w:pPr>
        <w:ind w:left="1840"/>
        <w:spacing w:after="0"/>
        <w:rPr>
          <w:sz w:val="20"/>
          <w:szCs w:val="20"/>
          <w:color w:val="auto"/>
        </w:rPr>
      </w:pPr>
      <w:r>
        <w:rPr>
          <w:rFonts w:ascii="Courier New" w:cs="Courier New" w:eastAsia="Courier New" w:hAnsi="Courier New"/>
          <w:sz w:val="16"/>
          <w:szCs w:val="16"/>
          <w:color w:val="auto"/>
        </w:rPr>
        <w:t>INDEPENDENT AUDITORS' CONSENT</w:t>
      </w:r>
    </w:p>
    <w:p>
      <w:pPr>
        <w:spacing w:after="0" w:line="19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We consent to the incorporation by reference in this Amendment No. 2 to</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Registration Statement No. 333-94757 of CheckFree Holdings Corporation on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Form S-3 of our report dated October 22, 1999 (February 15, 2000 as to Note 4),</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on the consolidated financial statements of MSFDC L.L.C. and subsidiaries, a</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development stage company, as of July 2, 1999 and July 3, 1998, and the related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consolidated statements of operations, members' capital deficiency and cash</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flows for the year ended July 2, 1999, and the periods from June 18, 1997</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(inception) to July 3, 1998, and from June 18, 1997 (inception) to July 2, 1999,</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incorporated by reference from the Current Report on Form 8-K of CheckFree</w:t>
      </w:r>
    </w:p>
    <w:p>
      <w:pPr>
        <w:spacing w:after="0" w:line="5" w:lineRule="exact"/>
        <w:rPr>
          <w:sz w:val="20"/>
          <w:szCs w:val="20"/>
          <w:color w:val="auto"/>
        </w:rPr>
      </w:pPr>
    </w:p>
    <w:p>
      <w:pPr>
        <w:jc w:val="both"/>
        <w:ind w:right="2959"/>
        <w:spacing w:after="0" w:line="247" w:lineRule="auto"/>
        <w:rPr>
          <w:sz w:val="20"/>
          <w:szCs w:val="20"/>
          <w:color w:val="auto"/>
        </w:rPr>
      </w:pPr>
      <w:r>
        <w:rPr>
          <w:rFonts w:ascii="Courier New" w:cs="Courier New" w:eastAsia="Courier New" w:hAnsi="Courier New"/>
          <w:sz w:val="16"/>
          <w:szCs w:val="16"/>
          <w:color w:val="auto"/>
        </w:rPr>
        <w:t>Holdings Corporation filed March 22, 2000, and to the reference to us under the heading "Experts" in the Prospectus, which is part of this Registration Statement.</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 Deloitte &amp; Touche LLP</w:t>
      </w:r>
    </w:p>
    <w:p>
      <w:pPr>
        <w:spacing w:after="0" w:line="19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DELOITTE &amp; TOUCHE LLP</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Seattle, Washington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April 6, 2000</w:t>
      </w:r>
    </w:p>
    <w:p>
      <w:pPr>
        <w:sectPr>
          <w:pgSz w:w="11900" w:h="16838" w:orient="portrait"/>
          <w:cols w:equalWidth="0" w:num="1">
            <w:col w:w="10219"/>
          </w:cols>
          <w:pgMar w:left="240" w:top="142" w:right="1440" w:bottom="1440" w:gutter="0" w:footer="0" w:header="0"/>
        </w:sectPr>
      </w:pPr>
    </w:p>
    <w:bookmarkStart w:id="59" w:name="page60"/>
    <w:bookmarkEnd w:id="59"/>
    <w:p>
      <w:pPr>
        <w:ind w:left="300"/>
        <w:spacing w:after="0"/>
        <w:rPr>
          <w:sz w:val="20"/>
          <w:szCs w:val="20"/>
          <w:color w:val="auto"/>
        </w:rPr>
      </w:pPr>
      <w:r>
        <w:rPr>
          <w:rFonts w:ascii="Courier New" w:cs="Courier New" w:eastAsia="Courier New" w:hAnsi="Courier New"/>
          <w:sz w:val="16"/>
          <w:szCs w:val="16"/>
          <w:color w:val="auto"/>
        </w:rPr>
        <w:t>1</w:t>
      </w:r>
    </w:p>
    <w:p>
      <w:pPr>
        <w:spacing w:after="0" w:line="5" w:lineRule="exact"/>
        <w:rPr>
          <w:sz w:val="20"/>
          <w:szCs w:val="20"/>
          <w:color w:val="auto"/>
        </w:rPr>
      </w:pPr>
    </w:p>
    <w:p>
      <w:pPr>
        <w:jc w:val="right"/>
        <w:ind w:right="2859"/>
        <w:spacing w:after="0"/>
        <w:rPr>
          <w:sz w:val="20"/>
          <w:szCs w:val="20"/>
          <w:color w:val="auto"/>
        </w:rPr>
      </w:pPr>
      <w:r>
        <w:rPr>
          <w:rFonts w:ascii="Courier New" w:cs="Courier New" w:eastAsia="Courier New" w:hAnsi="Courier New"/>
          <w:sz w:val="16"/>
          <w:szCs w:val="16"/>
          <w:color w:val="auto"/>
        </w:rPr>
        <w:t>Exhibit 23.4</w:t>
      </w:r>
    </w:p>
    <w:p>
      <w:pPr>
        <w:spacing w:after="0" w:line="191" w:lineRule="exact"/>
        <w:rPr>
          <w:sz w:val="20"/>
          <w:szCs w:val="20"/>
          <w:color w:val="auto"/>
        </w:rPr>
      </w:pPr>
    </w:p>
    <w:p>
      <w:pPr>
        <w:ind w:left="1360"/>
        <w:spacing w:after="0"/>
        <w:rPr>
          <w:sz w:val="20"/>
          <w:szCs w:val="20"/>
          <w:color w:val="auto"/>
        </w:rPr>
      </w:pPr>
      <w:r>
        <w:rPr>
          <w:rFonts w:ascii="Courier New" w:cs="Courier New" w:eastAsia="Courier New" w:hAnsi="Courier New"/>
          <w:sz w:val="16"/>
          <w:szCs w:val="16"/>
          <w:color w:val="auto"/>
        </w:rPr>
        <w:t>CONSENT OF INDEPENDENT PUBLIC ACCOUNTANTS</w:t>
      </w:r>
    </w:p>
    <w:p>
      <w:pPr>
        <w:spacing w:after="0" w:line="191" w:lineRule="exact"/>
        <w:rPr>
          <w:sz w:val="20"/>
          <w:szCs w:val="20"/>
          <w:color w:val="auto"/>
        </w:rPr>
      </w:pPr>
    </w:p>
    <w:p>
      <w:pPr>
        <w:ind w:right="2859"/>
        <w:spacing w:after="0" w:line="247" w:lineRule="auto"/>
        <w:rPr>
          <w:sz w:val="20"/>
          <w:szCs w:val="20"/>
          <w:color w:val="auto"/>
        </w:rPr>
      </w:pPr>
      <w:r>
        <w:rPr>
          <w:rFonts w:ascii="Courier New" w:cs="Courier New" w:eastAsia="Courier New" w:hAnsi="Courier New"/>
          <w:sz w:val="16"/>
          <w:szCs w:val="16"/>
          <w:color w:val="auto"/>
        </w:rPr>
        <w:t>As independent public accountants, we hereby consent to the incorporation by reference in this prospectus of our report dated February 28, 2000, included in CheckFree Holdings Corporation's Form 8-K filed March 22, 2000, for the year ended December 31, 1999 and to all references to our Firm included in this prospectus.</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 Arthur Andersen LLP</w:t>
      </w:r>
    </w:p>
    <w:p>
      <w:pPr>
        <w:spacing w:after="0" w:line="19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Ann Arbor, Michigan,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April 7, 2000</w:t>
      </w:r>
    </w:p>
    <w:sectPr>
      <w:pgSz w:w="11900" w:h="16838" w:orient="portrait"/>
      <w:cols w:equalWidth="0" w:num="1">
        <w:col w:w="10219"/>
      </w:cols>
      <w:pgMar w:left="240" w:top="14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D517796"/>
    <w:multiLevelType w:val="hybridMultilevel"/>
    <w:lvl w:ilvl="0">
      <w:lvlJc w:val="left"/>
      <w:lvlText w:val="-"/>
      <w:numFmt w:val="bullet"/>
      <w:start w:val="1"/>
    </w:lvl>
  </w:abstractNum>
  <w:abstractNum w:abstractNumId="1">
    <w:nsid w:val="580BD78F"/>
    <w:multiLevelType w:val="hybridMultilevel"/>
    <w:lvl w:ilvl="0">
      <w:lvlJc w:val="left"/>
      <w:lvlText w:val="(%1)"/>
      <w:numFmt w:val="decimal"/>
      <w:start w:val="614"/>
    </w:lvl>
  </w:abstractNum>
  <w:abstractNum w:abstractNumId="2">
    <w:nsid w:val="153EA438"/>
    <w:multiLevelType w:val="hybridMultilevel"/>
    <w:lvl w:ilvl="0">
      <w:lvlJc w:val="left"/>
      <w:lvlText w:val="6"/>
      <w:numFmt w:val="bullet"/>
      <w:start w:val="1"/>
    </w:lvl>
  </w:abstractNum>
  <w:abstractNum w:abstractNumId="3">
    <w:nsid w:val="3855585C"/>
    <w:multiLevelType w:val="hybridMultilevel"/>
    <w:lvl w:ilvl="0">
      <w:lvlJc w:val="left"/>
      <w:lvlText w:val="--"/>
      <w:numFmt w:val="bullet"/>
      <w:start w:val="1"/>
    </w:lvl>
  </w:abstractNum>
  <w:abstractNum w:abstractNumId="4">
    <w:nsid w:val="70A64E2A"/>
    <w:multiLevelType w:val="hybridMultilevel"/>
    <w:lvl w:ilvl="0">
      <w:lvlJc w:val="left"/>
      <w:lvlText w:val="-"/>
      <w:numFmt w:val="bullet"/>
      <w:start w:val="1"/>
    </w:lvl>
  </w:abstractNum>
  <w:abstractNum w:abstractNumId="5">
    <w:nsid w:val="6A2342EC"/>
    <w:multiLevelType w:val="hybridMultilevel"/>
    <w:lvl w:ilvl="0">
      <w:lvlJc w:val="left"/>
      <w:lvlText w:val="-"/>
      <w:numFmt w:val="bullet"/>
      <w:start w:val="1"/>
    </w:lvl>
  </w:abstractNum>
  <w:abstractNum w:abstractNumId="6">
    <w:nsid w:val="2A487CB0"/>
    <w:multiLevelType w:val="hybridMultilevel"/>
    <w:lvl w:ilvl="0">
      <w:lvlJc w:val="left"/>
      <w:lvlText w:val="-"/>
      <w:numFmt w:val="bullet"/>
      <w:start w:val="1"/>
    </w:lvl>
  </w:abstractNum>
  <w:abstractNum w:abstractNumId="7">
    <w:nsid w:val="1D4ED43B"/>
    <w:multiLevelType w:val="hybridMultilevel"/>
    <w:lvl w:ilvl="0">
      <w:lvlJc w:val="left"/>
      <w:lvlText w:val="-"/>
      <w:numFmt w:val="bullet"/>
      <w:start w:val="1"/>
    </w:lvl>
  </w:abstractNum>
  <w:abstractNum w:abstractNumId="8">
    <w:nsid w:val="725A06FB"/>
    <w:multiLevelType w:val="hybridMultilevel"/>
    <w:lvl w:ilvl="0">
      <w:lvlJc w:val="left"/>
      <w:lvlText w:val="-"/>
      <w:numFmt w:val="bullet"/>
      <w:start w:val="1"/>
    </w:lvl>
  </w:abstractNum>
  <w:abstractNum w:abstractNumId="9">
    <w:nsid w:val="2CD89A32"/>
    <w:multiLevelType w:val="hybridMultilevel"/>
    <w:lvl w:ilvl="0">
      <w:lvlJc w:val="left"/>
      <w:lvlText w:val="-"/>
      <w:numFmt w:val="bullet"/>
      <w:start w:val="1"/>
    </w:lvl>
  </w:abstractNum>
  <w:abstractNum w:abstractNumId="10">
    <w:nsid w:val="57E4CCAF"/>
    <w:multiLevelType w:val="hybridMultilevel"/>
    <w:lvl w:ilvl="0">
      <w:lvlJc w:val="left"/>
      <w:lvlText w:val="-"/>
      <w:numFmt w:val="bullet"/>
      <w:start w:val="1"/>
    </w:lvl>
  </w:abstractNum>
  <w:abstractNum w:abstractNumId="11">
    <w:nsid w:val="7A6D8D3C"/>
    <w:multiLevelType w:val="hybridMultilevel"/>
    <w:lvl w:ilvl="0">
      <w:lvlJc w:val="left"/>
      <w:lvlText w:val="-"/>
      <w:numFmt w:val="bullet"/>
      <w:start w:val="1"/>
    </w:lvl>
  </w:abstractNum>
  <w:abstractNum w:abstractNumId="12">
    <w:nsid w:val="4B588F54"/>
    <w:multiLevelType w:val="hybridMultilevel"/>
    <w:lvl w:ilvl="0">
      <w:lvlJc w:val="left"/>
      <w:lvlText w:val="-"/>
      <w:numFmt w:val="bullet"/>
      <w:start w:val="1"/>
    </w:lvl>
  </w:abstractNum>
  <w:abstractNum w:abstractNumId="13">
    <w:nsid w:val="542289EC"/>
    <w:multiLevelType w:val="hybridMultilevel"/>
    <w:lvl w:ilvl="0">
      <w:lvlJc w:val="left"/>
      <w:lvlText w:val="-"/>
      <w:numFmt w:val="bullet"/>
      <w:start w:val="1"/>
    </w:lvl>
  </w:abstractNum>
  <w:abstractNum w:abstractNumId="14">
    <w:nsid w:val="6DE91B18"/>
    <w:multiLevelType w:val="hybridMultilevel"/>
    <w:lvl w:ilvl="0">
      <w:lvlJc w:val="left"/>
      <w:lvlText w:val="-"/>
      <w:numFmt w:val="bullet"/>
      <w:start w:val="1"/>
    </w:lvl>
  </w:abstractNum>
  <w:abstractNum w:abstractNumId="15">
    <w:nsid w:val="38437FDB"/>
    <w:multiLevelType w:val="hybridMultilevel"/>
    <w:lvl w:ilvl="0">
      <w:lvlJc w:val="left"/>
      <w:lvlText w:val="-"/>
      <w:numFmt w:val="bullet"/>
      <w:start w:val="1"/>
    </w:lvl>
  </w:abstractNum>
  <w:abstractNum w:abstractNumId="16">
    <w:nsid w:val="7644A45C"/>
    <w:multiLevelType w:val="hybridMultilevel"/>
    <w:lvl w:ilvl="0">
      <w:lvlJc w:val="left"/>
      <w:lvlText w:val="-"/>
      <w:numFmt w:val="bullet"/>
      <w:start w:val="1"/>
    </w:lvl>
  </w:abstractNum>
  <w:abstractNum w:abstractNumId="17">
    <w:nsid w:val="32FFF902"/>
    <w:multiLevelType w:val="hybridMultilevel"/>
    <w:lvl w:ilvl="0">
      <w:lvlJc w:val="left"/>
      <w:lvlText w:val="-"/>
      <w:numFmt w:val="bullet"/>
      <w:start w:val="1"/>
    </w:lvl>
  </w:abstractNum>
  <w:abstractNum w:abstractNumId="18">
    <w:nsid w:val="684A481A"/>
    <w:multiLevelType w:val="hybridMultilevel"/>
    <w:lvl w:ilvl="0">
      <w:lvlJc w:val="left"/>
      <w:lvlText w:val="-"/>
      <w:numFmt w:val="bullet"/>
      <w:start w:val="1"/>
    </w:lvl>
  </w:abstractNum>
  <w:abstractNum w:abstractNumId="19">
    <w:nsid w:val="579478FE"/>
    <w:multiLevelType w:val="hybridMultilevel"/>
    <w:lvl w:ilvl="0">
      <w:lvlJc w:val="left"/>
      <w:lvlText w:val="-"/>
      <w:numFmt w:val="bullet"/>
      <w:start w:val="1"/>
    </w:lvl>
  </w:abstractNum>
  <w:abstractNum w:abstractNumId="20">
    <w:nsid w:val="749ABB43"/>
    <w:multiLevelType w:val="hybridMultilevel"/>
    <w:lvl w:ilvl="0">
      <w:lvlJc w:val="left"/>
      <w:lvlText w:val="-"/>
      <w:numFmt w:val="bullet"/>
      <w:start w:val="1"/>
    </w:lvl>
  </w:abstractNum>
  <w:abstractNum w:abstractNumId="21">
    <w:nsid w:val="3DC240FB"/>
    <w:multiLevelType w:val="hybridMultilevel"/>
    <w:lvl w:ilvl="0">
      <w:lvlJc w:val="left"/>
      <w:lvlText w:val="-"/>
      <w:numFmt w:val="bullet"/>
      <w:start w:val="1"/>
    </w:lvl>
  </w:abstractNum>
  <w:abstractNum w:abstractNumId="22">
    <w:nsid w:val="1BA026FA"/>
    <w:multiLevelType w:val="hybridMultilevel"/>
    <w:lvl w:ilvl="0">
      <w:lvlJc w:val="left"/>
      <w:lvlText w:val="-"/>
      <w:numFmt w:val="bullet"/>
      <w:start w:val="1"/>
    </w:lvl>
  </w:abstractNum>
  <w:abstractNum w:abstractNumId="23">
    <w:nsid w:val="79A1DEAA"/>
    <w:multiLevelType w:val="hybridMultilevel"/>
    <w:lvl w:ilvl="0">
      <w:lvlJc w:val="left"/>
      <w:lvlText w:val="-"/>
      <w:numFmt w:val="bullet"/>
      <w:start w:val="1"/>
    </w:lvl>
  </w:abstractNum>
  <w:abstractNum w:abstractNumId="24">
    <w:nsid w:val="75C6C33A"/>
    <w:multiLevelType w:val="hybridMultilevel"/>
    <w:lvl w:ilvl="0">
      <w:lvlJc w:val="left"/>
      <w:lvlText w:val="-"/>
      <w:numFmt w:val="bullet"/>
      <w:start w:val="1"/>
    </w:lvl>
  </w:abstractNum>
  <w:abstractNum w:abstractNumId="25">
    <w:nsid w:val="12E685FB"/>
    <w:multiLevelType w:val="hybridMultilevel"/>
    <w:lvl w:ilvl="0">
      <w:lvlJc w:val="left"/>
      <w:lvlText w:val="-"/>
      <w:numFmt w:val="bullet"/>
      <w:start w:val="1"/>
    </w:lvl>
  </w:abstractNum>
  <w:abstractNum w:abstractNumId="26">
    <w:nsid w:val="70C6A529"/>
    <w:multiLevelType w:val="hybridMultilevel"/>
    <w:lvl w:ilvl="0">
      <w:lvlJc w:val="left"/>
      <w:lvlText w:val="-"/>
      <w:numFmt w:val="bullet"/>
      <w:start w:val="1"/>
    </w:lvl>
  </w:abstractNum>
  <w:abstractNum w:abstractNumId="27">
    <w:nsid w:val="520EEDD1"/>
    <w:multiLevelType w:val="hybridMultilevel"/>
    <w:lvl w:ilvl="0">
      <w:lvlJc w:val="left"/>
      <w:lvlText w:val="(%1)"/>
      <w:numFmt w:val="decimal"/>
      <w:start w:val="1"/>
    </w:lvl>
    <w:lvl w:ilvl="1">
      <w:lvlJc w:val="left"/>
      <w:lvlText w:val="(%2)"/>
      <w:numFmt w:val="lowerLetter"/>
      <w:start w:val="1"/>
    </w:lvl>
  </w:abstractNum>
  <w:abstractNum w:abstractNumId="28">
    <w:nsid w:val="374A3FE6"/>
    <w:multiLevelType w:val="hybridMultilevel"/>
    <w:lvl w:ilvl="0">
      <w:lvlJc w:val="left"/>
      <w:lvlText w:val="-"/>
      <w:numFmt w:val="bullet"/>
      <w:start w:val="1"/>
    </w:lvl>
  </w:abstractNum>
  <w:abstractNum w:abstractNumId="29">
    <w:nsid w:val="4F4EF005"/>
    <w:multiLevelType w:val="hybridMultilevel"/>
    <w:lvl w:ilvl="0">
      <w:lvlJc w:val="left"/>
      <w:lvlText w:val="-"/>
      <w:numFmt w:val="bullet"/>
      <w:start w:val="1"/>
    </w:lvl>
  </w:abstractNum>
  <w:abstractNum w:abstractNumId="30">
    <w:nsid w:val="23F9C13C"/>
    <w:multiLevelType w:val="hybridMultilevel"/>
    <w:lvl w:ilvl="0">
      <w:lvlJc w:val="left"/>
      <w:lvlText w:val="-"/>
      <w:numFmt w:val="bullet"/>
      <w:start w:val="1"/>
    </w:lvl>
  </w:abstractNum>
  <w:abstractNum w:abstractNumId="31">
    <w:nsid w:val="649BB77C"/>
    <w:multiLevelType w:val="hybridMultilevel"/>
    <w:lvl w:ilvl="0">
      <w:lvlJc w:val="left"/>
      <w:lvlText w:val="-"/>
      <w:numFmt w:val="bullet"/>
      <w:start w:val="1"/>
    </w:lvl>
  </w:abstractNum>
  <w:abstractNum w:abstractNumId="32">
    <w:nsid w:val="275AC794"/>
    <w:multiLevelType w:val="hybridMultilevel"/>
    <w:lvl w:ilvl="0">
      <w:lvlJc w:val="left"/>
      <w:lvlText w:val="-"/>
      <w:numFmt w:val="bullet"/>
      <w:start w:val="1"/>
    </w:lvl>
  </w:abstractNum>
  <w:abstractNum w:abstractNumId="33">
    <w:nsid w:val="39386575"/>
    <w:multiLevelType w:val="hybridMultilevel"/>
    <w:lvl w:ilvl="0">
      <w:lvlJc w:val="left"/>
      <w:lvlText w:val="-"/>
      <w:numFmt w:val="bullet"/>
      <w:start w:val="1"/>
    </w:lvl>
    <w:lvl w:ilvl="1">
      <w:lvlJc w:val="left"/>
      <w:lvlText w:val="(%2)"/>
      <w:numFmt w:val="lowerLetter"/>
      <w:start w:val="1"/>
    </w:lvl>
  </w:abstractNum>
  <w:abstractNum w:abstractNumId="34">
    <w:nsid w:val="1CF10FD8"/>
    <w:multiLevelType w:val="hybridMultilevel"/>
    <w:lvl w:ilvl="0">
      <w:lvlJc w:val="left"/>
      <w:lvlText w:val="-"/>
      <w:numFmt w:val="bullet"/>
      <w:start w:val="1"/>
    </w:lvl>
    <w:lvl w:ilvl="1">
      <w:lvlJc w:val="left"/>
      <w:lvlText w:val="(%2)"/>
      <w:numFmt w:val="lowerLetter"/>
      <w:start w:val="1"/>
    </w:lvl>
  </w:abstractNum>
  <w:abstractNum w:abstractNumId="35">
    <w:nsid w:val="180115BE"/>
    <w:multiLevelType w:val="hybridMultilevel"/>
    <w:lvl w:ilvl="0">
      <w:lvlJc w:val="left"/>
      <w:lvlText w:val="-"/>
      <w:numFmt w:val="bullet"/>
      <w:start w:val="1"/>
    </w:lvl>
  </w:abstractNum>
  <w:abstractNum w:abstractNumId="36">
    <w:nsid w:val="235BA861"/>
    <w:multiLevelType w:val="hybridMultilevel"/>
    <w:lvl w:ilvl="0">
      <w:lvlJc w:val="left"/>
      <w:lvlText w:val="-"/>
      <w:numFmt w:val="bullet"/>
      <w:start w:val="1"/>
    </w:lvl>
  </w:abstractNum>
  <w:abstractNum w:abstractNumId="37">
    <w:nsid w:val="47398C89"/>
    <w:multiLevelType w:val="hybridMultilevel"/>
    <w:lvl w:ilvl="0">
      <w:lvlJc w:val="left"/>
      <w:lvlText w:val="-"/>
      <w:numFmt w:val="bullet"/>
      <w:start w:val="1"/>
    </w:lvl>
  </w:abstractNum>
  <w:abstractNum w:abstractNumId="38">
    <w:nsid w:val="354FE9F9"/>
    <w:multiLevelType w:val="hybridMultilevel"/>
    <w:lvl w:ilvl="0">
      <w:lvlJc w:val="left"/>
      <w:lvlText w:val="-"/>
      <w:numFmt w:val="bullet"/>
      <w:start w:val="1"/>
    </w:lvl>
    <w:lvl w:ilvl="1">
      <w:lvlJc w:val="left"/>
      <w:lvlText w:val="(%2)"/>
      <w:numFmt w:val="decimal"/>
      <w:start w:val="1"/>
    </w:lvl>
    <w:lvl w:ilvl="2">
      <w:lvlJc w:val="left"/>
      <w:lvlText w:val="(%3)"/>
      <w:numFmt w:val="lowerLetter"/>
      <w:start w:val="1"/>
    </w:lvl>
  </w:abstractNum>
  <w:abstractNum w:abstractNumId="39">
    <w:nsid w:val="15B5AF5C"/>
    <w:multiLevelType w:val="hybridMultilevel"/>
    <w:lvl w:ilvl="0">
      <w:lvlJc w:val="left"/>
      <w:lvlText w:val="-"/>
      <w:numFmt w:val="bullet"/>
      <w:start w:val="1"/>
    </w:lvl>
  </w:abstractNum>
  <w:abstractNum w:abstractNumId="40">
    <w:nsid w:val="741226BB"/>
    <w:multiLevelType w:val="hybridMultilevel"/>
    <w:lvl w:ilvl="0">
      <w:lvlJc w:val="left"/>
      <w:lvlText w:val="-"/>
      <w:numFmt w:val="bullet"/>
      <w:start w:val="1"/>
    </w:lvl>
  </w:abstractNum>
  <w:abstractNum w:abstractNumId="41">
    <w:nsid w:val="D34B6A8"/>
    <w:multiLevelType w:val="hybridMultilevel"/>
    <w:lvl w:ilvl="0">
      <w:lvlJc w:val="left"/>
      <w:lvlText w:val="-"/>
      <w:numFmt w:val="bullet"/>
      <w:start w:val="1"/>
    </w:lvl>
  </w:abstractNum>
  <w:abstractNum w:abstractNumId="42">
    <w:nsid w:val="10233C99"/>
    <w:multiLevelType w:val="hybridMultilevel"/>
    <w:lvl w:ilvl="0">
      <w:lvlJc w:val="left"/>
      <w:lvlText w:val="-"/>
      <w:numFmt w:val="bullet"/>
      <w:start w:val="1"/>
    </w:lvl>
  </w:abstractNum>
  <w:abstractNum w:abstractNumId="43">
    <w:nsid w:val="3F6AB60F"/>
    <w:multiLevelType w:val="hybridMultilevel"/>
    <w:lvl w:ilvl="0">
      <w:lvlJc w:val="left"/>
      <w:lvlText w:val="-"/>
      <w:numFmt w:val="bullet"/>
      <w:start w:val="1"/>
    </w:lvl>
  </w:abstractNum>
  <w:abstractNum w:abstractNumId="44">
    <w:nsid w:val="61574095"/>
    <w:multiLevelType w:val="hybridMultilevel"/>
    <w:lvl w:ilvl="0">
      <w:lvlJc w:val="left"/>
      <w:lvlText w:val="-"/>
      <w:numFmt w:val="bullet"/>
      <w:start w:val="1"/>
    </w:lvl>
  </w:abstractNum>
  <w:abstractNum w:abstractNumId="45">
    <w:nsid w:val="7E0C57B1"/>
    <w:multiLevelType w:val="hybridMultilevel"/>
    <w:lvl w:ilvl="0">
      <w:lvlJc w:val="left"/>
      <w:lvlText w:val="-"/>
      <w:numFmt w:val="bullet"/>
      <w:start w:val="1"/>
    </w:lvl>
  </w:abstractNum>
  <w:abstractNum w:abstractNumId="46">
    <w:nsid w:val="77AE35EB"/>
    <w:multiLevelType w:val="hybridMultilevel"/>
    <w:lvl w:ilvl="0">
      <w:lvlJc w:val="left"/>
      <w:lvlText w:val="-"/>
      <w:numFmt w:val="bullet"/>
      <w:start w:val="1"/>
    </w:lvl>
  </w:abstractNum>
  <w:abstractNum w:abstractNumId="47">
    <w:nsid w:val="579BE4F1"/>
    <w:multiLevelType w:val="hybridMultilevel"/>
    <w:lvl w:ilvl="0">
      <w:lvlJc w:val="left"/>
      <w:lvlText w:val="-"/>
      <w:numFmt w:val="bullet"/>
      <w:start w:val="1"/>
    </w:lvl>
  </w:abstractNum>
  <w:abstractNum w:abstractNumId="48">
    <w:nsid w:val="310C50B3"/>
    <w:multiLevelType w:val="hybridMultilevel"/>
    <w:lvl w:ilvl="0">
      <w:lvlJc w:val="left"/>
      <w:lvlText w:val="-"/>
      <w:numFmt w:val="bullet"/>
      <w:start w:val="1"/>
    </w:lvl>
  </w:abstractNum>
  <w:abstractNum w:abstractNumId="49">
    <w:nsid w:val="5FF87E05"/>
    <w:multiLevelType w:val="hybridMultilevel"/>
    <w:lvl w:ilvl="0">
      <w:lvlJc w:val="left"/>
      <w:lvlText w:val="-"/>
      <w:numFmt w:val="bullet"/>
      <w:start w:val="1"/>
    </w:lvl>
  </w:abstractNum>
  <w:abstractNum w:abstractNumId="50">
    <w:nsid w:val="2F305DEF"/>
    <w:multiLevelType w:val="hybridMultilevel"/>
    <w:lvl w:ilvl="0">
      <w:lvlJc w:val="left"/>
      <w:lvlText w:val="-"/>
      <w:numFmt w:val="bullet"/>
      <w:start w:val="1"/>
    </w:lvl>
  </w:abstractNum>
  <w:abstractNum w:abstractNumId="51">
    <w:nsid w:val="25A70BF7"/>
    <w:multiLevelType w:val="hybridMultilevel"/>
    <w:lvl w:ilvl="0">
      <w:lvlJc w:val="left"/>
      <w:lvlText w:val="-"/>
      <w:numFmt w:val="bullet"/>
      <w:start w:val="1"/>
    </w:lvl>
  </w:abstractNum>
  <w:abstractNum w:abstractNumId="52">
    <w:nsid w:val="1DBABF00"/>
    <w:multiLevelType w:val="hybridMultilevel"/>
    <w:lvl w:ilvl="0">
      <w:lvlJc w:val="left"/>
      <w:lvlText w:val="-"/>
      <w:numFmt w:val="bullet"/>
      <w:start w:val="1"/>
    </w:lvl>
  </w:abstractNum>
  <w:abstractNum w:abstractNumId="53">
    <w:nsid w:val="4AD084E9"/>
    <w:multiLevelType w:val="hybridMultilevel"/>
    <w:lvl w:ilvl="0">
      <w:lvlJc w:val="left"/>
      <w:lvlText w:val="-"/>
      <w:numFmt w:val="bullet"/>
      <w:start w:val="1"/>
    </w:lvl>
  </w:abstractNum>
  <w:abstractNum w:abstractNumId="54">
    <w:nsid w:val="1F48EAA1"/>
    <w:multiLevelType w:val="hybridMultilevel"/>
    <w:lvl w:ilvl="0">
      <w:lvlJc w:val="left"/>
      <w:lvlText w:val="-"/>
      <w:numFmt w:val="bullet"/>
      <w:start w:val="1"/>
    </w:lvl>
  </w:abstractNum>
  <w:abstractNum w:abstractNumId="55">
    <w:nsid w:val="1381823A"/>
    <w:multiLevelType w:val="hybridMultilevel"/>
    <w:lvl w:ilvl="0">
      <w:lvlJc w:val="left"/>
      <w:lvlText w:val="-"/>
      <w:numFmt w:val="bullet"/>
      <w:start w:val="1"/>
    </w:lvl>
  </w:abstractNum>
  <w:abstractNum w:abstractNumId="56">
    <w:nsid w:val="5DB70AE5"/>
    <w:multiLevelType w:val="hybridMultilevel"/>
    <w:lvl w:ilvl="0">
      <w:lvlJc w:val="left"/>
      <w:lvlText w:val="-"/>
      <w:numFmt w:val="bullet"/>
      <w:start w:val="1"/>
    </w:lvl>
  </w:abstractNum>
  <w:abstractNum w:abstractNumId="57">
    <w:nsid w:val="100F8FCA"/>
    <w:multiLevelType w:val="hybridMultilevel"/>
    <w:lvl w:ilvl="0">
      <w:lvlJc w:val="left"/>
      <w:lvlText w:val="(%1)"/>
      <w:numFmt w:val="decimal"/>
      <w:start w:val="1"/>
    </w:lvl>
  </w:abstractNum>
  <w:abstractNum w:abstractNumId="58">
    <w:nsid w:val="6590700B"/>
    <w:multiLevelType w:val="hybridMultilevel"/>
    <w:lvl w:ilvl="0">
      <w:lvlJc w:val="left"/>
      <w:lvlText w:val="-"/>
      <w:numFmt w:val="bullet"/>
      <w:start w:val="1"/>
    </w:lvl>
  </w:abstractNum>
  <w:abstractNum w:abstractNumId="59">
    <w:nsid w:val="15014ACB"/>
    <w:multiLevelType w:val="hybridMultilevel"/>
    <w:lvl w:ilvl="0">
      <w:lvlJc w:val="left"/>
      <w:lvlText w:val="-"/>
      <w:numFmt w:val="bullet"/>
      <w:start w:val="1"/>
    </w:lvl>
  </w:abstractNum>
  <w:abstractNum w:abstractNumId="60">
    <w:nsid w:val="5F5E7FD0"/>
    <w:multiLevelType w:val="hybridMultilevel"/>
    <w:lvl w:ilvl="0">
      <w:lvlJc w:val="left"/>
      <w:lvlText w:val="-"/>
      <w:numFmt w:val="bullet"/>
      <w:start w:val="1"/>
    </w:lvl>
  </w:abstractNum>
  <w:abstractNum w:abstractNumId="61">
    <w:nsid w:val="98A3148"/>
    <w:multiLevelType w:val="hybridMultilevel"/>
    <w:lvl w:ilvl="0">
      <w:lvlJc w:val="left"/>
      <w:lvlText w:val="-"/>
      <w:numFmt w:val="bullet"/>
      <w:start w:val="1"/>
    </w:lvl>
  </w:abstractNum>
  <w:abstractNum w:abstractNumId="62">
    <w:nsid w:val="799D0247"/>
    <w:multiLevelType w:val="hybridMultilevel"/>
    <w:lvl w:ilvl="0">
      <w:lvlJc w:val="left"/>
      <w:lvlText w:val="(%1)"/>
      <w:numFmt w:val="lowerLetter"/>
      <w:start w:val="1"/>
    </w:lvl>
  </w:abstractNum>
  <w:abstractNum w:abstractNumId="63">
    <w:nsid w:val="6B94764"/>
    <w:multiLevelType w:val="hybridMultilevel"/>
    <w:lvl w:ilvl="0">
      <w:lvlJc w:val="left"/>
      <w:lvlText w:val="(%1)"/>
      <w:numFmt w:val="lowerLetter"/>
      <w:start w:val="2"/>
    </w:lvl>
  </w:abstractNum>
  <w:abstractNum w:abstractNumId="64">
    <w:nsid w:val="42C296BD"/>
    <w:multiLevelType w:val="hybridMultilevel"/>
    <w:lvl w:ilvl="0">
      <w:lvlJc w:val="left"/>
      <w:lvlText w:val="(%1)"/>
      <w:numFmt w:val="lowerLetter"/>
      <w:start w:val="4"/>
    </w:lvl>
  </w:abstractNum>
  <w:abstractNum w:abstractNumId="65">
    <w:nsid w:val="168E121F"/>
    <w:multiLevelType w:val="hybridMultilevel"/>
    <w:lvl w:ilvl="0">
      <w:lvlJc w:val="left"/>
      <w:lvlText w:val="(%1)"/>
      <w:numFmt w:val="lowerRoman"/>
      <w:start w:val="1"/>
    </w:lvl>
  </w:abstractNum>
  <w:abstractNum w:abstractNumId="66">
    <w:nsid w:val="1EBA5D23"/>
    <w:multiLevelType w:val="hybridMultilevel"/>
    <w:lvl w:ilvl="0">
      <w:lvlJc w:val="left"/>
      <w:lvlText w:val="(%1)"/>
      <w:numFmt w:val="lowerRoman"/>
      <w:start w:val="3"/>
    </w:lvl>
  </w:abstractNum>
  <w:abstractNum w:abstractNumId="67">
    <w:nsid w:val="661E3F1E"/>
    <w:multiLevelType w:val="hybridMultilevel"/>
    <w:lvl w:ilvl="0">
      <w:lvlJc w:val="left"/>
      <w:lvlText w:val="(%1)"/>
      <w:numFmt w:val="lowerLetter"/>
      <w:start w:val="5"/>
    </w:lvl>
  </w:abstractNum>
  <w:abstractNum w:abstractNumId="68">
    <w:nsid w:val="5DC79EA8"/>
    <w:multiLevelType w:val="hybridMultilevel"/>
    <w:lvl w:ilvl="0">
      <w:lvlJc w:val="left"/>
      <w:lvlText w:val="5"/>
      <w:numFmt w:val="bullet"/>
      <w:start w:val="1"/>
    </w:lvl>
  </w:abstractNum>
  <w:abstractNum w:abstractNumId="69">
    <w:nsid w:val="540A471C"/>
    <w:multiLevelType w:val="hybridMultilevel"/>
    <w:lvl w:ilvl="0">
      <w:lvlJc w:val="left"/>
      <w:lvlText w:val="-"/>
      <w:numFmt w:val="bullet"/>
      <w:start w:val="1"/>
    </w:lvl>
    <w:lvl w:ilvl="1">
      <w:lvlJc w:val="left"/>
      <w:lvlText w:val="*"/>
      <w:numFmt w:val="bullet"/>
      <w:start w:val="1"/>
    </w:lvl>
  </w:abstractNum>
  <w:abstractNum w:abstractNumId="70">
    <w:nsid w:val="7BD3EE7B"/>
    <w:multiLevelType w:val="hybridMultilevel"/>
    <w:lvl w:ilvl="0">
      <w:lvlJc w:val="left"/>
      <w:lvlText w:val="-"/>
      <w:numFmt w:val="bullet"/>
      <w:start w:val="1"/>
    </w:lvl>
    <w:lvl w:ilvl="1">
      <w:lvlJc w:val="left"/>
      <w:lvlText w:val="**"/>
      <w:numFmt w:val="bullet"/>
      <w:start w:val="1"/>
    </w:lvl>
  </w:abstractNum>
  <w:abstractNum w:abstractNumId="71">
    <w:nsid w:val="51D9C564"/>
    <w:multiLevelType w:val="hybridMultilevel"/>
    <w:lvl w:ilvl="0">
      <w:lvlJc w:val="left"/>
      <w:lvlText w:val="(%1)"/>
      <w:numFmt w:val="decimal"/>
      <w:start w:val="1"/>
    </w:lvl>
    <w:lvl w:ilvl="1">
      <w:lvlJc w:val="left"/>
      <w:lvlText w:val="(%2)"/>
      <w:numFmt w:val="lowerRoman"/>
      <w:start w:val="1"/>
    </w:lvl>
  </w:abstractNum>
  <w:abstractNum w:abstractNumId="72">
    <w:nsid w:val="613EFDC5"/>
    <w:multiLevelType w:val="hybridMultilevel"/>
    <w:lvl w:ilvl="0">
      <w:lvlJc w:val="left"/>
      <w:lvlText w:val="-"/>
      <w:numFmt w:val="bullet"/>
      <w:start w:val="1"/>
    </w:lvl>
  </w:abstractNum>
  <w:abstractNum w:abstractNumId="73">
    <w:nsid w:val="BF72B14"/>
    <w:multiLevelType w:val="hybridMultilevel"/>
    <w:lvl w:ilvl="0">
      <w:lvlJc w:val="left"/>
      <w:lvlText w:val="-"/>
      <w:numFmt w:val="bullet"/>
      <w:start w:val="1"/>
    </w:lvl>
  </w:abstractNum>
  <w:abstractNum w:abstractNumId="74">
    <w:nsid w:val="11447B73"/>
    <w:multiLevelType w:val="hybridMultilevel"/>
    <w:lvl w:ilvl="0">
      <w:lvlJc w:val="left"/>
      <w:lvlText w:val="-"/>
      <w:numFmt w:val="bullet"/>
      <w:start w:val="1"/>
    </w:lvl>
  </w:abstractNum>
  <w:abstractNum w:abstractNumId="75">
    <w:nsid w:val="42963E5A"/>
    <w:multiLevelType w:val="hybridMultilevel"/>
    <w:lvl w:ilvl="0">
      <w:lvlJc w:val="left"/>
      <w:lvlText w:val="-"/>
      <w:numFmt w:val="bullet"/>
      <w:start w:val="1"/>
    </w:lvl>
  </w:abstractNum>
  <w:abstractNum w:abstractNumId="76">
    <w:nsid w:val="A0382C5"/>
    <w:multiLevelType w:val="hybridMultilevel"/>
    <w:lvl w:ilvl="0">
      <w:lvlJc w:val="left"/>
      <w:lvlText w:val="5"/>
      <w:numFmt w:val="bullet"/>
      <w:start w:val="1"/>
    </w:lvl>
  </w:abstractNum>
  <w:abstractNum w:abstractNumId="77">
    <w:nsid w:val="8F2B15E"/>
    <w:multiLevelType w:val="hybridMultilevel"/>
    <w:lvl w:ilvl="0">
      <w:lvlJc w:val="left"/>
      <w:lvlText w:val="-"/>
      <w:numFmt w:val="bullet"/>
      <w:start w:val="1"/>
    </w:lvl>
    <w:lvl w:ilvl="1">
      <w:lvlJc w:val="left"/>
      <w:lvlText w:val="*"/>
      <w:numFmt w:val="bullet"/>
      <w:start w:val="1"/>
    </w:lvl>
  </w:abstractNum>
  <w:abstractNum w:abstractNumId="78">
    <w:nsid w:val="1A32234B"/>
    <w:multiLevelType w:val="hybridMultilevel"/>
    <w:lvl w:ilvl="0">
      <w:lvlJc w:val="left"/>
      <w:lvlText w:val="-"/>
      <w:numFmt w:val="bullet"/>
      <w:start w:val="1"/>
    </w:lvl>
    <w:lvl w:ilvl="1">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2019-12-14T06:07:06Z</dcterms:created>
  <dcterms:modified xsi:type="dcterms:W3CDTF">2019-12-14T06:07:06Z</dcterms:modified>
</cp:coreProperties>
</file>