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6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1-38962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48"/>
        </w:rPr>
      </w:pPr>
      <w:r>
        <w:rPr>
          <w:rFonts w:ascii="Times New Roman;serif" w:hAnsi="Times New Roman;serif"/>
          <w:b/>
          <w:color w:val="000000"/>
          <w:sz w:val="48"/>
        </w:rPr>
        <w:t>FISERV,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240"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433"/>
        <w:gridCol w:w="433"/>
        <w:gridCol w:w="618"/>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Wisconsin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39-1506125</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 R. 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600 N. Vel R. Phillips Avenue, Milwaukee, WI 53203</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(262) 879-5000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20"/>
        </w:rPr>
        <w: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FISV28C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3.750%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 Senior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FISV36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0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0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00" w:after="283"/>
              <w:jc w:val="center"/>
              <w:rPr>
                <w:color w:val="000000"/>
              </w:rPr>
            </w:pPr>
            <w:r>
              <w:rPr>
                <w:color w:val="000000"/>
              </w:rPr>
              <w:t>☐</w:t>
            </w:r>
          </w:p>
        </w:tc>
      </w:tr>
    </w:tbl>
    <w:p>
      <w:pPr>
        <w:pStyle w:val="TextBody"/>
        <w:bidi w:val="0"/>
        <w:spacing w:lineRule="auto" w:line="288" w:before="1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July 31, 2026, there were 531,766,721 shares of common stock, $0.01 par value, of the registrant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2" name="Frame2"/>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9596" w:type="dxa"/>
        <w:jc w:val="right"/>
        <w:tblInd w:w="0" w:type="dxa"/>
        <w:tblLayout w:type="fixed"/>
        <w:tblCellMar>
          <w:top w:w="28" w:type="dxa"/>
          <w:left w:w="28" w:type="dxa"/>
          <w:bottom w:w="28" w:type="dxa"/>
          <w:right w:w="28" w:type="dxa"/>
        </w:tblCellMar>
      </w:tblPr>
      <w:tblGrid>
        <w:gridCol w:w="612"/>
        <w:gridCol w:w="539"/>
        <w:gridCol w:w="539"/>
        <w:gridCol w:w="2448"/>
        <w:gridCol w:w="2448"/>
        <w:gridCol w:w="2469"/>
        <w:gridCol w:w="158"/>
        <w:gridCol w:w="158"/>
        <w:gridCol w:w="225"/>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10">
              <w:r>
                <w:rPr>
                  <w:rStyle w:val="InternetLink"/>
                  <w:rFonts w:ascii="Times New Roman;serif" w:hAnsi="Times New Roman;serif"/>
                  <w:b w:val="false"/>
                  <w:color w:val="0000FF"/>
                  <w:sz w:val="20"/>
                  <w:u w:val="single"/>
                </w:rPr>
                <w:t>PART I – FINANCIAL INFORMATION</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13">
              <w:r>
                <w:rPr>
                  <w:rStyle w:val="InternetLink"/>
                  <w:rFonts w:ascii="Times New Roman;serif" w:hAnsi="Times New Roman;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16">
              <w:r>
                <w:rPr>
                  <w:rStyle w:val="InternetLink"/>
                  <w:rFonts w:ascii="Times New Roman;serif" w:hAnsi="Times New Roman;serif"/>
                  <w:b w:val="false"/>
                  <w:color w:val="0000FF"/>
                  <w:sz w:val="20"/>
                  <w:u w:val="single"/>
                </w:rPr>
                <w:t>Consolidated Statements of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16">
              <w:r>
                <w:rPr>
                  <w:rStyle w:val="InternetLink"/>
                  <w:rFonts w:ascii="Times New Roman;serif" w:hAnsi="Times New Roman;serif"/>
                  <w:b w:val="false"/>
                  <w:strike w:val="false"/>
                  <w:dstrike w:val="false"/>
                  <w:color w:val="000000"/>
                  <w:sz w:val="20"/>
                  <w:u w:val="none"/>
                  <w:effect w:val="none"/>
                </w:rPr>
                <w:t>1</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19">
              <w:r>
                <w:rPr>
                  <w:rStyle w:val="InternetLink"/>
                  <w:rFonts w:ascii="Times New Roman;serif" w:hAnsi="Times New Roman;serif"/>
                  <w:b w:val="false"/>
                  <w:color w:val="0000FF"/>
                  <w:sz w:val="20"/>
                  <w:u w:val="single"/>
                </w:rPr>
                <w:t>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19">
              <w:r>
                <w:rPr>
                  <w:rStyle w:val="InternetLink"/>
                  <w:rFonts w:ascii="Times New Roman;serif" w:hAnsi="Times New Roman;serif"/>
                  <w:b w:val="false"/>
                  <w:strike w:val="false"/>
                  <w:dstrike w:val="false"/>
                  <w:color w:val="000000"/>
                  <w:sz w:val="20"/>
                  <w:u w:val="none"/>
                  <w:effect w:val="none"/>
                </w:rPr>
                <w:t>2</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2">
              <w:r>
                <w:rPr>
                  <w:rStyle w:val="InternetLink"/>
                  <w:rFonts w:ascii="Times New Roman;serif" w:hAnsi="Times New Roman;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22">
              <w:r>
                <w:rPr>
                  <w:rStyle w:val="InternetLink"/>
                  <w:rFonts w:ascii="Times New Roman;serif" w:hAnsi="Times New Roman;serif"/>
                  <w:b w:val="false"/>
                  <w:strike w:val="false"/>
                  <w:dstrike w:val="false"/>
                  <w:color w:val="000000"/>
                  <w:sz w:val="20"/>
                  <w:u w:val="none"/>
                  <w:effect w:val="none"/>
                </w:rPr>
                <w:t>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5">
              <w:r>
                <w:rPr>
                  <w:rStyle w:val="InternetLink"/>
                  <w:rFonts w:ascii="Times New Roman;serif" w:hAnsi="Times New Roman;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25">
              <w:r>
                <w:rPr>
                  <w:rStyle w:val="InternetLink"/>
                  <w:rFonts w:ascii="Times New Roman;serif" w:hAnsi="Times New Roman;serif"/>
                  <w:b w:val="false"/>
                  <w:strike w:val="false"/>
                  <w:dstrike w:val="false"/>
                  <w:color w:val="000000"/>
                  <w:sz w:val="20"/>
                  <w:u w:val="none"/>
                  <w:effect w:val="none"/>
                </w:rPr>
                <w:t>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8">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28">
              <w:r>
                <w:rPr>
                  <w:rStyle w:val="InternetLink"/>
                  <w:rFonts w:ascii="Times New Roman;serif" w:hAnsi="Times New Roman;serif"/>
                  <w:b w:val="false"/>
                  <w:strike w:val="false"/>
                  <w:dstrike w:val="false"/>
                  <w:color w:val="000000"/>
                  <w:sz w:val="20"/>
                  <w:u w:val="none"/>
                  <w:effect w:val="none"/>
                </w:rPr>
                <w:t>6</w:t>
              </w:r>
            </w:hyperlink>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16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169">
              <w:r>
                <w:rPr>
                  <w:rStyle w:val="InternetLink"/>
                  <w:rFonts w:ascii="Times New Roman;serif" w:hAnsi="Times New Roman;serif"/>
                  <w:b w:val="false"/>
                  <w:strike w:val="false"/>
                  <w:dstrike w:val="false"/>
                  <w:color w:val="000000"/>
                  <w:sz w:val="20"/>
                  <w:u w:val="none"/>
                  <w:effect w:val="none"/>
                </w:rPr>
                <w:t>34</w:t>
              </w:r>
            </w:hyperlink>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53">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253">
              <w:r>
                <w:rPr>
                  <w:rStyle w:val="InternetLink"/>
                  <w:rFonts w:ascii="Times New Roman;serif" w:hAnsi="Times New Roman;serif"/>
                  <w:b w:val="false"/>
                  <w:strike w:val="false"/>
                  <w:dstrike w:val="false"/>
                  <w:color w:val="000000"/>
                  <w:sz w:val="20"/>
                  <w:u w:val="none"/>
                  <w:effect w:val="none"/>
                </w:rPr>
                <w:t>50</w:t>
              </w:r>
            </w:hyperlink>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56">
              <w:r>
                <w:rPr>
                  <w:rStyle w:val="InternetLink"/>
                  <w:rFonts w:ascii="Times New Roman;serif" w:hAnsi="Times New Roman;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256">
              <w:r>
                <w:rPr>
                  <w:rStyle w:val="InternetLink"/>
                  <w:rFonts w:ascii="Times New Roman;serif" w:hAnsi="Times New Roman;serif"/>
                  <w:b w:val="false"/>
                  <w:strike w:val="false"/>
                  <w:dstrike w:val="false"/>
                  <w:color w:val="000000"/>
                  <w:sz w:val="20"/>
                  <w:u w:val="none"/>
                  <w:effect w:val="none"/>
                </w:rPr>
                <w:t>50</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59">
              <w:r>
                <w:rPr>
                  <w:rStyle w:val="InternetLink"/>
                  <w:rFonts w:ascii="Times New Roman;serif" w:hAnsi="Times New Roman;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62">
              <w:r>
                <w:rPr>
                  <w:rStyle w:val="InternetLink"/>
                  <w:rFonts w:ascii="Times New Roman;serif" w:hAnsi="Times New Roman;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262">
              <w:r>
                <w:rPr>
                  <w:rStyle w:val="InternetLink"/>
                  <w:rFonts w:ascii="Times New Roman;serif" w:hAnsi="Times New Roman;serif"/>
                  <w:b w:val="false"/>
                  <w:strike w:val="false"/>
                  <w:dstrike w:val="false"/>
                  <w:color w:val="000000"/>
                  <w:sz w:val="20"/>
                  <w:u w:val="none"/>
                  <w:effect w:val="none"/>
                </w:rPr>
                <w:t>51</w:t>
              </w:r>
            </w:hyperlink>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65">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265">
              <w:r>
                <w:rPr>
                  <w:rStyle w:val="InternetLink"/>
                  <w:rFonts w:ascii="Times New Roman;serif" w:hAnsi="Times New Roman;serif"/>
                  <w:b w:val="false"/>
                  <w:strike w:val="false"/>
                  <w:dstrike w:val="false"/>
                  <w:color w:val="000000"/>
                  <w:sz w:val="20"/>
                  <w:u w:val="none"/>
                  <w:effect w:val="none"/>
                </w:rPr>
                <w:t>51</w:t>
              </w:r>
            </w:hyperlink>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68">
              <w:r>
                <w:rPr>
                  <w:rStyle w:val="InternetLink"/>
                  <w:rFonts w:ascii="Times New Roman;serif" w:hAnsi="Times New Roman;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268">
              <w:r>
                <w:rPr>
                  <w:rStyle w:val="InternetLink"/>
                  <w:rFonts w:ascii="Times New Roman;serif" w:hAnsi="Times New Roman;serif"/>
                  <w:b w:val="false"/>
                  <w:strike w:val="false"/>
                  <w:dstrike w:val="false"/>
                  <w:color w:val="000000"/>
                  <w:sz w:val="20"/>
                  <w:u w:val="none"/>
                  <w:effect w:val="none"/>
                </w:rPr>
                <w:t>51</w:t>
              </w:r>
            </w:hyperlink>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74">
              <w:r>
                <w:rPr>
                  <w:rStyle w:val="InternetLink"/>
                  <w:rFonts w:ascii="Times New Roman;serif" w:hAnsi="Times New Roman;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21025f6a84fa7937e5102a4a493a6_274">
              <w:r>
                <w:rPr>
                  <w:rStyle w:val="InternetLink"/>
                  <w:rFonts w:ascii="Times New Roman;serif" w:hAnsi="Times New Roman;serif"/>
                  <w:b w:val="false"/>
                  <w:strike w:val="false"/>
                  <w:dstrike w:val="false"/>
                  <w:color w:val="000000"/>
                  <w:sz w:val="20"/>
                  <w:u w:val="none"/>
                  <w:effect w:val="none"/>
                </w:rPr>
                <w:t>51</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77">
              <w:r>
                <w:rPr>
                  <w:rStyle w:val="InternetLink"/>
                  <w:rFonts w:ascii="Times New Roman;serif" w:hAnsi="Times New Roman;serif"/>
                  <w:b w:val="false"/>
                  <w:color w:val="0000FF"/>
                  <w:sz w:val="20"/>
                  <w:u w:val="single"/>
                </w:rPr>
                <w:t>Exhibit Index</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21025f6a84fa7937e5102a4a493a6_280">
              <w:r>
                <w:rPr>
                  <w:rStyle w:val="InternetLink"/>
                  <w:rFonts w:ascii="Times New Roman;serif" w:hAnsi="Times New Roman;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Fiserv,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Income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 share data)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100"/>
        <w:gridCol w:w="1803"/>
        <w:gridCol w:w="1831"/>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5"/>
      </w:tblGrid>
      <w:tr>
        <w:trPr/>
        <w:tc>
          <w:tcPr>
            <w:tcW w:w="2100"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Processing and services </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processing and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sale of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debt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income (loss) from investments in unconsolidated affiliates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investments in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Fiserv,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Fiserv, Inc. per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net income attributable to Fiserv, Inc. per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processing and other fees charged to related party investments accounted for under the equity method of $20 million for each of the three months ended June 30, 2026 and 2025, and $38 million and $56 million for the six months ended June 30, 2026 and 2025, respectively (see Note 6).</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Fiserv,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Comprehensive Income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044"/>
        <w:gridCol w:w="1761"/>
        <w:gridCol w:w="1778"/>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04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market value adjustment on derivatives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realized losses on cash flow hedges included in cost of processing and services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realized losses on cash flow hedges included in net interest expense (see Note 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impacts of derivatives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58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Tax impacts of foreign currency translation (see Note 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(loss)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Fiserv,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Fiserv,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9048" w:type="dxa"/>
        <w:jc w:val="center"/>
        <w:tblInd w:w="0" w:type="dxa"/>
        <w:tblLayout w:type="fixed"/>
        <w:tblCellMar>
          <w:top w:w="28" w:type="dxa"/>
          <w:left w:w="28" w:type="dxa"/>
          <w:bottom w:w="28" w:type="dxa"/>
          <w:right w:w="28" w:type="dxa"/>
        </w:tblCellMar>
      </w:tblPr>
      <w:tblGrid>
        <w:gridCol w:w="2380"/>
        <w:gridCol w:w="2092"/>
        <w:gridCol w:w="2113"/>
        <w:gridCol w:w="196"/>
        <w:gridCol w:w="646"/>
        <w:gridCol w:w="109"/>
        <w:gridCol w:w="109"/>
        <w:gridCol w:w="109"/>
        <w:gridCol w:w="109"/>
        <w:gridCol w:w="233"/>
        <w:gridCol w:w="769"/>
        <w:gridCol w:w="183"/>
      </w:tblGrid>
      <w:tr>
        <w:trPr/>
        <w:tc>
          <w:tcPr>
            <w:tcW w:w="2380"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 less allowance for doubtful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costs,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affiliates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80,133 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Equity</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and current maturities of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associated with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17)</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Fiserv, Inc. Shareholders’ Equity: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no par value: 25 million shares authorized; none issued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1,800 million shares authorized; 784 million shares issued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253 million and 250 million shares,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Fiserv, Inc. shareholders’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80,133 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Fiserv,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9308" w:type="dxa"/>
        <w:jc w:val="left"/>
        <w:tblInd w:w="0" w:type="dxa"/>
        <w:tblLayout w:type="fixed"/>
        <w:tblCellMar>
          <w:top w:w="28" w:type="dxa"/>
          <w:left w:w="28" w:type="dxa"/>
          <w:bottom w:w="28" w:type="dxa"/>
          <w:right w:w="28" w:type="dxa"/>
        </w:tblCellMar>
      </w:tblPr>
      <w:tblGrid>
        <w:gridCol w:w="2613"/>
        <w:gridCol w:w="2292"/>
        <w:gridCol w:w="2309"/>
        <w:gridCol w:w="196"/>
        <w:gridCol w:w="556"/>
        <w:gridCol w:w="109"/>
        <w:gridCol w:w="109"/>
        <w:gridCol w:w="109"/>
        <w:gridCol w:w="109"/>
        <w:gridCol w:w="196"/>
        <w:gridCol w:w="556"/>
        <w:gridCol w:w="154"/>
      </w:tblGrid>
      <w:tr>
        <w:trPr/>
        <w:tc>
          <w:tcPr>
            <w:tcW w:w="2613"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other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acquisition-related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financing costs and debt discounts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sale of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early debt extinguishment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investments in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Originations of merchant cash advances,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repayments and sales of merchant cash advances, originally classified as held for sale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Distributions from unconsolidated affiliates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foreign currency exchange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effects from acquisitions: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including capitalized software and other intangibles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Merchant cash advances, including Clover Capital program</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and sales of merchant cash advances, including Clover Capital program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anticipation cash advances,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 of businesses,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tbl>
      <w:tblPr>
        <w:tblW w:w="9279" w:type="dxa"/>
        <w:jc w:val="left"/>
        <w:tblInd w:w="0" w:type="dxa"/>
        <w:tblLayout w:type="fixed"/>
        <w:tblCellMar>
          <w:top w:w="28" w:type="dxa"/>
          <w:left w:w="28" w:type="dxa"/>
          <w:bottom w:w="28" w:type="dxa"/>
          <w:right w:w="28" w:type="dxa"/>
        </w:tblCellMar>
      </w:tblPr>
      <w:tblGrid>
        <w:gridCol w:w="2185"/>
        <w:gridCol w:w="1927"/>
        <w:gridCol w:w="1933"/>
        <w:gridCol w:w="303"/>
        <w:gridCol w:w="859"/>
        <w:gridCol w:w="168"/>
        <w:gridCol w:w="168"/>
        <w:gridCol w:w="168"/>
        <w:gridCol w:w="168"/>
        <w:gridCol w:w="303"/>
        <w:gridCol w:w="859"/>
        <w:gridCol w:w="238"/>
      </w:tblGrid>
      <w:tr>
        <w:trPr/>
        <w:tc>
          <w:tcPr>
            <w:tcW w:w="218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2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Fiserv, Inc.</w:t>
            </w:r>
          </w:p>
        </w:tc>
      </w:tr>
      <w:tr>
        <w:trPr/>
        <w:tc>
          <w:tcPr>
            <w:tcW w:w="92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Cash Flows (cont.)</w:t>
            </w:r>
          </w:p>
        </w:tc>
      </w:tr>
      <w:tr>
        <w:trPr/>
        <w:tc>
          <w:tcPr>
            <w:tcW w:w="92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r>
      <w:tr>
        <w:trPr/>
        <w:tc>
          <w:tcPr>
            <w:tcW w:w="92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proceeds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repayments, including redemption and other costs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(repayments of) borrowings from commercial paper and short-term borrowings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financing costs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treasury stock</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 including employee shares withheld for tax obligations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activity, net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to acquire noncontrolling interest of consolidated subsidiary</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balance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ending balance</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Fiserv,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for the three and six months ended June 30, 2026 and 2025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2025.</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for partnerships and limited liability companies, an ownership interest of between 3% and 50%; or board of director representation may also constitute significant influence.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entities of which the Company maintains a majority controlling financial interest represent the minority shareholders’ share of the net income or loss and equity in consolidated subsidiaries and are presented as a separate line item within the consolidated statements of income and as a component of equity in the consolidated balance sheets.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and investments with original maturities of 90 days or less and are stated at cost in the consolidated balance sheets, which approximates market value.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 Cash and cash equivalents that are restricted from use due to contractual or legal restrictions are included in other long-term assets in the consolidated balance sheets.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between cash and cash equivalents on the consolidated balance sheets and the consolidated statements of cash flows:</w:t>
      </w:r>
    </w:p>
    <w:tbl>
      <w:tblPr>
        <w:tblW w:w="10205" w:type="dxa"/>
        <w:jc w:val="left"/>
        <w:tblInd w:w="0" w:type="dxa"/>
        <w:tblLayout w:type="fixed"/>
        <w:tblCellMar>
          <w:top w:w="28" w:type="dxa"/>
          <w:left w:w="28" w:type="dxa"/>
          <w:bottom w:w="28" w:type="dxa"/>
          <w:right w:w="28" w:type="dxa"/>
        </w:tblCellMar>
      </w:tblPr>
      <w:tblGrid>
        <w:gridCol w:w="1922"/>
        <w:gridCol w:w="1644"/>
        <w:gridCol w:w="1648"/>
        <w:gridCol w:w="270"/>
        <w:gridCol w:w="791"/>
        <w:gridCol w:w="139"/>
        <w:gridCol w:w="109"/>
        <w:gridCol w:w="109"/>
        <w:gridCol w:w="109"/>
        <w:gridCol w:w="350"/>
        <w:gridCol w:w="1027"/>
        <w:gridCol w:w="182"/>
        <w:gridCol w:w="109"/>
        <w:gridCol w:w="109"/>
        <w:gridCol w:w="109"/>
        <w:gridCol w:w="270"/>
        <w:gridCol w:w="791"/>
        <w:gridCol w:w="139"/>
        <w:gridCol w:w="109"/>
        <w:gridCol w:w="109"/>
        <w:gridCol w:w="160"/>
      </w:tblGrid>
      <w:tr>
        <w:trPr/>
        <w:tc>
          <w:tcPr>
            <w:tcW w:w="192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40" w:after="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Cash and cash equivalents on the consolidated balance sheets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included in settlement assets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40" w:after="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on the consolidated statements of cash flows</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Allowance for Doubtful Accounts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$86 million and $84 million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Prepaid Expenses and Other Current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8946" w:type="dxa"/>
        <w:jc w:val="left"/>
        <w:tblInd w:w="0" w:type="dxa"/>
        <w:tblLayout w:type="fixed"/>
        <w:tblCellMar>
          <w:top w:w="28" w:type="dxa"/>
          <w:left w:w="28" w:type="dxa"/>
          <w:bottom w:w="28" w:type="dxa"/>
          <w:right w:w="28" w:type="dxa"/>
        </w:tblCellMar>
      </w:tblPr>
      <w:tblGrid>
        <w:gridCol w:w="1897"/>
        <w:gridCol w:w="1665"/>
        <w:gridCol w:w="1687"/>
        <w:gridCol w:w="109"/>
        <w:gridCol w:w="109"/>
        <w:gridCol w:w="109"/>
        <w:gridCol w:w="287"/>
        <w:gridCol w:w="839"/>
        <w:gridCol w:w="148"/>
        <w:gridCol w:w="109"/>
        <w:gridCol w:w="109"/>
        <w:gridCol w:w="109"/>
        <w:gridCol w:w="380"/>
        <w:gridCol w:w="1110"/>
        <w:gridCol w:w="279"/>
      </w:tblGrid>
      <w:tr>
        <w:trPr/>
        <w:tc>
          <w:tcPr>
            <w:tcW w:w="189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 postage and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prepaid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receivables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merchant cash advances, including Clover Capital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Settlement anticipation cash advances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Prepaid expenses represent advance payments for goods and services to be consumed in the future.</w:t>
      </w:r>
    </w:p>
    <w:p>
      <w:pPr>
        <w:pStyle w:val="TextBody"/>
        <w:bidi w:val="0"/>
        <w:spacing w:lineRule="auto" w:line="288" w:before="0" w:after="18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Includes receivables associated with transferable federal tax credits (see Note 14).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offers merchants advance access to capital, primarily through its Clover Capital program. Under this program, merchants sell fixed amounts of their future credit card receivables to the Company in exchange for an up-front purchase price payment. Future credit card receivables purchased by the Company under its merchant cash advance programs, including Clover Capital, were $454 million and $598 million at June 30, 2026 and December 31, 2025, respectively. The Company maintained an allowance for credit losses of $29 million and $34 million at June 30, 2026 and December 31, 2025, respectively. The allowance reflects an estimate of expected credit losses based on collection performance trends, current economic conditions, and reasonable and supportable forecasts. For the six months ended June 30, 2026, merchant cash advances, which are generally collected over a period of six to twelve months, are presented on a gross basis within investing activities in the consolidated statement of cash flows. For the six months ended June 30, 2025, merchant cash advances were presented on a net basis, along with settlement anticipation cash advances as described below, within investing activities in the consolidated statement of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May 2026, the Company entered into asset purchase and sale agreements with certain third parties providing for the monthly sale of certain future credit card receivables originated under the Company’s merchant cash advance programs described above. Aggregate proceeds, subject to additional consideration based upon specified return thresholds (see Note 8), from the sales of merchant cash advance receivables, under these arrangements were $152 million during the six months ended June 30, 2026. The Company recognizes interest-related income earned on, and gains on sales of, merchant cash advances in processing and services revenue in the consolidated statements of income (see Note 3).</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classifies merchant cash advances as held for investment when it has the intent and ability to hold the receivables for the foreseeable future, until maturity, or until payoff. The Company classifies merchant cash advances as held for sale when it has both the intent and ability to sell all of its rights, title, and interest in the receivables to third-party investors.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Transfers of receivables originated under the Company’s merchant cash advance programs to third-party investors are accounted for as sales when control has transferred and the transferred assets are legally isolated. The Company continues to service sold receivables and receives a market-based fee for servicing such third party receivables. The respective third parties maintain contractual rights, in their sole discretion, to terminate the asset servicing agreements or dissolve the entities that are party to the asset purchase and sale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Advances classified as held for sale at origination are presented as a component of cash flows from operating activities, while advances held for investment at origination are presented as a component of cash flows from investing activities in the consolidated statement of cash flows. There were no merchant cash advances classified as held for sale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offers merchants within its international operations advance access to capital through its settlement anticipation program. Under this program, the Company provides merchants the opportunity to receive settlement cash payments in advance in exchange for their receivables from card issuers, including when cardholders have elected to pay over time in installments. These local currency denominated arrangements are primarily associated with the Company’s operations in Latin America, the most significant of which are denominated in Argentine Peso and Brazilian Real. Settlement anticipation cash advances, the majority of which are collected within 30 days, are presented on a net basis within investing activities in the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Settlement Assets and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merchant settlement assets (included within settlement receivables) that relate to settlement obligations are held by partner banks. Although the Company does not have legal ownership of these assets, it has the right to use them to satisfy the related settlement obligations. The Company records settlement obligations for amounts payable to merchants and for outstanding payment instruments issued to payees that have not yet been presented for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Assets Held For 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classifies assets (or an asset disposal group) as held for sale when there is a committed plan to sell, the assets are ready and actively being marketed, and it is probable that the sale will be completed within one year at a reasonable price. Assets, and any associated liabilities, classified as held for sale are presented separately in the consolidated balance sheets and are measured at the lower of their carrying amount or fair value less costs to sell. Upon classification as held for sale, the Company ceases depreciation and amortization of the related assets. Any subsequent changes in estimated fair value less costs to sell are recognized as gains or losses in the consolidated statements of income. Additional information regarding the Company’s assets held for sale is included in Note 4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Allowance for Merchant Credit Losses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amount of merchant collateral available to the Company was $518 million and $588 million at June 30, 2026 and December 31, 2025, respectively.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$32 million and $33 million for the three months ended June 30, 2026 and 2025, respectively, and $66 million and $61 million for the six months ended June 30, 2026 and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an allowance for merchant credit losses that are expected to exceed the amount of merchant collateral. The allowance includes estimated losses from anticipated chargebacks and fraud events that have been incurred on merchant payment transactions that have been processed but not yet reported to the Company, which is recorded within accounts payable and other current liabilities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$50 million and $46 million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Property and equipment is reported at cost. Depreciation of property and equipment is computed primarily using the straight-line method over the shorter of the estimated useful life of the asset or the leasehold period, if applicable. During the six months ended June 30, 2026, the Company entered into sale leaseback arrangements for certain of its facilities for an aggregate net sales price of $201 million. The sale of these facilities in the first six months of 2026 resulted in an aggregate gain of $83 million recorded within net gain on sale of assets in the consolidated statement of income. The leasebacks of these facilities are classified as operating leases and are recorded as right-of-use assets and lease liabilities in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w:t>
      </w:r>
      <w:r>
        <w:rPr>
          <w:rFonts w:ascii="Times New Roman;serif" w:hAnsi="Times New Roman;serif"/>
          <w:b w:val="false"/>
          <w:color w:val="000000"/>
          <w:sz w:val="20"/>
        </w:rPr>
        <w:t xml:space="preserve">Goodwill is tested for impairment at a reporting unit level, which is one level below the Company’s operating segments. </w:t>
      </w:r>
    </w:p>
    <w:p>
      <w:pPr>
        <w:pStyle w:val="TextBody"/>
        <w:bidi w:val="0"/>
        <w:spacing w:lineRule="auto" w:line="288" w:before="0" w:after="180"/>
        <w:jc w:val="left"/>
        <w:rPr/>
      </w:pPr>
      <w:r>
        <w:rPr>
          <w:rFonts w:ascii="Times New Roman;serif" w:hAnsi="Times New Roman;serif"/>
          <w:b w:val="false"/>
          <w:color w:val="000000"/>
          <w:sz w:val="20"/>
        </w:rPr>
        <w:t>During its</w:t>
      </w:r>
      <w:r>
        <w:rPr>
          <w:color w:val="000000"/>
          <w:shd w:fill="FFFFFF" w:val="clear"/>
        </w:rPr>
        <w:t xml:space="preserve"> </w:t>
      </w:r>
      <w:r>
        <w:rPr>
          <w:rFonts w:ascii="Times New Roman;serif" w:hAnsi="Times New Roman;serif"/>
          <w:b w:val="false"/>
          <w:color w:val="000000"/>
          <w:sz w:val="20"/>
          <w:shd w:fill="FFFFFF" w:val="clear"/>
        </w:rPr>
        <w:t>annual impairment a</w:t>
      </w:r>
      <w:r>
        <w:rPr>
          <w:rFonts w:ascii="Times New Roman;serif" w:hAnsi="Times New Roman;serif"/>
          <w:b w:val="false"/>
          <w:color w:val="000000"/>
          <w:sz w:val="20"/>
        </w:rPr>
        <w:t xml:space="preserve">ssessment as of October 1, 2025, the Company performed a quantitative test for each of its reporting units and determined that its goodwill was not impaired as the estimated fair values exceeded the respective carrying values for each of the Company’s reporting units. Subsequently, the Company determined that a triggering event occurred during the fourth quarter of 2025 due to a significant decline in its stock price, and therefore performed an additional quantitative goodwill impairment test for all reporting units as of December 31, 2025. The Company determined that its goodwill was not impaired as of December 31, 2025 as the estimated fair values exceeded the respective carrying values for each of the Company’s reporting units. At December 31, 2025, fair values exceeded carrying values by less than 15% for eight of the Company’s reporting units with an aggregate goodwill balance of $18.5 billion. </w:t>
      </w:r>
    </w:p>
    <w:p>
      <w:pPr>
        <w:pStyle w:val="TextBody"/>
        <w:bidi w:val="0"/>
        <w:spacing w:lineRule="auto" w:line="288" w:before="0" w:after="180"/>
        <w:jc w:val="left"/>
        <w:rPr/>
      </w:pPr>
      <w:r>
        <w:rPr>
          <w:rFonts w:ascii="Times New Roman;serif" w:hAnsi="Times New Roman;serif"/>
          <w:b w:val="false"/>
          <w:color w:val="000000"/>
          <w:sz w:val="20"/>
        </w:rPr>
        <w:t xml:space="preserve">The Company determined that there have been no material events or changes during the first six months of 2026 that would impact the estimates and assumptions used in the goodwill impairment test as of December 31, 2025. However, it is reasonably possible that sustained decreases in the Company’s stock price; future developments related to changes in forecasted revenue growth rates or operating margins; changes in the interest or currency exchange rate environments; a shift in strategic initiatives; a deterioration in financial performance within a particular reporting unit; or significant changes in the composition of, or assumptions used in, the quantitative test for certain of the Company’s reporting units (such as an increase in risk-adjusted discount rates) </w:t>
      </w:r>
      <w:r>
        <w:rPr>
          <w:rFonts w:ascii="Times New Roman;serif" w:hAnsi="Times New Roman;serif"/>
          <w:b w:val="false"/>
          <w:color w:val="000000"/>
          <w:sz w:val="20"/>
          <w:shd w:fill="FFFFFF" w:val="clear"/>
        </w:rPr>
        <w:t>could</w:t>
      </w:r>
      <w:r>
        <w:rPr>
          <w:color w:val="000000"/>
        </w:rPr>
        <w:t xml:space="preserve"> </w:t>
      </w:r>
      <w:r>
        <w:rPr>
          <w:rFonts w:ascii="Times New Roman;serif" w:hAnsi="Times New Roman;serif"/>
          <w:b w:val="false"/>
          <w:color w:val="000000"/>
          <w:sz w:val="20"/>
        </w:rPr>
        <w:t>have a material impact on one or more of the estimates and assumptions used to evaluate goodwill impairment in subsequent periods. There is no accumulated goodwill impairment for the Company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Foreign Currency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U.S. dollar is the functional currency of the Company’s U.S.-based and certain foreign-based businesses. Where the functional currency of subsidiaries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of subsidiaries located in Argentina, a highly inflationary economy, resulted in foreign currency exchange losses of $30 million and $46 million for the three months ended June 30, 2026 and 2025, respectively, and $9 million and $64 million for the six months ended June 30, 2026 and 2025, respectively, which is included within other income (expense), net in the consolidated statements of income.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currency-denominated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as economic hedges with creditworthy institutions to limit exposure to changing interest rates and foreign currency rate fluctuations, and not to enter into such derivatives for speculative purposes. Additional information regarding the Company’s derivatives and hedging instruments is included in Note 7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Redeemable Noncontrolling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minority partner in one of the Company’s merchant alliance joint ventures previously maintained a redeemable noncontrolling 1% interest which was presented outside of equity and carried at its estimated redemption value. The minority partner was entitled to a contractually determined share of the entity’s income, and the joint venture agreement contained redemption features whereby the interest held by the minority partner was redeemable either (i) at the option of the holder or (ii) upon the occurrence of an event that was not solely within the Company’s control.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Effective June 2024, the Company and the merchant alliance joint venture minority partner mutually agreed to terminate the joint venture agreement on September 1, 2024. Under the provisions of the separation agreement, the Company redeemed the minority partner’s membership interest in exchange for a future distribution of certain merchant contracts. The distribution of certain merchant contracts for the redemption of the minority partner’s membership interest was settled in the third quarter of 2025, resulting in a gain of $89 million recorded within net gain on sale of assets in the consolidated statement of income. There was no associated tax impact on this gain. The Company maintains an ongoing relationship with the former minority partner to provide processing and other support services following the termination of the joint venture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tbl>
      <w:tblPr>
        <w:tblW w:w="6240" w:type="dxa"/>
        <w:jc w:val="left"/>
        <w:tblInd w:w="0" w:type="dxa"/>
        <w:tblLayout w:type="fixed"/>
        <w:tblCellMar>
          <w:top w:w="28" w:type="dxa"/>
          <w:left w:w="28" w:type="dxa"/>
          <w:bottom w:w="28" w:type="dxa"/>
          <w:right w:w="28" w:type="dxa"/>
        </w:tblCellMar>
      </w:tblPr>
      <w:tblGrid>
        <w:gridCol w:w="640"/>
        <w:gridCol w:w="562"/>
        <w:gridCol w:w="568"/>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w:t>
      </w:r>
    </w:p>
    <w:p>
      <w:pPr>
        <w:pStyle w:val="TextBody"/>
        <w:bidi w:val="0"/>
        <w:spacing w:lineRule="auto" w:line="288" w:before="0" w:after="180"/>
        <w:jc w:val="left"/>
        <w:rPr/>
      </w:pPr>
      <w:r>
        <w:rPr>
          <w:rFonts w:ascii="Times New Roman;serif" w:hAnsi="Times New Roman;serif"/>
          <w:b w:val="false"/>
          <w:color w:val="000000"/>
          <w:sz w:val="20"/>
        </w:rPr>
        <w:t xml:space="preserve">In 2025, the Financial Accounting Standards Board (“FASB”) issued Accounting Standards Update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2025-05”), which provides a practical expedient for estimating expected credit losses on current trade receivables and contract assets by assuming that current conditions persist over the life of these assets. For all entities, the provisions within ASU 2025-05 are effective for annual reporting periods beginning after December 15, 2025, and for interim reporting periods within those annual reporting periods. The provisions within ASU 2025-05 are required to be applied prospectively. The Company adopted ASU 2025-05 effective January 1, 2026, and the adoption did not have a material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0" w:after="180"/>
        <w:jc w:val="left"/>
        <w:rPr/>
      </w:pPr>
      <w:r>
        <w:rPr>
          <w:rFonts w:ascii="Times New Roman;serif" w:hAnsi="Times New Roman;serif"/>
          <w:b w:val="false"/>
          <w:color w:val="000000"/>
          <w:sz w:val="20"/>
        </w:rPr>
        <w:t xml:space="preserve">In 2025, the FASB issued ASU No.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(“ASU 2025-09”), which is intended to more closely align hedge accounting with the economics of an entity’s risk management activities. ASU 2025-09 includes targeted improvements, primarily related to cash flow hedging, involving expanded eligibility for grouping individual forecasted transactions with similar risk exposure; the addition of an alternative model for the application of hedge accounting to cash flow hedges of interest payments on choose-your-rate debt instruments; the ability to designate a variable price component of a forecasted purchase or sale of a nonfinancial asset; and refines the guidance for net written options as hedging instruments and for a dual hedge strategy involving foreign currency denominated debt. For public entities, the provisions within ASU 2025-09 are effective for fiscal years beginning after December 15, 2026, and for interim reporting periods within those fiscal years. The provisions within ASU 2025-09 are required to be applied prospectively. The Company is currently assessing the provisions of ASU 2025-09; however, the Company does not expect the adoption of ASU 2025-09 to have a material impact on its consolidated financial statements and disclosures.</w:t>
      </w:r>
    </w:p>
    <w:p>
      <w:pPr>
        <w:pStyle w:val="TextBody"/>
        <w:bidi w:val="0"/>
        <w:spacing w:lineRule="auto" w:line="288" w:before="0" w:after="180"/>
        <w:jc w:val="left"/>
        <w:rPr/>
      </w:pPr>
      <w:r>
        <w:rPr>
          <w:rFonts w:ascii="Times New Roman;serif" w:hAnsi="Times New Roman;serif"/>
          <w:b w:val="false"/>
          <w:color w:val="000000"/>
          <w:sz w:val="20"/>
        </w:rPr>
        <w:t xml:space="preserve">In 2024, the FASB issued ASU No.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(“ASU 2024-03”), which requires disaggregation of certain expense captions into specified categories in disclosures within the footnotes to the financial statements. Under ASU 2024-03, entities will be required to disaggregate information, in tabular format, about specific natural expense categories underlying certain income statement expense line items that are considered ‘relevant’, such as purchases of inventory, employee compensation, depreciation, and intangible asset amortization. Additionally, ASU 2024-03 requires the disclosure of selling expenses, along with how an entity defines such expenses. For public entities, the provisions within ASU 2024-03 (as further clarified through ASU No. 2025-01,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are effective for the first annual reporting period beginning after December 15, 2026, and for interim reporting periods within annual reporting periods beginning after December 15, 2027. The provisions within ASU 2024-03 are required to be applied prospectively; however, such provisions may be applied retrospectively for all comparative periods following the effective date. The Company is currently assessing the impact the adoption of ASU 2024-03 will have on its consolidated financial statement disclosures.</w:t>
      </w:r>
    </w:p>
    <w:p>
      <w:pPr>
        <w:pStyle w:val="TextBody"/>
        <w:bidi w:val="0"/>
        <w:spacing w:lineRule="auto" w:line="288" w:before="0" w:after="180"/>
        <w:jc w:val="left"/>
        <w:rPr/>
      </w:pPr>
      <w:r>
        <w:rPr>
          <w:rFonts w:ascii="Times New Roman;serif" w:hAnsi="Times New Roman;serif"/>
          <w:b w:val="false"/>
          <w:color w:val="000000"/>
          <w:sz w:val="20"/>
        </w:rPr>
        <w:t xml:space="preserve">In 2025, the FASB issued ASU No. 2025-06, </w:t>
      </w: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(“ASU 2025-06”), to modernize the accounting guidance for costs to develop software for internal use. ASU 2025-06 amends the existing standard that refers to various stages of a software development project to better align with current software development methods, such as agile programming. Under ASU 2025-06, cost capitalization begins when management has authorized and committed to funding the project, and it is probable the project will be completed and the software will be used to perform its intended function. For all entities, the provisions within ASU 2025-06 are effective for fiscal years beginning after December 15, 2027, and for interim reporting periods within those fiscal years. The provisions within ASU 2025-06 can be applied either retrospectively through a cumulative-effect adjustment, prospectively to software costs incurred after the adoption date (on existing, in-process software projects or new projects), or on a modified prospective basis. The Company is currently assessing the impact the adoption of ASU 2025-06 will have on its consolidated financial statements and disclosures.</w:t>
      </w:r>
    </w:p>
    <w:p>
      <w:pPr>
        <w:pStyle w:val="TextBody"/>
        <w:bidi w:val="0"/>
        <w:spacing w:lineRule="auto" w:line="288" w:before="0" w:after="180"/>
        <w:jc w:val="left"/>
        <w:rPr/>
      </w:pPr>
      <w:r>
        <w:rPr>
          <w:rFonts w:ascii="Times New Roman;serif" w:hAnsi="Times New Roman;serif"/>
          <w:b w:val="false"/>
          <w:color w:val="000000"/>
          <w:sz w:val="20"/>
        </w:rPr>
        <w:t xml:space="preserve">In 2025, the FASB issued ASU No. 2025-10, </w:t>
      </w:r>
      <w:r>
        <w:rPr>
          <w:rFonts w:ascii="Times New Roman;serif" w:hAnsi="Times New Roman;serif"/>
          <w:b w:val="false"/>
          <w:i/>
          <w:color w:val="000000"/>
          <w:sz w:val="20"/>
        </w:rPr>
        <w:t xml:space="preserve">Government Grants (Topic 832): Accounting for Government Grants Received by Business Entities </w:t>
      </w:r>
      <w:r>
        <w:rPr>
          <w:rFonts w:ascii="Times New Roman;serif" w:hAnsi="Times New Roman;serif"/>
          <w:b w:val="false"/>
          <w:color w:val="000000"/>
          <w:sz w:val="20"/>
        </w:rPr>
        <w:t>(“ASU 2025-10”), which amends Topic 832 to provide specific guidance on the recognition, measurement, presentation and disclosure of government grants received by business entities, including both monetary and certain non-monetary grants. For public entities, the provisions within ASU 2025-10 are effective for annual and interim periods beginning after December 15, 2028, with early adoption permitted. The provisions within ASU 2025-10 can be applied either on a modified prospective, modified retrospective, or on a retrospective approach through a cumulative-effect adjustment. The Company is currently assessing the impact the adoption of ASU 2025-10 will have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are comprised of the Merchant Solutions (“Merchant”) and the Financial Solutions (“Financial”) reportable segments (see Note 18). The table below presents the Company’s revenue disaggregated by business line and includes a reconciliation with its reportable segments. The Company serves its global client base by working among its geographic teams across various regions, including the U.S. and Canada; Europe, Middle East and Africa (“EMEA”); Latin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America (“LATAM”); and Asia Pacific (“APAC”). The majority of the Company’s revenue is earned in the U.S., with revenue generated within its EMEA, LATAM and APAC regions comprising approximately 16% of total revenue for both the three and six months ended June 30, 2026 and approximately 16% and 15% of total revenue for the three and six months ended June 30, 2025, respectively.</w:t>
      </w:r>
    </w:p>
    <w:tbl>
      <w:tblPr>
        <w:tblW w:w="9345" w:type="dxa"/>
        <w:jc w:val="left"/>
        <w:tblInd w:w="0" w:type="dxa"/>
        <w:tblLayout w:type="fixed"/>
        <w:tblCellMar>
          <w:top w:w="28" w:type="dxa"/>
          <w:left w:w="28" w:type="dxa"/>
          <w:bottom w:w="28" w:type="dxa"/>
          <w:right w:w="28" w:type="dxa"/>
        </w:tblCellMar>
      </w:tblPr>
      <w:tblGrid>
        <w:gridCol w:w="1309"/>
        <w:gridCol w:w="1148"/>
        <w:gridCol w:w="1158"/>
        <w:gridCol w:w="109"/>
        <w:gridCol w:w="109"/>
        <w:gridCol w:w="109"/>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(In millions)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 by Business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Merchant Solutions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Digital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Solutions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Revenue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Total revenue includes $343 million and $667 million for the three and six months ended June 30, 2026, respectively, and $377 million and $708 million for the three and six months ended June 30, 2025, respectively, which represents revenue recognized outside the scope of Accounting Standards Codification (“ASC”) Topic 606, </w:t>
      </w:r>
      <w:r>
        <w:rPr>
          <w:rFonts w:ascii="Times New Roman;serif" w:hAnsi="Times New Roman;serif"/>
          <w:b w:val="false"/>
          <w:i/>
          <w:color w:val="000000"/>
          <w:sz w:val="18"/>
        </w:rPr>
        <w:t>Revenue from Contracts with Customers</w:t>
      </w:r>
      <w:r>
        <w:rPr>
          <w:color w:val="000000"/>
        </w:rPr>
        <w:t xml:space="preserve"> </w:t>
      </w:r>
      <w:r>
        <w:rPr>
          <w:rFonts w:ascii="Times New Roman;serif" w:hAnsi="Times New Roman;serif"/>
          <w:b w:val="false"/>
          <w:color w:val="000000"/>
          <w:sz w:val="18"/>
        </w:rPr>
        <w:t xml:space="preserve">(“ASC 606”). Such revenue primarily consists of interest-related income earned on, and gains on sales of, merchant and settlement anticipation cash advances; interest income earned on short-term investments of subscriber funds and intermediary settlement cash balances; and lease income associated with </w:t>
      </w:r>
      <w:r>
        <w:rPr>
          <w:rFonts w:ascii="Times New Roman;serif" w:hAnsi="Times New Roman;serif"/>
          <w:b w:val="false"/>
          <w:color w:val="000000"/>
          <w:sz w:val="20"/>
        </w:rPr>
        <w:t>point-of-sale (“POS”)</w:t>
      </w:r>
      <w:r>
        <w:rPr>
          <w:color w:val="000000"/>
        </w:rPr>
        <w:t xml:space="preserve"> </w:t>
      </w:r>
      <w:r>
        <w:rPr>
          <w:rFonts w:ascii="Times New Roman;serif" w:hAnsi="Times New Roman;serif"/>
          <w:b w:val="false"/>
          <w:color w:val="000000"/>
          <w:sz w:val="18"/>
        </w:rPr>
        <w:t xml:space="preserve">terminal equipment.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assets and contract liabilities from contracts with customers:</w:t>
      </w:r>
    </w:p>
    <w:tbl>
      <w:tblPr>
        <w:tblW w:w="5020" w:type="dxa"/>
        <w:jc w:val="left"/>
        <w:tblInd w:w="0" w:type="dxa"/>
        <w:tblLayout w:type="fixed"/>
        <w:tblCellMar>
          <w:top w:w="28" w:type="dxa"/>
          <w:left w:w="28" w:type="dxa"/>
          <w:bottom w:w="28" w:type="dxa"/>
          <w:right w:w="28" w:type="dxa"/>
        </w:tblCellMar>
      </w:tblPr>
      <w:tblGrid>
        <w:gridCol w:w="597"/>
        <w:gridCol w:w="524"/>
        <w:gridCol w:w="529"/>
        <w:gridCol w:w="342"/>
        <w:gridCol w:w="756"/>
        <w:gridCol w:w="176"/>
        <w:gridCol w:w="109"/>
        <w:gridCol w:w="109"/>
        <w:gridCol w:w="109"/>
        <w:gridCol w:w="448"/>
        <w:gridCol w:w="992"/>
        <w:gridCol w:w="329"/>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Contract assets, reported within other long-term assets in the consolidated balance sheets, primarily relate to customer discounts (contract incentives) where revenue is recognized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w:t>
      </w:r>
      <w:r>
        <w:rPr>
          <w:rFonts w:ascii="Times New Roman;serif" w:hAnsi="Times New Roman;serif"/>
          <w:b w:val="false"/>
          <w:color w:val="000000"/>
          <w:sz w:val="20"/>
          <w:shd w:fill="FFFFFF" w:val="clear"/>
        </w:rPr>
        <w:t>$572 million</w:t>
      </w:r>
      <w:r>
        <w:rPr>
          <w:color w:val="000000"/>
        </w:rPr>
        <w:t xml:space="preserve"> </w:t>
      </w:r>
      <w:r>
        <w:rPr>
          <w:rFonts w:ascii="Times New Roman;serif" w:hAnsi="Times New Roman;serif"/>
          <w:b w:val="false"/>
          <w:color w:val="000000"/>
          <w:sz w:val="20"/>
        </w:rPr>
        <w:t>of revenue during the six months ended June 30, 2026 that was included in the contract liabilities balance at the beginning of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Transaction Price Allocated to Remaining Performance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estimated processing and services revenue expected to be recognized in the future related to performance obligations that were unsatisfied (or partially unsatisfied) at June 30, 2026:</w:t>
      </w:r>
    </w:p>
    <w:tbl>
      <w:tblPr>
        <w:tblW w:w="3380" w:type="dxa"/>
        <w:jc w:val="center"/>
        <w:tblInd w:w="0" w:type="dxa"/>
        <w:tblLayout w:type="fixed"/>
        <w:tblCellMar>
          <w:top w:w="28" w:type="dxa"/>
          <w:left w:w="28" w:type="dxa"/>
          <w:bottom w:w="28" w:type="dxa"/>
          <w:right w:w="28" w:type="dxa"/>
        </w:tblCellMar>
      </w:tblPr>
      <w:tblGrid>
        <w:gridCol w:w="867"/>
        <w:gridCol w:w="760"/>
        <w:gridCol w:w="772"/>
        <w:gridCol w:w="211"/>
        <w:gridCol w:w="61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Acquisitions, Dispositions and Other Transactions</w:t>
      </w:r>
    </w:p>
    <w:p>
      <w:pPr>
        <w:pStyle w:val="TextBody"/>
        <w:bidi w:val="0"/>
        <w:spacing w:lineRule="auto" w:line="288" w:before="0" w:after="180"/>
        <w:jc w:val="left"/>
        <w:rPr/>
      </w:pPr>
      <w:r>
        <w:rPr>
          <w:rFonts w:ascii="Times New Roman;serif" w:hAnsi="Times New Roman;serif"/>
          <w:b w:val="false"/>
          <w:color w:val="000000"/>
          <w:sz w:val="20"/>
        </w:rPr>
        <w:t xml:space="preserve">Acquisitions were accounted for as business combinations using the acquisition method of accounting in accordance with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Purchase price was allocated to the respective identifiable assets acquired and liabilities assumed based on the estimated fair values at the date of acquisitions. The results of operations for the following acquired businesses are included in the consolidated results of the Company from the respective dates of acquisition. Pro forma information for these acquired businesses is not provided because they did not have a material effect, individually or in the aggregate, on the Company’s consolidated results of operations.</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Acquisitions of Businesses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 of StoneCastle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17, 2025, the Company acquired StoneCastle Cash Management, LLC, INDX Processing, LLC and StoneCastle Trust Co. (collectively, “StoneCastle”), a provider of deposit funding solutions, for $416 million, net of $4 million of acquired cash. StoneCastle is included within the Financial segment and provides its network of depository institutions easy access to stable, cost efficient deposit funding.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preliminary allocation of purchase price resulted in the recognition of identifiable intangible assets of approximately $165 million, primarily acquired software and technology with an estimated useful life of 7 years, approximately $247 million of goodwill and approximately $8 million of other net assets, including acquired cash. The allocation of the purchase price is preliminary and is subject to further adjustment, pending additional refinement and final completion of valuations. Goodwill, which is expected to be deductible for tax purposes, is primarily attributed to the anticipated value created by enabling the Company to offer technology-enabled deposit funding solutions to both its financial institution customers and merchant acquiring enterprise clients.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 of CCV</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18, 2025, the Company acquired CCV Group B.V. (“CCV”), a Netherlands-based supplier of POS payment solutions, for $219 million, net of $34 million of acquired cash. CCV is included within the Merchant segment and expands the Company’s network of payment solutions.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the Company identified and recorded measurement period adjustments to the preliminary CCV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 decrease to identifiable intangible assets of $15 million, an increase in goodwill of $14 million, and an increase in other net assets of $1 million. Such measurement period adjustments did not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pPr>
      <w:r>
        <w:rPr>
          <w:rFonts w:ascii="Times New Roman;serif" w:hAnsi="Times New Roman;serif"/>
          <w:b w:val="false"/>
          <w:color w:val="000000"/>
          <w:sz w:val="20"/>
        </w:rPr>
        <w:t>impact on the Company’s consolidated statement of income. The allocation of the purchase price was finalized in the first quarter of 2026 and resulted in the recognition of identifiable intangible assets, including customer relationships, of $103 million with a useful life of 8 years, acquired software and technology of $2 million with a useful life of 1 year and an acquired trademark of $4 million with a useful life of 2 years; $120 million of goodwill; and $24 million of other net assets, including acquired cash. Goodwill, which is not deductible for tax purposes, is primarily attributed to the anticipated value created by enabling the Company’s ability to accelerate the deployment of its Clover</w:t>
      </w:r>
      <w:r>
        <w:rPr>
          <w:rFonts w:ascii="null;sans-serif" w:hAnsi="null;sans-serif"/>
          <w:b w:val="false"/>
          <w:color w:val="000000"/>
          <w:sz w:val="13"/>
        </w:rPr>
        <w:t>®</w:t>
      </w:r>
      <w:r>
        <w:rPr>
          <w:color w:val="000000"/>
        </w:rPr>
        <w:t xml:space="preserve"> </w:t>
      </w:r>
      <w:r>
        <w:rPr>
          <w:rFonts w:ascii="Times New Roman;serif" w:hAnsi="Times New Roman;serif"/>
          <w:b w:val="false"/>
          <w:color w:val="000000"/>
          <w:sz w:val="20"/>
        </w:rPr>
        <w:t>POS and business management platform, providing enhanced capabilities and innovation to an expansive combined merchant and partner base across Europe.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 of Payfare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2, 2025, the Company acquired Payfare, Inc. (“Payfare”), a Canada-based provider of program management solutions powering instant access to earnings and banking solutions for workforces, for a purchase price of $95 million, net of $46 million of acquired cash. Payfare is included within the Financial segment and expands the Company’s embedded finance capabilities.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allocation of the purchase price was finalized in the fourth quarter of 2025 and resulted in the recognition of identifiable intangible assets, including acquired software and technology of $22 million with a useful life of 7 years and customer relationships of $14 million with a useful life of 14 years; $56 million of goodwill; and $49 million of other net assets, including acquired cash. Goodwill, which is not deductible for tax purposes, is primarily attributed to the anticipated value created by further enhancing the Company’s finance solutions in embedded banking, payments and lending for large enterprises and financial institutions.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Acquisitions</w:t>
      </w:r>
    </w:p>
    <w:p>
      <w:pPr>
        <w:pStyle w:val="TextBody"/>
        <w:bidi w:val="0"/>
        <w:spacing w:lineRule="auto" w:line="288" w:before="0" w:after="180"/>
        <w:jc w:val="left"/>
        <w:rPr/>
      </w:pPr>
      <w:r>
        <w:rPr>
          <w:rFonts w:ascii="Times New Roman;serif" w:hAnsi="Times New Roman;serif"/>
          <w:b w:val="false"/>
          <w:color w:val="000000"/>
          <w:sz w:val="20"/>
        </w:rPr>
        <w:t>On October 1, 2025, the Company acquired a portion of The Toronto-Dominion Bank’s merchant processing business in Canada (“TD Merchant Canada”). TD Merchant Canada is included within the Merchant segment and expands the footprint of the Company’s Clover platform. On September 25, 2025, the Company acquired the Smith Consulting Group, LLC business (“SCG”), an operational consulting service utilized by community banks and credit unions across the U.S. SCG is included within the Financial segment and supports the Company’s ability to provide consultative engagement to enhance community banks’ and credit unions’ strategic investments. On September 4, 2025, the Company acquired CardFree Inc. (“CardFree”), an all-in-one platform delivering integrated order, payment and loyalty solutions for merchants. CardFree is included within the Merchant segment and further expands the capabilities of the Company’s Clover</w:t>
      </w:r>
      <w:r>
        <w:rPr>
          <w:color w:val="000000"/>
        </w:rPr>
        <w:t xml:space="preserve"> </w:t>
      </w:r>
      <w:r>
        <w:rPr>
          <w:rFonts w:ascii="Times New Roman;serif" w:hAnsi="Times New Roman;serif"/>
          <w:b w:val="false"/>
          <w:color w:val="000000"/>
          <w:sz w:val="20"/>
        </w:rPr>
        <w:t xml:space="preserve">platform across the hospitality, restaurant and lodging industries. On June 4, 2025, the Company acquired Money Money Serviços Financeiros S.A. (“Money Money”), a Brazil-based provider of risk analysis and credit decisioning solutions. Money Money is included within the Merchant segment and expands the Company’s payment and financial service capabilities, enabling access to working capital and other payment solutions for small and medium-sized businesses. On April 4, 2025, the Company acquired Pinch Payments NZ Limited (together with Zootive Pty Ltd, “Pinch Payments”), an Australia-based payment facilitator. Pinch Payments is included within the Merchant segment and expands the Company’s flexible payment services for its partners and clients, and presence within the Asia-Pacific region.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acquired these businesses for an aggregate purchase price, including deferred payments, of $127 million, including earn-out provisions estimated at a fair value of $35 million (see Note 8). The allocation of purchase price for these acquisitions resulted in the recognition of identifiable intangible assets, including software and technology of $31 million with a weighted average useful life of 7 years and customer relationships of $18 million with a weighted average useful life of 6 years; $73 million of goodwill; and $5 million of other net assets. The purchase price allocations for Money Money and Pinch Payments were finalized in the third quarter of 2025, for SCG in the fourth quarter of 2025, and for CardFree and TD Merchant Canada in the first quarter of 2026. Measurement period adjustments did not have a material impact on the Company’s consolidated statement of income. Goodwill for these acquisitions is primarily attributed to the anticipated value created by expanding the reach of the Company’s Clover POS and business management platform and further enabling the Company’s payment solutions, financial service capabilities and advisory services for financial institutions. For tax purposes, goodwill related to the SCG and TD Merchant Canada acquisitions is deductible; however, goodwill related to the Money Money, Pinch Payments and CardFree acquisitions is not deductible.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Disposition of Business and Other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the Company entered into a definitive agreement to sell its student loan servicing business, which is reported within the Financial segment. The transaction is expected to close in the third quarter of 2026, subject to customary closing conditions. As of June 30, 2026, the Company determined that this pending divestiture met the criteria to be classified as held for sale. Accordingly, the assets and liabilities of the student loan servicing business are classified as assets held for sale and liabilities associated with assets held for sale within the consolidated balance sheet. The major classes of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held for sale as of June 30, 2026 include trade accounts receivable, capitalized software, contract costs, allocated goodwill, and contract liabilities, which are presented in aggregate within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August 2026, the Company formed a joint venture, MoneyPass Group, of which it will maintain a 49% ownership interest, encompassing its MoneyPass Network, ATM Managed Services and Cash Intelligence businesses, which are reported within the Financial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5, 2025, the Company acquired the remaining 49.9% ownership interest, including cash held of $195 million, in AIB Merchant Services (“AIBMS”), an Ireland-based payments solution provider, for $420 million. On April 17, 2025, the Company acquired the remaining 19% ownership interest in ICICI Merchant Services Private Limited, an India-based merchant acceptance business, for $22 million. The Company previously held a majority controlling financial interest in each of these subsidiaries, which continue to be consolidated and reported within the Merchant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Intangible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consisted of the following:</w:t>
      </w:r>
    </w:p>
    <w:tbl>
      <w:tblPr>
        <w:tblW w:w="7581" w:type="dxa"/>
        <w:jc w:val="center"/>
        <w:tblInd w:w="0" w:type="dxa"/>
        <w:tblLayout w:type="fixed"/>
        <w:tblCellMar>
          <w:top w:w="28" w:type="dxa"/>
          <w:left w:w="28" w:type="dxa"/>
          <w:bottom w:w="28" w:type="dxa"/>
          <w:right w:w="28" w:type="dxa"/>
        </w:tblCellMar>
      </w:tblPr>
      <w:tblGrid>
        <w:gridCol w:w="1286"/>
        <w:gridCol w:w="1130"/>
        <w:gridCol w:w="1138"/>
        <w:gridCol w:w="211"/>
        <w:gridCol w:w="721"/>
        <w:gridCol w:w="109"/>
        <w:gridCol w:w="109"/>
        <w:gridCol w:w="109"/>
        <w:gridCol w:w="109"/>
        <w:gridCol w:w="252"/>
        <w:gridCol w:w="862"/>
        <w:gridCol w:w="132"/>
        <w:gridCol w:w="109"/>
        <w:gridCol w:w="109"/>
        <w:gridCol w:w="109"/>
        <w:gridCol w:w="211"/>
        <w:gridCol w:w="721"/>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w:t>
              <w:br/>
              <w:t>Value</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software and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and other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software and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and other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Amortization expense associated with the above identifiable intangible assets was $587 million and $581 million for the three months ended June 30, 2026 and 2025, respectively, and $1.2 billion and $1.1 billion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Investments in Unconsolidated Affiliates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investments in various affiliates that are accounted for as equity method investments, the most significant of which are related to the Company’s merchant alliances. The Company’s share of net income or loss from these investments is reported within income (loss)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decline in value, including any significant changes in business relationships with merchant alliances. A decline in value of an equity method investment determined to be other-than-temporary is recorded as a current-period impairment charge within income (loss) from investments in unconsolidated affiliates in the consolidated statements of income.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Merchant Alliances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ownership interests in certain merchant alliances, which combine the processing capabilities and management expertise of the Company with the visibility and distribution channel of a financial institution. A merchant alliance acquires credit and debit card transactions from merchants. The formation of these alliances generally involves the Company and the financial institution contributing contracts with merchants to the alliance and a cash payment from one owner of the alliance to the other to achieve the desired ownership percentage for each. The Company and the financial institution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long-term processing service agreement, which governs the Company’s provision of transaction processing services to the alliance. Fees charged to merchant alliances, based on contractual pricing, are recognized in the Company’s consolidated statements of income primarily as processing and services revenue, and totaled $20 million and $19 million for the three months ended June 30, 2026 and 2025, respectively, and $38 million and $51 million for the six months ended June 30, 2026 and 2025, respectively. The Company’s investment in its merchant alliances was $720 million and $736 million at June 30, 2026 and December 31, 2025, respectively, and is reported within investments in unconsolidated affiliates in the consolidated balance sheets.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maintained a 40% ownership interest in the Wells Fargo Merchant Services merchant alliance (“WFMS”), which was accounted for as an equity method investment. The Company acquired its ownership, at fair value, in WFMS through its 2019 acquisition of First Data Corporation. In 2024, Wells Fargo Bank, National Association provided the Company with a notice of non-renewal for WFMS and upon the expiration of the joint venture in April 2025, the Company received a cash payment of $453 million.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Equity Method Investments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noncontrolling ownership interests in Sagent M&amp;C, LLC and defi SOLUTIONS Group, LLC (collectively the “Lending Joint Ventures”), which are accounted for under the equity method. The Company’s net investment in the Lending Joint Ventures was $90 million and $88 million at June 30, 2026 and December 31, 2025, respectively, and is reported within investments in unconsolidated affiliates in the consolidated balance sheets. The Company has guaranteed the debt of the Lending Joint Ventures and does not anticipate that the Lending Joint Ventures will fail to fulfill their debt obligations (see Note 8). In addition, the Company maintains other strategic investments accounted for under the equity method. The Company’s aggregate investments in such entities was $215 million and $208 million at June 30, 2026 and December 31, 2025, respectively, and is reported within investments in unconsolidated affiliates in the consolidated balance sheets.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Equity Investments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also maintains investments, over which it does not have significant influence, in various equity securities without a readily determinable fair value. Such investments totaled $108 million and $126 million at June 30, 2026 and December 31, 2025, respectively, and are primarily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income (expense), net in the consolidated statements of income for the period. Adjustments made for observable price changes to the values recorded for certain equity securities and net gains or losses from sales of equity securities were not significant during each of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Derivatives and Hedging Instruments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fixed-to-floating interest rate swap contracts and other non-derivative hedging instruments 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Flow Hedges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forward exchange contracts, designated as cash flow hedges, to hedge foreign currency exposure to the Indian Rupee. The notional amount of these derivatives was $303 million and $323 million at June 30, 2026 and December 31, 2025, respectively. Based on the amounts recorded in accumulated other comprehensive loss at June 30, 2026, the Company estimates that it will recognize losses of approximately $13 million in cost of processing and services during the next 12 months as foreign exchange forward contracts settle.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 interest payments. In connection with the early debt extinguishment of a portion of the Company’s 4.400% senior notes due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July 2049 (see Note 10), $22 million of unamortized losses associated with the Treasury Locks was recognized within net interest expense in the consolidated statements of income for the three and six months ended June 30, 2026. The remaining unamortized balance recorded in accumulated other comprehensive loss related to the Treasury Locks was $59 million and $88 million at June 30, 2026 and December 31, 2025, respectively. Based on the remaining amounts recorded in accumulated other comprehensive loss at June 30, 2026, the Company estimates that it will recognize approximately $12 million in net interest expense during the next 12 months related to settled interest rate hedge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Net Investment Hedges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aggregate notional amount of the fixed-to-fixed cross-currency rate swap contracts were as follows:</w:t>
      </w:r>
    </w:p>
    <w:tbl>
      <w:tblPr>
        <w:tblW w:w="4945" w:type="dxa"/>
        <w:jc w:val="left"/>
        <w:tblInd w:w="0" w:type="dxa"/>
        <w:tblLayout w:type="fixed"/>
        <w:tblCellMar>
          <w:top w:w="28" w:type="dxa"/>
          <w:left w:w="28" w:type="dxa"/>
          <w:bottom w:w="28" w:type="dxa"/>
          <w:right w:w="28" w:type="dxa"/>
        </w:tblCellMar>
      </w:tblPr>
      <w:tblGrid>
        <w:gridCol w:w="570"/>
        <w:gridCol w:w="500"/>
        <w:gridCol w:w="505"/>
        <w:gridCol w:w="424"/>
        <w:gridCol w:w="424"/>
        <w:gridCol w:w="426"/>
        <w:gridCol w:w="109"/>
        <w:gridCol w:w="109"/>
        <w:gridCol w:w="109"/>
        <w:gridCol w:w="517"/>
        <w:gridCol w:w="517"/>
        <w:gridCol w:w="735"/>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Currency</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Euros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Singapore Dollars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fixed-to-fixed cross-currency rate swaps have been designated as net investment hedges to hedge a portion of the Company’s net investment in certain subsidiaries whose functional currencies are the Euro, Singapore Dollar, and Canadian Dollar. The Company has also designated certain of its Euro- and British Pound-denominated senior notes and Euro commercial paper notes as net investment hedges to hedge a portion of its net investment in certain subsidiaries whose functional currencies are the Euro and the British Pound.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its June 2026 senior notes offering (see Note 10), the Company entered into foreign exchange forward contracts, designated as net investment hedges, to hedge foreign currency exposure between the offering date and the settlement date of the Euro-denominated senior notes. Upon settlement of the senior notes, the forward contracts were terminated, whereby the Company subsequently designated the Euro-denominated debt as a net investment hedge to hedge a portion of its net investment in certain subsidiaries whose functional currencies are the Euro.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currency-denominated subsidiaries.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(losses), net of income tax, related to net investment hedges that were recorded as foreign currency translation within other comprehensive income (loss) in the consolidated statements of comprehensive income were as follows:</w:t>
      </w:r>
    </w:p>
    <w:tbl>
      <w:tblPr>
        <w:tblW w:w="7036" w:type="dxa"/>
        <w:jc w:val="left"/>
        <w:tblInd w:w="0" w:type="dxa"/>
        <w:tblLayout w:type="fixed"/>
        <w:tblCellMar>
          <w:top w:w="28" w:type="dxa"/>
          <w:left w:w="28" w:type="dxa"/>
          <w:bottom w:w="28" w:type="dxa"/>
          <w:right w:w="28" w:type="dxa"/>
        </w:tblCellMar>
      </w:tblPr>
      <w:tblGrid>
        <w:gridCol w:w="1096"/>
        <w:gridCol w:w="961"/>
        <w:gridCol w:w="973"/>
        <w:gridCol w:w="228"/>
        <w:gridCol w:w="358"/>
        <w:gridCol w:w="117"/>
        <w:gridCol w:w="117"/>
        <w:gridCol w:w="117"/>
        <w:gridCol w:w="117"/>
        <w:gridCol w:w="228"/>
        <w:gridCol w:w="471"/>
        <w:gridCol w:w="117"/>
        <w:gridCol w:w="109"/>
        <w:gridCol w:w="109"/>
        <w:gridCol w:w="109"/>
        <w:gridCol w:w="211"/>
        <w:gridCol w:w="361"/>
        <w:gridCol w:w="109"/>
        <w:gridCol w:w="109"/>
        <w:gridCol w:w="109"/>
        <w:gridCol w:w="109"/>
        <w:gridCol w:w="211"/>
        <w:gridCol w:w="43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Cross-currency rate swap contracts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Foreign currency-denominated debt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recorded income tax impacts of $(10) million and $98 million during the three months ended June 30, 2026 and 2025, respectively, and $(36) million and $138 million during the six months ended June 30, 2026 and 2025, respectively, in other comprehensive income (loss) from the translation of foreign currency-denominated senior notes, Euro commercial paper notes, fixed-to-fixed cross-currency rate swap contracts and foreign exchange forward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Fair Value Hedges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fixed-to-floating interest rate swap contracts in the aggregate notional amount of $1.5 billion, designated as fair value hedges, to economically change a portion of its fixed rate senior notes to variable rate debt. Net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fair value of the fixed-to-floating rate swaps ($21 million loss and $22 million loss for the three and six months ended June 30, 2026, respectively), along with the offsetting change in the fair value of the hedged senior notes, attributable to changes in the designated benchmark interest rate, were recognized in net interest expense within the consolidated statements of income.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notional amounts of the hedged fixed rate senior notes were as follows:</w:t>
      </w:r>
    </w:p>
    <w:tbl>
      <w:tblPr>
        <w:tblW w:w="6581" w:type="dxa"/>
        <w:jc w:val="left"/>
        <w:tblInd w:w="0" w:type="dxa"/>
        <w:tblLayout w:type="fixed"/>
        <w:tblCellMar>
          <w:top w:w="28" w:type="dxa"/>
          <w:left w:w="28" w:type="dxa"/>
          <w:bottom w:w="28" w:type="dxa"/>
          <w:right w:w="28" w:type="dxa"/>
        </w:tblCellMar>
      </w:tblPr>
      <w:tblGrid>
        <w:gridCol w:w="1162"/>
        <w:gridCol w:w="1020"/>
        <w:gridCol w:w="1028"/>
        <w:gridCol w:w="342"/>
        <w:gridCol w:w="756"/>
        <w:gridCol w:w="176"/>
        <w:gridCol w:w="109"/>
        <w:gridCol w:w="109"/>
        <w:gridCol w:w="109"/>
        <w:gridCol w:w="484"/>
        <w:gridCol w:w="931"/>
        <w:gridCol w:w="355"/>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Hedged Notes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5.350% senior notes due March 2031</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senior notes due August 2033</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5.150% senior notes due August 2034</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5.250% senior notes due August 2035</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previously maintained a fixed-to-fixed cross-currency rate swap contract in the notional amount of 525 million British Pounds, designated as a fair value hedge, to mitigate the spot foreign exchange rate risk on the principal amount of its British Pound-denominated 2.250% senior notes, which matured in July 2025. Net changes in the fair value of the cross-currency rate swaps ($41 million gain and $60 million gain for the three and six months ended June 30, 2025, respectively), along with the offsetting change in the fair value of the hedged notes, attributable to fluctuations in the respective foreign currency spot rates were recognized in other income (expense), net within the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Fair Value Measurements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7) are measured on a recurring basis based on benchmark interest rates, foreign currency spot rates and forwards quoted by banks and foreign currency dealers and are marked to market each period. Deferred consideration related to the sale of future credit card receivables originated under the Company’s merchant cash advance programs (see Note 1) is estimated based on expected future cash collections of the sold receivables. Contingent consideration related to certain of the Company’s acquisitions (see Note 4) is estimated using a probability-weighted assessment approach based on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measured at fair value on a recurring basis consisted of the following: </w:t>
      </w:r>
    </w:p>
    <w:tbl>
      <w:tblPr>
        <w:tblW w:w="10205" w:type="dxa"/>
        <w:jc w:val="center"/>
        <w:tblInd w:w="0" w:type="dxa"/>
        <w:tblLayout w:type="fixed"/>
        <w:tblCellMar>
          <w:top w:w="28" w:type="dxa"/>
          <w:left w:w="28" w:type="dxa"/>
          <w:bottom w:w="28" w:type="dxa"/>
          <w:right w:w="28" w:type="dxa"/>
        </w:tblCellMar>
      </w:tblPr>
      <w:tblGrid>
        <w:gridCol w:w="1278"/>
        <w:gridCol w:w="1076"/>
        <w:gridCol w:w="1089"/>
        <w:gridCol w:w="771"/>
        <w:gridCol w:w="771"/>
        <w:gridCol w:w="773"/>
        <w:gridCol w:w="109"/>
        <w:gridCol w:w="109"/>
        <w:gridCol w:w="109"/>
        <w:gridCol w:w="468"/>
        <w:gridCol w:w="468"/>
        <w:gridCol w:w="469"/>
        <w:gridCol w:w="109"/>
        <w:gridCol w:w="109"/>
        <w:gridCol w:w="109"/>
        <w:gridCol w:w="227"/>
        <w:gridCol w:w="389"/>
        <w:gridCol w:w="117"/>
        <w:gridCol w:w="109"/>
        <w:gridCol w:w="109"/>
        <w:gridCol w:w="109"/>
        <w:gridCol w:w="361"/>
        <w:gridCol w:w="695"/>
        <w:gridCol w:w="272"/>
      </w:tblGrid>
      <w:tr>
        <w:trPr/>
        <w:tc>
          <w:tcPr>
            <w:tcW w:w="127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Hierarchy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rate swap contracts designated as net investment hedges</w:t>
            </w:r>
          </w:p>
        </w:tc>
        <w:tc>
          <w:tcPr>
            <w:tcW w:w="2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Deferred consideration on sale of merchant cash advances</w:t>
            </w:r>
          </w:p>
        </w:tc>
        <w:tc>
          <w:tcPr>
            <w:tcW w:w="2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color w:val="000000"/>
                <w:sz w:val="20"/>
              </w:rPr>
            </w:pPr>
            <w:r>
              <w:rPr>
                <w:rFonts w:ascii="Times New Roman;serif" w:hAnsi="Times New Roman;serif"/>
                <w:b/>
                <w:color w:val="000000"/>
                <w:sz w:val="20"/>
              </w:rPr>
              <w:t xml:space="preserve">Liabilities </w:t>
            </w:r>
          </w:p>
        </w:tc>
        <w:tc>
          <w:tcPr>
            <w:tcW w:w="2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Cross-currency rate swap contracts designated as net investment hedges</w:t>
            </w:r>
          </w:p>
        </w:tc>
        <w:tc>
          <w:tcPr>
            <w:tcW w:w="2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Cross-currency rate swap contracts designated as net investment hedges</w:t>
            </w:r>
          </w:p>
        </w:tc>
        <w:tc>
          <w:tcPr>
            <w:tcW w:w="2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Forward exchange contracts designated as cash flow hedges</w:t>
            </w:r>
          </w:p>
        </w:tc>
        <w:tc>
          <w:tcPr>
            <w:tcW w:w="2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Forward exchange contracts designated as cash flow hedges</w:t>
            </w:r>
          </w:p>
        </w:tc>
        <w:tc>
          <w:tcPr>
            <w:tcW w:w="2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Fixed-to-floating interest rate swap contracts designated as fair value hedges</w:t>
            </w:r>
          </w:p>
        </w:tc>
        <w:tc>
          <w:tcPr>
            <w:tcW w:w="2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Contingent debt guarantee</w:t>
            </w:r>
          </w:p>
        </w:tc>
        <w:tc>
          <w:tcPr>
            <w:tcW w:w="2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Contingent debt guarantee</w:t>
            </w:r>
          </w:p>
        </w:tc>
        <w:tc>
          <w:tcPr>
            <w:tcW w:w="2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Debt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A portion of the Company’s senior notes are designated under a fair value hedging relationship (see Note 7), and therefore changes in fair value attributable to changes in the designated benchmark interest rate are included in the carrying value of the hedged senior notes within the consolidated balance sheet. The carrying value of the Company’s foreign lines of credit,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$25.0 billion and $26.4 billion at June 30, 2026 and December 31, 2025, respectively, and the carrying value was $25.5 billion and $26.9 billion at June 30, 2026 and December 31, 2025,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Debt Guarantee Arrangements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Lending Joint Ventures (see Note 6) maintain variable-rate term loan facilities with aggregate outstanding borrowings of $388 million in senior unsecured debt at June 30, 2026 and variable-rate revolving credit facilities with an aggregate borrowing capacity of $83 million with a syndicate of banks, which mature in April 2027. There were $36 million of aggregate outstanding borrowings on the revolving credit facilities at June 30, 2026. The Company has guaranteed the debt of the Lending Joint Ventures.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liabilities for its obligations to perform over the term of its debt guarantee arrangements with the Lending Joint Ventures, which are reported within accounts payable and other current liabilities in the consolidated balance sheets. The Company has provided aggregate guarantees of $471 million associated with the debt of the Lending Joint Ventures and is entitled to receive a defined fee in exchange for its guarantee of this indebtedness. The Company has not made any payments under the guarantees, nor has it been called upon to do so, and does not anticipate that the Lending Joint Ventures will fail to fulfill their debt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non-contingent component of the Company’s debt guarantee arrangements is recorded at amortized cost, but measured at fair value for disclosure purposes. The carrying value of the Company’s non-contingent liability of $7 million and $12 million approximates the fair value at June 30, 2026 and December 31, 2025,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as reflected within the table above,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$3 million and $4 million during the three months ended June 30, 2026 and 2025, respectively, and $7 million and $9 million during the six months ended June 30, 2026 and 2025, respectively, within other income (expense), net in its consolidated statements of income related to its release from risk under the non-contingent guarantees as well as a change in the provision of estimated credit losses associated with the indebtedness of the Lending Joint Ventures.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Non-Financial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of the Company’s non-financial assets are measured at fair value on a non-recurring basis, including property and equipment, lease right-of-use assets, equity securities without a readily determinable fair value, goodwill and other intangible assets, and are subject to fair value adjustment in certain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Accounts Payable and Other Current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other current liabilities consisted of the following: </w:t>
      </w:r>
    </w:p>
    <w:tbl>
      <w:tblPr>
        <w:tblW w:w="7089" w:type="dxa"/>
        <w:jc w:val="center"/>
        <w:tblInd w:w="0" w:type="dxa"/>
        <w:tblLayout w:type="fixed"/>
        <w:tblCellMar>
          <w:top w:w="28" w:type="dxa"/>
          <w:left w:w="28" w:type="dxa"/>
          <w:bottom w:w="28" w:type="dxa"/>
          <w:right w:w="28" w:type="dxa"/>
        </w:tblCellMar>
      </w:tblPr>
      <w:tblGrid>
        <w:gridCol w:w="1346"/>
        <w:gridCol w:w="1181"/>
        <w:gridCol w:w="1192"/>
        <w:gridCol w:w="287"/>
        <w:gridCol w:w="839"/>
        <w:gridCol w:w="148"/>
        <w:gridCol w:w="109"/>
        <w:gridCol w:w="109"/>
        <w:gridCol w:w="109"/>
        <w:gridCol w:w="380"/>
        <w:gridCol w:w="1110"/>
        <w:gridCol w:w="279"/>
      </w:tblGrid>
      <w:tr>
        <w:trPr/>
        <w:tc>
          <w:tcPr>
            <w:tcW w:w="134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deposits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Transferable federal tax credits (see Note 14)</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payment network fees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10. Debt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debt consisted of the following at:</w:t>
      </w:r>
    </w:p>
    <w:tbl>
      <w:tblPr>
        <w:tblW w:w="8755" w:type="dxa"/>
        <w:jc w:val="left"/>
        <w:tblInd w:w="0" w:type="dxa"/>
        <w:tblLayout w:type="fixed"/>
        <w:tblCellMar>
          <w:top w:w="28" w:type="dxa"/>
          <w:left w:w="28" w:type="dxa"/>
          <w:bottom w:w="28" w:type="dxa"/>
          <w:right w:w="28" w:type="dxa"/>
        </w:tblCellMar>
      </w:tblPr>
      <w:tblGrid>
        <w:gridCol w:w="1949"/>
        <w:gridCol w:w="1710"/>
        <w:gridCol w:w="1725"/>
        <w:gridCol w:w="258"/>
        <w:gridCol w:w="883"/>
        <w:gridCol w:w="133"/>
        <w:gridCol w:w="109"/>
        <w:gridCol w:w="109"/>
        <w:gridCol w:w="109"/>
        <w:gridCol w:w="344"/>
        <w:gridCol w:w="1175"/>
        <w:gridCol w:w="251"/>
      </w:tblGrid>
      <w:tr>
        <w:trPr/>
        <w:tc>
          <w:tcPr>
            <w:tcW w:w="194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and current maturities of long-term debt:</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lines of credit</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and other financing obligations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current maturities of long-term debt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3.200% senior notes due July 2026</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5.150% senior notes due March 2027</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2.250% senior notes due June 2027</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1.125% senior notes due July 2027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5.450% senior notes due March 2028</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2.875% senior notes due June 2028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5.375% senior notes due August 2028</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4.200% senior notes due October 2028</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3.500% senior notes due July 2029</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senior notes due March 2030</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2.650% senior notes due June 2030</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1.625% senior notes due July 2030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3.750% senior notes due October 2030 (Euro-denominated)</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4.550% senior notes due February 2031</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5.350% senior notes due March 2031</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senior notes due May 2031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3.000% senior notes due July 2031 (British Pound-denominated)</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3.500% senior notes due June 2032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5.600% senior notes due March 2033</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senior notes due August 2033</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5.450% senior notes due March 2034</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senior notes due June 2034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5.150% senior notes due August 2034</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5.250% senior notes due August 2035</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4.000% senior notes due June 2036 (Euro-denominated)</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4.400% senior notes due July 2049</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 commercial paper notes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commercial paper notes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deferred financing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 accounting adjustments (see Note 8)</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and other financing obligations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all financial debt covenants during the six months ended June 30, 2026.</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23, 2026, the Company completed the public offering and issuance of €1.0 billion of senior notes, comprised of €500 million aggregate principal amount of 3.750% senior notes due in October 2030 and €500 million aggregate principal amount of 4.250% senior notes due in June 2034. Interest on these senior notes is paid annually. The Company used the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proceeds from this senior notes offering, together with proceeds from the sale of U.S. dollar commercial paper and cash from operations, to purchase through a cash tender offer and open market repurchase a portion of its outstanding 5.150% senior notes due in March 2027 (the “2027 notes”) and 4.400% senior notes due in July 2049 (the “2049 notes”). Upon expiration of the cash tender offer on June 23, 2026, $1.3 billion aggregate principal amount of the 2027 and 2049 notes was tendered and accepted for purchase for total consideration of $1.2 billion paid to holders. Additionally, on June 30, 2026, $28 million aggregate principal amount of the 2049 notes was retired through an open market repurchase for total consideration of $23 million paid to holders. The Company recorded a pre-tax gain on early debt extinguishment of $154 million in the second quarter of 2026 related to the cash tender offer and open market repurchase.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July 1, 2026, an additional $47 million aggregate principal amount of the 2049 notes was retired through an open market repurchase for total consideration of $38 million. The Company expects to recognize a pre-tax gain in the third quarter of 2026 related to this open market repurchase.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11, 2025, the Company completed the public offering and issuance of $2.0 billion of senior notes, comprised of $1.0 billion aggregate principal amount of 4.550% senior notes due in February 2031 and $1.0 billion aggregate principal amount of 5.250% senior notes due in August 2035. Interest on these senior notes is paid semi-annually. The Company used the net proceeds from this senior notes offering for general corporate purposes, including the repayment of a portion of the Company’s commercial paper notes and for share repurchases.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7, 2025, Fiserv Funding Unlimited Company, an indirect wholly owned subsidiary of the Company, completed the public offering and issuance of €2.175 billion of senior notes, comprised of €750 million aggregate principal amount of 2.875% senior notes due in June 2028, €775 million aggregate principal amount of 3.500% senior notes due in June 2032 and €650 million aggregate principal amount of 4.000% senior notes due in June 2036. These notes are fully and unconditionally guaranteed on a senior unsecured basis by the Company. Interest on these senior notes is paid annually. The Company used the net proceeds from this senior notes offering for general corporate purposes, including the repayment of a portion of the Company’s commercial paper notes, 3.850% senior notes due in June 2025 and 2.250% senior notes due in July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June 30, 2026, the 3.200% senior notes due in July 2026, 5.150% senior notes due in March 2027, and 2.250% senior notes due in June 2027 were classified in the consolidated balance sheet as long-term, as the Company has the intent to refinance this debt on a long-term basis, and the ability to do so under its commercial paper program and revolving credit facility.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and from time to time at the applicable redemption price. Interest on the Company’s U.S. dollar-denominated senior notes is paid semi-annually, while interest on its Euro- and British Pound- denominated senior notes is paid annually. The interest rate applicable to certain of the senior notes is subject to an increase of up to two percent in the event that the credit rating assigned to such notes is downgraded below investment grade.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Commercial Paper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There were no outstanding borrowings under the U.S. dollar program at June 30, 2026. Outstanding borrowings under the U.S. dollar program were $326 million at December 31, 2025, with a weighted average interest rate of 3.851%. Outstanding borrowings under the Euro program were $548 million and $839 million at June 30, 2026 and December 31, 2025, with weighted average interest rates of 2.493% and 2.210%,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senior unsecured multicurrency revolving credit facility, which matures in August 2030 and provides for a maximum aggregate principal amount of availability of $8.0 billion. Borrowings under the credit facility bear interest at a variable base rate, determined by the term and currency of the borrowing, plus a specified margin based on the Company’s long-term debt rating. There were no outstanding borrowings under the revolving credit facility at June 30, 2026. Outstanding borrowings under the revolving credit facility were $188 million at December 31, 2025, with a corresponding interest rate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4.685%.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Foreign Lines of Credit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various short-term lines of credit and other borrowing arrangements with foreign banks and alliance partners primarily to fund merchant settlement advances associated with operations in Latin America through the Company’s settlement anticipation program (see Note 1). The following table provides a summary of the outstanding borrowings and weighted average interest rates of the Company’s foreign lines of credit and other borrowing arrangements by country:</w:t>
      </w:r>
    </w:p>
    <w:tbl>
      <w:tblPr>
        <w:tblW w:w="9851" w:type="dxa"/>
        <w:jc w:val="left"/>
        <w:tblInd w:w="0" w:type="dxa"/>
        <w:tblLayout w:type="fixed"/>
        <w:tblCellMar>
          <w:top w:w="28" w:type="dxa"/>
          <w:left w:w="28" w:type="dxa"/>
          <w:bottom w:w="28" w:type="dxa"/>
          <w:right w:w="28" w:type="dxa"/>
        </w:tblCellMar>
      </w:tblPr>
      <w:tblGrid>
        <w:gridCol w:w="603"/>
        <w:gridCol w:w="529"/>
        <w:gridCol w:w="533"/>
        <w:gridCol w:w="109"/>
        <w:gridCol w:w="109"/>
        <w:gridCol w:w="109"/>
        <w:gridCol w:w="363"/>
        <w:gridCol w:w="802"/>
        <w:gridCol w:w="187"/>
        <w:gridCol w:w="187"/>
        <w:gridCol w:w="187"/>
        <w:gridCol w:w="187"/>
        <w:gridCol w:w="463"/>
        <w:gridCol w:w="1023"/>
        <w:gridCol w:w="238"/>
        <w:gridCol w:w="109"/>
        <w:gridCol w:w="109"/>
        <w:gridCol w:w="109"/>
        <w:gridCol w:w="360"/>
        <w:gridCol w:w="361"/>
        <w:gridCol w:w="708"/>
        <w:gridCol w:w="230"/>
        <w:gridCol w:w="230"/>
        <w:gridCol w:w="230"/>
        <w:gridCol w:w="360"/>
        <w:gridCol w:w="361"/>
        <w:gridCol w:w="1055"/>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 Borrowings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Interest Rate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Argentina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25.848 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51.559 </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14.700 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15.482 </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Uruguay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17.401 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27.727 </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Equity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provide changes in equity during the three and six months ended June 30, 2026 and 2025: </w:t>
      </w:r>
    </w:p>
    <w:tbl>
      <w:tblPr>
        <w:tblW w:w="10310" w:type="dxa"/>
        <w:jc w:val="left"/>
        <w:tblInd w:w="0" w:type="dxa"/>
        <w:tblLayout w:type="fixed"/>
        <w:tblCellMar>
          <w:top w:w="28" w:type="dxa"/>
          <w:left w:w="28" w:type="dxa"/>
          <w:bottom w:w="28" w:type="dxa"/>
          <w:right w:w="28" w:type="dxa"/>
        </w:tblCellMar>
      </w:tblPr>
      <w:tblGrid>
        <w:gridCol w:w="707"/>
        <w:gridCol w:w="239"/>
        <w:gridCol w:w="240"/>
        <w:gridCol w:w="268"/>
        <w:gridCol w:w="268"/>
        <w:gridCol w:w="230"/>
        <w:gridCol w:w="268"/>
        <w:gridCol w:w="268"/>
        <w:gridCol w:w="230"/>
        <w:gridCol w:w="109"/>
        <w:gridCol w:w="109"/>
        <w:gridCol w:w="109"/>
        <w:gridCol w:w="274"/>
        <w:gridCol w:w="338"/>
        <w:gridCol w:w="154"/>
        <w:gridCol w:w="196"/>
        <w:gridCol w:w="646"/>
        <w:gridCol w:w="109"/>
        <w:gridCol w:w="272"/>
        <w:gridCol w:w="792"/>
        <w:gridCol w:w="152"/>
        <w:gridCol w:w="196"/>
        <w:gridCol w:w="646"/>
        <w:gridCol w:w="109"/>
        <w:gridCol w:w="196"/>
        <w:gridCol w:w="661"/>
        <w:gridCol w:w="109"/>
        <w:gridCol w:w="370"/>
        <w:gridCol w:w="625"/>
        <w:gridCol w:w="206"/>
        <w:gridCol w:w="196"/>
        <w:gridCol w:w="646"/>
        <w:gridCol w:w="109"/>
        <w:gridCol w:w="109"/>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Fiserv, Inc. Shareholders’ Equity</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15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7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stock plans</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5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685"/>
        <w:gridCol w:w="317"/>
        <w:gridCol w:w="318"/>
        <w:gridCol w:w="277"/>
        <w:gridCol w:w="277"/>
        <w:gridCol w:w="241"/>
        <w:gridCol w:w="277"/>
        <w:gridCol w:w="277"/>
        <w:gridCol w:w="242"/>
        <w:gridCol w:w="109"/>
        <w:gridCol w:w="109"/>
        <w:gridCol w:w="109"/>
        <w:gridCol w:w="283"/>
        <w:gridCol w:w="349"/>
        <w:gridCol w:w="159"/>
        <w:gridCol w:w="196"/>
        <w:gridCol w:w="646"/>
        <w:gridCol w:w="109"/>
        <w:gridCol w:w="272"/>
        <w:gridCol w:w="792"/>
        <w:gridCol w:w="152"/>
        <w:gridCol w:w="196"/>
        <w:gridCol w:w="646"/>
        <w:gridCol w:w="109"/>
        <w:gridCol w:w="198"/>
        <w:gridCol w:w="672"/>
        <w:gridCol w:w="110"/>
        <w:gridCol w:w="288"/>
        <w:gridCol w:w="621"/>
        <w:gridCol w:w="161"/>
        <w:gridCol w:w="196"/>
        <w:gridCol w:w="648"/>
        <w:gridCol w:w="164"/>
      </w:tblGrid>
      <w:tr>
        <w:trPr/>
        <w:tc>
          <w:tcPr>
            <w:tcW w:w="68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Fiserv, Inc. Shareholders’ Equity</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w:t>
              <w:br/>
              <w:t>June 30, 2025</w:t>
            </w:r>
          </w:p>
        </w:tc>
        <w:tc>
          <w:tcPr>
            <w:tcW w:w="15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9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vMerge w:val="continue"/>
            <w:tcBorders/>
            <w:tcMar>
              <w:top w:w="0" w:type="dxa"/>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comprehensive income </w:t>
            </w:r>
            <w:r>
              <w:rPr>
                <w:rFonts w:ascii="Times New Roman;serif" w:hAnsi="Times New Roman;serif"/>
                <w:b w:val="false"/>
                <w:color w:val="000000"/>
                <w:sz w:val="12"/>
              </w:rPr>
              <w:t>(1)</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stock plans</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Acquisition of noncontrolling interest of consolidated subsidiary </w:t>
            </w:r>
            <w:r>
              <w:rPr>
                <w:rFonts w:ascii="Times New Roman;serif" w:hAnsi="Times New Roman;serif"/>
                <w:b w:val="false"/>
                <w:color w:val="000000"/>
                <w:sz w:val="12"/>
              </w:rPr>
              <w:t>(1)</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(22,348)</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The Company acquired the remaining 19% ownership interest in ICICI Merchant Services Private Limited, an India-based merchant acceptance business, during the three months ended June 30, 2025. The Company previously held a majority controlling financial interest in this consolidated subsidiary (see Note 4).</w:t>
      </w:r>
    </w:p>
    <w:tbl>
      <w:tblPr>
        <w:tblW w:w="10205" w:type="dxa"/>
        <w:jc w:val="center"/>
        <w:tblInd w:w="0" w:type="dxa"/>
        <w:tblLayout w:type="fixed"/>
        <w:tblCellMar>
          <w:top w:w="28" w:type="dxa"/>
          <w:left w:w="28" w:type="dxa"/>
          <w:bottom w:w="28" w:type="dxa"/>
          <w:right w:w="28" w:type="dxa"/>
        </w:tblCellMar>
      </w:tblPr>
      <w:tblGrid>
        <w:gridCol w:w="707"/>
        <w:gridCol w:w="239"/>
        <w:gridCol w:w="240"/>
        <w:gridCol w:w="268"/>
        <w:gridCol w:w="268"/>
        <w:gridCol w:w="230"/>
        <w:gridCol w:w="268"/>
        <w:gridCol w:w="268"/>
        <w:gridCol w:w="230"/>
        <w:gridCol w:w="109"/>
        <w:gridCol w:w="109"/>
        <w:gridCol w:w="109"/>
        <w:gridCol w:w="274"/>
        <w:gridCol w:w="338"/>
        <w:gridCol w:w="154"/>
        <w:gridCol w:w="196"/>
        <w:gridCol w:w="646"/>
        <w:gridCol w:w="109"/>
        <w:gridCol w:w="321"/>
        <w:gridCol w:w="715"/>
        <w:gridCol w:w="180"/>
        <w:gridCol w:w="196"/>
        <w:gridCol w:w="646"/>
        <w:gridCol w:w="109"/>
        <w:gridCol w:w="196"/>
        <w:gridCol w:w="661"/>
        <w:gridCol w:w="109"/>
        <w:gridCol w:w="370"/>
        <w:gridCol w:w="625"/>
        <w:gridCol w:w="206"/>
        <w:gridCol w:w="196"/>
        <w:gridCol w:w="646"/>
        <w:gridCol w:w="109"/>
        <w:gridCol w:w="158"/>
      </w:tblGrid>
      <w:tr>
        <w:trPr/>
        <w:tc>
          <w:tcPr>
            <w:tcW w:w="7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Fiserv, Inc. Shareholders’ Equity</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15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7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stock plans</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5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tbl>
      <w:tblPr>
        <w:tblW w:w="10205" w:type="dxa"/>
        <w:jc w:val="center"/>
        <w:tblInd w:w="0" w:type="dxa"/>
        <w:tblLayout w:type="fixed"/>
        <w:tblCellMar>
          <w:top w:w="28" w:type="dxa"/>
          <w:left w:w="28" w:type="dxa"/>
          <w:bottom w:w="28" w:type="dxa"/>
          <w:right w:w="28" w:type="dxa"/>
        </w:tblCellMar>
      </w:tblPr>
      <w:tblGrid>
        <w:gridCol w:w="702"/>
        <w:gridCol w:w="269"/>
        <w:gridCol w:w="270"/>
        <w:gridCol w:w="271"/>
        <w:gridCol w:w="271"/>
        <w:gridCol w:w="234"/>
        <w:gridCol w:w="271"/>
        <w:gridCol w:w="271"/>
        <w:gridCol w:w="234"/>
        <w:gridCol w:w="109"/>
        <w:gridCol w:w="109"/>
        <w:gridCol w:w="109"/>
        <w:gridCol w:w="277"/>
        <w:gridCol w:w="342"/>
        <w:gridCol w:w="156"/>
        <w:gridCol w:w="196"/>
        <w:gridCol w:w="646"/>
        <w:gridCol w:w="109"/>
        <w:gridCol w:w="272"/>
        <w:gridCol w:w="792"/>
        <w:gridCol w:w="152"/>
        <w:gridCol w:w="196"/>
        <w:gridCol w:w="646"/>
        <w:gridCol w:w="109"/>
        <w:gridCol w:w="196"/>
        <w:gridCol w:w="665"/>
        <w:gridCol w:w="109"/>
        <w:gridCol w:w="328"/>
        <w:gridCol w:w="704"/>
        <w:gridCol w:w="183"/>
        <w:gridCol w:w="196"/>
        <w:gridCol w:w="647"/>
        <w:gridCol w:w="164"/>
      </w:tblGrid>
      <w:tr>
        <w:trPr/>
        <w:tc>
          <w:tcPr>
            <w:tcW w:w="7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Fiserv, Inc. Shareholders’ Equity</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15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2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7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9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776" w:type="dxa"/>
            <w:gridSpan w:val="3"/>
            <w:vMerge w:val="continue"/>
            <w:tcBorders/>
            <w:tcMar>
              <w:top w:w="0" w:type="dxa"/>
              <w:left w:w="0" w:type="dxa"/>
              <w:bottom w:w="0" w:type="dxa"/>
              <w:right w:w="0" w:type="dxa"/>
            </w:tcMar>
            <w:vAlign w:val="center"/>
          </w:tcPr>
          <w:p>
            <w:pPr>
              <w:pStyle w:val="Normal"/>
              <w:bidi w:val="0"/>
              <w:jc w:val="left"/>
              <w:rPr/>
            </w:pPr>
            <w:r>
              <w:rPr/>
            </w:r>
          </w:p>
        </w:tc>
        <w:tc>
          <w:tcPr>
            <w:tcW w:w="7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1"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comprehensive income</w:t>
            </w:r>
            <w:r>
              <w:rPr>
                <w:color w:val="000000"/>
              </w:rPr>
              <w:t xml:space="preserve"> </w:t>
            </w:r>
            <w:r>
              <w:rPr>
                <w:rFonts w:ascii="Times New Roman;serif" w:hAnsi="Times New Roman;serif"/>
                <w:b w:val="false"/>
                <w:color w:val="000000"/>
                <w:sz w:val="12"/>
              </w:rPr>
              <w:t>(1)</w:t>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stock plans</w:t>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 from noncontrolling interest</w:t>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Acquisition of noncontrolling interest of consolidated subsidiary </w:t>
            </w:r>
            <w:r>
              <w:rPr>
                <w:rFonts w:ascii="Times New Roman;serif" w:hAnsi="Times New Roman;serif"/>
                <w:b w:val="false"/>
                <w:color w:val="000000"/>
                <w:sz w:val="12"/>
              </w:rPr>
              <w:t>(1)</w:t>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The Company acquired the remaining 19% ownership interest in ICICI Merchant Services Private Limited, an India-based merchant acceptance business, during the six months ended June 30, 2025. The Company previously held a majority controlling financial interest in this consolidated subsidiary (see Note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Accumulated Other 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by component, net of income taxes, consisted of the following:</w:t>
      </w:r>
    </w:p>
    <w:tbl>
      <w:tblPr>
        <w:tblW w:w="10205" w:type="dxa"/>
        <w:jc w:val="left"/>
        <w:tblInd w:w="0" w:type="dxa"/>
        <w:tblLayout w:type="fixed"/>
        <w:tblCellMar>
          <w:top w:w="28" w:type="dxa"/>
          <w:left w:w="28" w:type="dxa"/>
          <w:bottom w:w="28" w:type="dxa"/>
          <w:right w:w="28" w:type="dxa"/>
        </w:tblCellMar>
      </w:tblPr>
      <w:tblGrid>
        <w:gridCol w:w="1809"/>
        <w:gridCol w:w="1486"/>
        <w:gridCol w:w="1499"/>
        <w:gridCol w:w="327"/>
        <w:gridCol w:w="583"/>
        <w:gridCol w:w="171"/>
        <w:gridCol w:w="109"/>
        <w:gridCol w:w="109"/>
        <w:gridCol w:w="109"/>
        <w:gridCol w:w="246"/>
        <w:gridCol w:w="737"/>
        <w:gridCol w:w="128"/>
        <w:gridCol w:w="109"/>
        <w:gridCol w:w="109"/>
        <w:gridCol w:w="109"/>
        <w:gridCol w:w="424"/>
        <w:gridCol w:w="545"/>
        <w:gridCol w:w="220"/>
        <w:gridCol w:w="109"/>
        <w:gridCol w:w="109"/>
        <w:gridCol w:w="109"/>
        <w:gridCol w:w="211"/>
        <w:gridCol w:w="681"/>
        <w:gridCol w:w="157"/>
      </w:tblGrid>
      <w:tr>
        <w:trPr/>
        <w:tc>
          <w:tcPr>
            <w:tcW w:w="18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comprehensive loss </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w:t>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w:t>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79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79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1804"/>
        <w:gridCol w:w="1486"/>
        <w:gridCol w:w="1499"/>
        <w:gridCol w:w="327"/>
        <w:gridCol w:w="583"/>
        <w:gridCol w:w="171"/>
        <w:gridCol w:w="109"/>
        <w:gridCol w:w="109"/>
        <w:gridCol w:w="109"/>
        <w:gridCol w:w="246"/>
        <w:gridCol w:w="737"/>
        <w:gridCol w:w="128"/>
        <w:gridCol w:w="109"/>
        <w:gridCol w:w="109"/>
        <w:gridCol w:w="109"/>
        <w:gridCol w:w="425"/>
        <w:gridCol w:w="547"/>
        <w:gridCol w:w="221"/>
        <w:gridCol w:w="109"/>
        <w:gridCol w:w="109"/>
        <w:gridCol w:w="109"/>
        <w:gridCol w:w="211"/>
        <w:gridCol w:w="681"/>
        <w:gridCol w:w="158"/>
      </w:tblGrid>
      <w:tr>
        <w:trPr/>
        <w:tc>
          <w:tcPr>
            <w:tcW w:w="180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loss before reclassifications </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w:t>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47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w:t>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Share-Based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recognized $117 million and $91 million of share-based compensation expense during the three months ended June 30, 2026 and 2025, respectively, and $235 million and $215 million of share-based compensation expense during the six months ended June 30, 2026 and 2025, respectively. The Company’s share-based compensation awards are typically granted in the first quarter of the year; however, grants may also occur throughout the year. Time-based restricted stock units generally vest over a three-year period. In December 2025, the Company granted retention restricted stock units to certain employees, which fully vest after an 18-month period. At June 30, 2026, the total remaining unrecognized compensation cost for restricted stock units and performance share units, net of estimated forfeitures, of $515 million is expected to be recognized over a weighted-average period of 1.9 years.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unit and performance share unit activity during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638"/>
        <w:gridCol w:w="560"/>
        <w:gridCol w:w="563"/>
        <w:gridCol w:w="366"/>
        <w:gridCol w:w="366"/>
        <w:gridCol w:w="367"/>
        <w:gridCol w:w="116"/>
        <w:gridCol w:w="116"/>
        <w:gridCol w:w="116"/>
        <w:gridCol w:w="520"/>
        <w:gridCol w:w="1782"/>
        <w:gridCol w:w="271"/>
        <w:gridCol w:w="109"/>
        <w:gridCol w:w="109"/>
        <w:gridCol w:w="109"/>
        <w:gridCol w:w="366"/>
        <w:gridCol w:w="366"/>
        <w:gridCol w:w="367"/>
        <w:gridCol w:w="123"/>
        <w:gridCol w:w="123"/>
        <w:gridCol w:w="123"/>
        <w:gridCol w:w="508"/>
        <w:gridCol w:w="1738"/>
        <w:gridCol w:w="383"/>
      </w:tblGrid>
      <w:tr>
        <w:trPr/>
        <w:tc>
          <w:tcPr>
            <w:tcW w:w="6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Share Units</w:t>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br/>
              <w:t>(In thousands)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br/>
              <w:t>(In thousands)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Units - December 31, 2025</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629"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Units - June 30, 2026</w:t>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105.03 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summary of stock option activity during the six months ended June 30, 2026 is as follows:</w:t>
      </w:r>
    </w:p>
    <w:tbl>
      <w:tblPr>
        <w:tblW w:w="10205" w:type="dxa"/>
        <w:jc w:val="center"/>
        <w:tblInd w:w="0" w:type="dxa"/>
        <w:tblLayout w:type="fixed"/>
        <w:tblCellMar>
          <w:top w:w="28" w:type="dxa"/>
          <w:left w:w="28" w:type="dxa"/>
          <w:bottom w:w="28" w:type="dxa"/>
          <w:right w:w="28" w:type="dxa"/>
        </w:tblCellMar>
      </w:tblPr>
      <w:tblGrid>
        <w:gridCol w:w="682"/>
        <w:gridCol w:w="599"/>
        <w:gridCol w:w="601"/>
        <w:gridCol w:w="346"/>
        <w:gridCol w:w="346"/>
        <w:gridCol w:w="347"/>
        <w:gridCol w:w="109"/>
        <w:gridCol w:w="109"/>
        <w:gridCol w:w="109"/>
        <w:gridCol w:w="460"/>
        <w:gridCol w:w="1344"/>
        <w:gridCol w:w="238"/>
        <w:gridCol w:w="109"/>
        <w:gridCol w:w="109"/>
        <w:gridCol w:w="109"/>
        <w:gridCol w:w="857"/>
        <w:gridCol w:w="857"/>
        <w:gridCol w:w="858"/>
        <w:gridCol w:w="109"/>
        <w:gridCol w:w="109"/>
        <w:gridCol w:w="109"/>
        <w:gridCol w:w="460"/>
        <w:gridCol w:w="886"/>
        <w:gridCol w:w="343"/>
      </w:tblGrid>
      <w:tr>
        <w:trPr/>
        <w:tc>
          <w:tcPr>
            <w:tcW w:w="6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millions)</w:t>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 - December 31, 2025</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 - June 30, 2026</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exercisable - June 30, 2026</w:t>
            </w:r>
          </w:p>
        </w:tc>
        <w:tc>
          <w:tcPr>
            <w:tcW w:w="69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96.11 </w:t>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income tax provision and effective income tax rate were as follows:</w:t>
      </w:r>
    </w:p>
    <w:tbl>
      <w:tblPr>
        <w:tblW w:w="8823" w:type="dxa"/>
        <w:jc w:val="center"/>
        <w:tblInd w:w="0" w:type="dxa"/>
        <w:tblLayout w:type="fixed"/>
        <w:tblCellMar>
          <w:top w:w="28" w:type="dxa"/>
          <w:left w:w="28" w:type="dxa"/>
          <w:bottom w:w="28" w:type="dxa"/>
          <w:right w:w="28" w:type="dxa"/>
        </w:tblCellMar>
      </w:tblPr>
      <w:tblGrid>
        <w:gridCol w:w="1447"/>
        <w:gridCol w:w="1272"/>
        <w:gridCol w:w="1286"/>
        <w:gridCol w:w="211"/>
        <w:gridCol w:w="466"/>
        <w:gridCol w:w="271"/>
        <w:gridCol w:w="109"/>
        <w:gridCol w:w="109"/>
        <w:gridCol w:w="109"/>
        <w:gridCol w:w="211"/>
        <w:gridCol w:w="466"/>
        <w:gridCol w:w="271"/>
        <w:gridCol w:w="109"/>
        <w:gridCol w:w="109"/>
        <w:gridCol w:w="109"/>
        <w:gridCol w:w="211"/>
        <w:gridCol w:w="466"/>
        <w:gridCol w:w="271"/>
        <w:gridCol w:w="109"/>
        <w:gridCol w:w="109"/>
        <w:gridCol w:w="109"/>
        <w:gridCol w:w="211"/>
        <w:gridCol w:w="466"/>
        <w:gridCol w:w="316"/>
      </w:tblGrid>
      <w:tr>
        <w:trPr/>
        <w:tc>
          <w:tcPr>
            <w:tcW w:w="144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income tax provision (benefit):</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The income tax provision as a percentage of income before income taxes and income (loss) from investments in unconsolidated affiliates was 20.2% and 19.0% for the three months ended June 30, 2026 and 2025, respectively, and 13.2% and 18.6% for the six months ended June 30, 2026 and 2025, respectively. The effective income tax rate for the six months ended June 30, 2026 included the impact of a</w:t>
      </w:r>
      <w:r>
        <w:rPr>
          <w:color w:val="000000"/>
        </w:rPr>
        <w:t xml:space="preserve"> </w:t>
      </w:r>
      <w:r>
        <w:rPr>
          <w:rFonts w:ascii="Times New Roman;serif" w:hAnsi="Times New Roman;serif"/>
          <w:b w:val="false"/>
          <w:color w:val="000000"/>
          <w:sz w:val="20"/>
        </w:rPr>
        <w:t xml:space="preserve">$293 million benefit related to the release of a valuation allowance against certain foreign net operating loss carryforwards that were determined to be realizable during the first quarter of 2026. The Company monitors the realizability of deferred tax assets, taking into account all relevant factors, at each reporting period. This release was driven by a reevaluation of cumulative and future projected taxable income as a result of cross-border funding activities. This benefit was partially offset by a $39 million increase in U.S. federal unrecognized tax benefits for tax positions taken in prior years, $35 million in discrete tax expense from share-based awards and a $39 million increase in various other foreign valuation allowances during the first quarter of 2026. The net impact of these items resulted in a lower effective income tax rate compared to the statutory income tax rate. The effective income tax rate for the first six months ended June 30, 2025 included discrete tax benefits from share-based awards, resulting in a lower effective income tax rate compared to the statutory income tax rate.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provisions under the Inflation Reduction Act, the Company has purchased transferable federal tax credits from various counterparties. Such federal tax credits were purchased at negotiated discounts, resulting in an income tax benefit recorded for each of the six months ended June 30, 2026 and 2025. Receivables associated with transferable federal tax credits are recorded within prepaid expenses and other current assets, and amounts owed to counterparties for the purchased credits are recorded within accounts payable and other current liabilities within the consolidated balance sheets.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potential liability for unrecognized tax benefits before interest and penalties was approximately $137 million and $97 million at June 30, 2026 and December 31, 2025, respectively. The Company believes it is reasonably possible that the liability for unrecognized tax benefits may decrease by up to $3 million over the next 12 months as a result of possible closure of tax audits, audit settlements, and the lapse of the statutes of limitations in various jurisdictions.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U.S. federal income tax returns for 2019 and 2025, and tax returns in certain states and foreign jurisdictions for 2017 through 2025, remain subject to examination by taxing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15. Shares Used in Computing Net Income Per Share Attributable to Fiserv,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computation of shares used in calculating basic and diluted net income per share is as follows:</w:t>
      </w:r>
    </w:p>
    <w:tbl>
      <w:tblPr>
        <w:tblW w:w="10205" w:type="dxa"/>
        <w:jc w:val="center"/>
        <w:tblInd w:w="0" w:type="dxa"/>
        <w:tblLayout w:type="fixed"/>
        <w:tblCellMar>
          <w:top w:w="28" w:type="dxa"/>
          <w:left w:w="28" w:type="dxa"/>
          <w:bottom w:w="28" w:type="dxa"/>
          <w:right w:w="28" w:type="dxa"/>
        </w:tblCellMar>
      </w:tblPr>
      <w:tblGrid>
        <w:gridCol w:w="2099"/>
        <w:gridCol w:w="1838"/>
        <w:gridCol w:w="1863"/>
        <w:gridCol w:w="308"/>
        <w:gridCol w:w="308"/>
        <w:gridCol w:w="156"/>
        <w:gridCol w:w="155"/>
        <w:gridCol w:w="155"/>
        <w:gridCol w:w="155"/>
        <w:gridCol w:w="308"/>
        <w:gridCol w:w="308"/>
        <w:gridCol w:w="156"/>
        <w:gridCol w:w="109"/>
        <w:gridCol w:w="109"/>
        <w:gridCol w:w="109"/>
        <w:gridCol w:w="308"/>
        <w:gridCol w:w="308"/>
        <w:gridCol w:w="173"/>
        <w:gridCol w:w="141"/>
        <w:gridCol w:w="141"/>
        <w:gridCol w:w="141"/>
        <w:gridCol w:w="308"/>
        <w:gridCol w:w="308"/>
        <w:gridCol w:w="241"/>
      </w:tblGrid>
      <w:tr>
        <w:trPr/>
        <w:tc>
          <w:tcPr>
            <w:tcW w:w="2099"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for the calculation of net income attributable to Fiserv, Inc. per share - basic</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equivalents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for the calculation of net income attributable to Fiserv, Inc. per share - diluted</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restricted stock units for 5.7 million and 1.2 million shares, respectively, were excluded from the calculation of weighted-average outstanding shares - diluted because their impact was anti-dilutive. For the six months ended June 30, 2026 and 2025, restricted stock units for 4.5 million and 913 thousand shares, respectively, were excluded from the calculation of weighted-average outstanding shares - diluted because their impact was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16. Cash Flow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consisted of the following:</w:t>
      </w:r>
    </w:p>
    <w:tbl>
      <w:tblPr>
        <w:tblW w:w="8394" w:type="dxa"/>
        <w:jc w:val="center"/>
        <w:tblInd w:w="0" w:type="dxa"/>
        <w:tblLayout w:type="fixed"/>
        <w:tblCellMar>
          <w:top w:w="28" w:type="dxa"/>
          <w:left w:w="28" w:type="dxa"/>
          <w:bottom w:w="28" w:type="dxa"/>
          <w:right w:w="28" w:type="dxa"/>
        </w:tblCellMar>
      </w:tblPr>
      <w:tblGrid>
        <w:gridCol w:w="2336"/>
        <w:gridCol w:w="2048"/>
        <w:gridCol w:w="2066"/>
        <w:gridCol w:w="211"/>
        <w:gridCol w:w="466"/>
        <w:gridCol w:w="109"/>
        <w:gridCol w:w="109"/>
        <w:gridCol w:w="109"/>
        <w:gridCol w:w="109"/>
        <w:gridCol w:w="211"/>
        <w:gridCol w:w="466"/>
        <w:gridCol w:w="154"/>
      </w:tblGrid>
      <w:tr>
        <w:trPr/>
        <w:tc>
          <w:tcPr>
            <w:tcW w:w="2336"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taxes paid, including transferable federal tax credits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purchases settled after the balance sheet date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other intangible assets obtained under financing arrangements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Hardware obtained under financing arrangements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 - operating leases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 - finance leases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Litigation and Investigation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or its subsidiaries are named as defendants in lawsuits in which claims are asserted against the Company. The Company maintained an accrual of $18 million and $25 million at June 30, 2026 and December 31, 2025, respectively, related to its various legal proceedings. In the opinion of management, the liabilities, if any, which may ultimately result from such legal proceedings are not expected to have a material adverse effect on the Company’s consolidated financial statements.</w:t>
      </w:r>
    </w:p>
    <w:p>
      <w:pPr>
        <w:pStyle w:val="TextBody"/>
        <w:bidi w:val="0"/>
        <w:spacing w:lineRule="auto" w:line="288" w:before="0" w:after="180"/>
        <w:jc w:val="left"/>
        <w:rPr/>
      </w:pPr>
      <w:r>
        <w:rPr>
          <w:rFonts w:ascii="Times New Roman;serif" w:hAnsi="Times New Roman;serif"/>
          <w:b w:val="false"/>
          <w:color w:val="000000"/>
          <w:sz w:val="20"/>
        </w:rPr>
        <w:t xml:space="preserve">On June 12, 2026, an amended federal securities law complaint was filed against the Company and four former senior executives (Frank J. Bisignano, Michael P. Lyons, Robert W. Hau, and John Gibbons) in the United States District Court for the Southern District of New York. The amended complaint is brought on behalf of a putative class of purchasers of Company securities from February 6, 2024 to October 28, 2025 and alleges violations of Section 10(b) of the Securities Exchange Act of 1934 (the “Exchange Act”), and Rule 10b-5 thereunder, and Section 20(a) of the Exchange Act. The amended complaint alleges, among other things, that certain statements made by the Company about the growth of its Clover business management platform and the impact of the Company’s Argentina business on its organic growth were false and/or misleading and led to a decline in the Company’s stock price over the purported class period. The action is captioned </w:t>
      </w:r>
      <w:r>
        <w:rPr>
          <w:rFonts w:ascii="Times New Roman;serif" w:hAnsi="Times New Roman;serif"/>
          <w:b w:val="false"/>
          <w:i/>
          <w:color w:val="000000"/>
          <w:sz w:val="20"/>
        </w:rPr>
        <w:t>In re Fiserv, Inc. Securities Litigation</w:t>
      </w:r>
      <w:r>
        <w:rPr>
          <w:rFonts w:ascii="Times New Roman;serif" w:hAnsi="Times New Roman;serif"/>
          <w:b w:val="false"/>
          <w:color w:val="000000"/>
          <w:sz w:val="20"/>
        </w:rPr>
        <w:t>, No. 1:25-cv-06094.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Between December 10, 2025 and February 3, 2026, derivative complaints were filed by purported Company shareholders Richard Martin, Nathan Silva, and Gary Peterson in the United States District Court for the Eastern District of Wisconsin. On May 18, 2026 and June 3, 2026, respectively, these actions were consolidated and lead counsel was appointed. On February 27, 2026 and April 14, 2026, derivative complaints were filed by purported Company shareholders Scott Kracht, Karen Artman, and Jenny Zhang in the Wisconsin Circuit Court for Milwaukee County. On June 12, 2026, these actions were consolidated and lead counsel was appointed. The actions name Messrs. Bisignano and Lyons, and certain other current and former officers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pPr>
      <w:r>
        <w:rPr>
          <w:rFonts w:ascii="Times New Roman;serif" w:hAnsi="Times New Roman;serif"/>
          <w:b w:val="false"/>
          <w:color w:val="000000"/>
          <w:sz w:val="20"/>
        </w:rPr>
        <w:t xml:space="preserve">directors of the Company as individual defendants, and the Company as the nominal defendant, and generally allege that certain individual defendants breached their fiduciary duties and violated the Exchange Act in connection with, among other things, factual allegations made in the </w:t>
      </w:r>
      <w:r>
        <w:rPr>
          <w:rFonts w:ascii="Times New Roman;serif" w:hAnsi="Times New Roman;serif"/>
          <w:b w:val="false"/>
          <w:i/>
          <w:color w:val="000000"/>
          <w:sz w:val="20"/>
        </w:rPr>
        <w:t>In re Fiserv, Inc. Securities Litigation</w:t>
      </w:r>
      <w:r>
        <w:rPr>
          <w:color w:val="000000"/>
        </w:rPr>
        <w:t xml:space="preserve"> </w:t>
      </w:r>
      <w:r>
        <w:rPr>
          <w:rFonts w:ascii="Times New Roman;serif" w:hAnsi="Times New Roman;serif"/>
          <w:b w:val="false"/>
          <w:color w:val="000000"/>
          <w:sz w:val="20"/>
        </w:rPr>
        <w:t xml:space="preserve">action. The actions also allege that certain individual defendants are liable for trading in Company stock at artificially inflated prices. The actions are stayed pending a decision on a forthcoming motion to dismiss in the </w:t>
      </w:r>
      <w:r>
        <w:rPr>
          <w:rFonts w:ascii="Times New Roman;serif" w:hAnsi="Times New Roman;serif"/>
          <w:b w:val="false"/>
          <w:i/>
          <w:color w:val="000000"/>
          <w:sz w:val="20"/>
        </w:rPr>
        <w:t>In re Fiserv, Inc. Securities Litigation</w:t>
      </w:r>
      <w:r>
        <w:rPr>
          <w:color w:val="000000"/>
        </w:rPr>
        <w:t xml:space="preserve"> </w:t>
      </w:r>
      <w:r>
        <w:rPr>
          <w:rFonts w:ascii="Times New Roman;serif" w:hAnsi="Times New Roman;serif"/>
          <w:b w:val="false"/>
          <w:color w:val="000000"/>
          <w:sz w:val="20"/>
        </w:rPr>
        <w:t>action.</w:t>
      </w:r>
    </w:p>
    <w:p>
      <w:pPr>
        <w:pStyle w:val="TextBody"/>
        <w:bidi w:val="0"/>
        <w:spacing w:lineRule="auto" w:line="288" w:before="0" w:after="180"/>
        <w:jc w:val="left"/>
        <w:rPr/>
      </w:pPr>
      <w:r>
        <w:rPr>
          <w:rFonts w:ascii="Times New Roman;serif" w:hAnsi="Times New Roman;serif"/>
          <w:b w:val="false"/>
          <w:color w:val="000000"/>
          <w:sz w:val="20"/>
        </w:rPr>
        <w:t xml:space="preserve">The Company has also received demands on the board of directors from purported Company shareholders that the Company pursue certain litigation against certain of its current and former directors and officers alleging, among other things, supposed breaches of duty based on factual allegations made in the </w:t>
      </w:r>
      <w:r>
        <w:rPr>
          <w:rFonts w:ascii="Times New Roman;serif" w:hAnsi="Times New Roman;serif"/>
          <w:b w:val="false"/>
          <w:i/>
          <w:color w:val="000000"/>
          <w:sz w:val="20"/>
        </w:rPr>
        <w:t>In re Fiserv, Inc. Securities Litigation</w:t>
      </w:r>
      <w:r>
        <w:rPr>
          <w:color w:val="000000"/>
        </w:rPr>
        <w:t xml:space="preserve"> </w:t>
      </w:r>
      <w:r>
        <w:rPr>
          <w:rFonts w:ascii="Times New Roman;serif" w:hAnsi="Times New Roman;serif"/>
          <w:b w:val="false"/>
          <w:color w:val="000000"/>
          <w:sz w:val="20"/>
        </w:rPr>
        <w:t>action. The Company may receive additional demands and these demands may precede derivative actions which name the Company as a nominal defendant.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defendants have not yet answered or otherwise responded to any of the complaints in these actions. The Company intends to vigorously defend these cases but cannot predict with any degree of certainty the outcome of the suits or determine the extent of any potential liability or damages.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began responding to requests for information from the Enforcement Division of the U.S. Securities and Exchange Commission and the U.S. Attorney’s Office for the Southern District of New York in connection with investigations related to the Company’s 2025 earnings guidance. The Company is cooperating with these investigations.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Electronic Payments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$1.3 billion and $1.7 billion at June 30, 2026 and December 31, 2025,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Indemnifications and Warranties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18. Business Segment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comprised of two reportable segments,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 lines (operating segments) aggregated within the Merchant segment consist of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Small Business –</w:t>
      </w:r>
      <w:r>
        <w:rPr>
          <w:color w:val="000000"/>
        </w:rPr>
        <w:t xml:space="preserve"> </w:t>
      </w:r>
      <w:r>
        <w:rPr>
          <w:rFonts w:ascii="Times New Roman;serif" w:hAnsi="Times New Roman;serif"/>
          <w:b w:val="false"/>
          <w:color w:val="000000"/>
          <w:sz w:val="20"/>
        </w:rPr>
        <w:t>provides products and services to small businesses and independent software vendors, including Clover</w:t>
      </w:r>
      <w:r>
        <w:rPr>
          <w:rFonts w:ascii="Times New Roman;serif" w:hAnsi="Times New Roman;serif"/>
          <w:b w:val="false"/>
          <w:color w:val="000000"/>
          <w:sz w:val="13"/>
        </w:rPr>
        <w:t>®</w:t>
      </w:r>
      <w:r>
        <w:rPr>
          <w:rFonts w:ascii="Times New Roman;serif" w:hAnsi="Times New Roman;serif"/>
          <w:b w:val="false"/>
          <w:color w:val="000000"/>
          <w:sz w:val="20"/>
        </w:rPr>
        <w:t>, the Company’s POS and business management platform for small business clients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Enterprise –</w:t>
      </w:r>
      <w:r>
        <w:rPr>
          <w:color w:val="000000"/>
        </w:rPr>
        <w:t xml:space="preserve"> </w:t>
      </w:r>
      <w:r>
        <w:rPr>
          <w:rFonts w:ascii="Times New Roman;serif" w:hAnsi="Times New Roman;serif"/>
          <w:b w:val="false"/>
          <w:color w:val="000000"/>
          <w:sz w:val="20"/>
        </w:rPr>
        <w:t>provides products and services to large businesses, including the Company’s integrated omnichannel operating system for enterprise clients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Processing – </w:t>
      </w:r>
      <w:r>
        <w:rPr>
          <w:rFonts w:ascii="Times New Roman;serif" w:hAnsi="Times New Roman;serif"/>
          <w:b w:val="false"/>
          <w:color w:val="000000"/>
          <w:sz w:val="20"/>
        </w:rPr>
        <w:t>provides products and services to financial institutions, joint ventures, and other third party resellers which have direct relationships with merchants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distributes the products and services in the Merchant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businesses in the Financial segment provide products and services to financial institution, corporate and public sector clients across the world, enabling the processing of customer loan and deposit accounts, digital payments and card transactions. The business lines (operating segments) aggregated within the Financial segment consist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Digital Payments</w:t>
      </w:r>
      <w:r>
        <w:rPr>
          <w:color w:val="000000"/>
        </w:rPr>
        <w:t xml:space="preserve"> – </w:t>
      </w:r>
      <w:r>
        <w:rPr>
          <w:rFonts w:ascii="Times New Roman;serif" w:hAnsi="Times New Roman;serif"/>
          <w:b w:val="false"/>
          <w:color w:val="000000"/>
          <w:sz w:val="20"/>
        </w:rPr>
        <w:t>provides debit card processing services; debit network services; security and fraud protection products; bill payment; person-to-person payments; and account-to-account transfers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Issuing</w:t>
      </w:r>
      <w:r>
        <w:rPr>
          <w:color w:val="000000"/>
        </w:rPr>
        <w:t xml:space="preserve"> – </w:t>
      </w:r>
      <w:r>
        <w:rPr>
          <w:rFonts w:ascii="Times New Roman;serif" w:hAnsi="Times New Roman;serif"/>
          <w:b w:val="false"/>
          <w:color w:val="000000"/>
          <w:sz w:val="20"/>
        </w:rPr>
        <w:t>provides credit card processing services; prepaid card processing services; card production services; print services; government payment processing; and student loan servicing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Banking</w:t>
      </w:r>
      <w:r>
        <w:rPr>
          <w:color w:val="000000"/>
        </w:rPr>
        <w:t xml:space="preserve"> – </w:t>
      </w:r>
      <w:r>
        <w:rPr>
          <w:rFonts w:ascii="Times New Roman;serif" w:hAnsi="Times New Roman;serif"/>
          <w:b w:val="false"/>
          <w:color w:val="000000"/>
          <w:sz w:val="20"/>
        </w:rPr>
        <w:t>provides customer loan and deposit account processing; digital banking; financial and risk management; professional services and consulting; and check processing</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expenses associated with the Company’s One Fiserv transformation initiative; postage reimbursements; and gains on early debt extinguishment associated with refinancing activities. The Company’s One Fiserv action plan is a comprehensive, strategic initiative aimed to enhance client service, accelerate product development, address operational inefficiencies, and optimize capital management.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Executive Officer, who is also the Company’s chief operating decision maker (“CODM”), assesses segment performance and makes strategic decisions on the allocation of resources. Additionally, the Company’s Chief Executive Officer provides oversight on business leadership and corporate strategy to the executive leadership team, who manages the day to day operations of the various business lines.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CODM uses reportable segment operating income to evaluate segment performance and allocate resources, primarily during the annual budget and forecasting processes. The CODM regularly reviews variances between forecasted and actual results in assessing earnings, operational efficiency and growth performance, and allocating resources including personnel and capital allocations, to each reportable segment. There are no intersegment revenues contained within the respective reportable segment revenues.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results for each reportable segment were as follows:</w:t>
      </w:r>
    </w:p>
    <w:tbl>
      <w:tblPr>
        <w:tblW w:w="10205" w:type="dxa"/>
        <w:jc w:val="left"/>
        <w:tblInd w:w="0" w:type="dxa"/>
        <w:tblLayout w:type="fixed"/>
        <w:tblCellMar>
          <w:top w:w="28" w:type="dxa"/>
          <w:left w:w="28" w:type="dxa"/>
          <w:bottom w:w="28" w:type="dxa"/>
          <w:right w:w="28" w:type="dxa"/>
        </w:tblCellMar>
      </w:tblPr>
      <w:tblGrid>
        <w:gridCol w:w="2451"/>
        <w:gridCol w:w="2112"/>
        <w:gridCol w:w="2133"/>
        <w:gridCol w:w="211"/>
        <w:gridCol w:w="616"/>
        <w:gridCol w:w="109"/>
        <w:gridCol w:w="109"/>
        <w:gridCol w:w="109"/>
        <w:gridCol w:w="109"/>
        <w:gridCol w:w="211"/>
        <w:gridCol w:w="616"/>
        <w:gridCol w:w="109"/>
        <w:gridCol w:w="109"/>
        <w:gridCol w:w="109"/>
        <w:gridCol w:w="109"/>
        <w:gridCol w:w="211"/>
        <w:gridCol w:w="616"/>
        <w:gridCol w:w="156"/>
      </w:tblGrid>
      <w:tr>
        <w:trPr/>
        <w:tc>
          <w:tcPr>
            <w:tcW w:w="2451"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revenue </w:t>
            </w:r>
            <w:r>
              <w:rPr>
                <w:rFonts w:ascii="Times New Roman;serif" w:hAnsi="Times New Roman;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Personnel expenses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Direct costs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operating expense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Allocations from Corporate and Other </w:t>
            </w:r>
            <w:r>
              <w:rPr>
                <w:rFonts w:ascii="Times New Roman;serif" w:hAnsi="Times New Roman;serif"/>
                <w:b w:val="false"/>
                <w:color w:val="000000"/>
                <w:sz w:val="13"/>
              </w:rPr>
              <w:t>(5)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operating loss </w:t>
            </w:r>
            <w:r>
              <w:rPr>
                <w:rFonts w:ascii="Times New Roman;serif" w:hAnsi="Times New Roman;serif"/>
                <w:b w:val="false"/>
                <w:color w:val="000000"/>
                <w:sz w:val="13"/>
              </w:rPr>
              <w:t>(6)</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early debt extinguishment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(7)</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income from investments in unconsolidated affiliates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2430"/>
        <w:gridCol w:w="2122"/>
        <w:gridCol w:w="2144"/>
        <w:gridCol w:w="211"/>
        <w:gridCol w:w="616"/>
        <w:gridCol w:w="109"/>
        <w:gridCol w:w="109"/>
        <w:gridCol w:w="109"/>
        <w:gridCol w:w="109"/>
        <w:gridCol w:w="211"/>
        <w:gridCol w:w="616"/>
        <w:gridCol w:w="109"/>
        <w:gridCol w:w="109"/>
        <w:gridCol w:w="109"/>
        <w:gridCol w:w="109"/>
        <w:gridCol w:w="211"/>
        <w:gridCol w:w="616"/>
        <w:gridCol w:w="156"/>
      </w:tblGrid>
      <w:tr>
        <w:trPr/>
        <w:tc>
          <w:tcPr>
            <w:tcW w:w="243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revenue </w:t>
            </w:r>
            <w:r>
              <w:rPr>
                <w:rFonts w:ascii="Times New Roman;serif" w:hAnsi="Times New Roman;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Personnel expenses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Direct costs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operating expense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Allocations from Corporate and Other </w:t>
            </w:r>
            <w:r>
              <w:rPr>
                <w:rFonts w:ascii="Times New Roman;serif" w:hAnsi="Times New Roman;serif"/>
                <w:b w:val="false"/>
                <w:color w:val="000000"/>
                <w:sz w:val="13"/>
              </w:rPr>
              <w:t>(5)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operating loss </w:t>
            </w:r>
            <w:r>
              <w:rPr>
                <w:rFonts w:ascii="Times New Roman;serif" w:hAnsi="Times New Roman;serif"/>
                <w:b w:val="false"/>
                <w:color w:val="000000"/>
                <w:sz w:val="13"/>
              </w:rPr>
              <w:t>(6)</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(7)</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loss from investments in unconsolidated affiliates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22"/>
        <w:gridCol w:w="2076"/>
        <w:gridCol w:w="2093"/>
        <w:gridCol w:w="211"/>
        <w:gridCol w:w="616"/>
        <w:gridCol w:w="109"/>
        <w:gridCol w:w="109"/>
        <w:gridCol w:w="109"/>
        <w:gridCol w:w="109"/>
        <w:gridCol w:w="211"/>
        <w:gridCol w:w="616"/>
        <w:gridCol w:w="109"/>
        <w:gridCol w:w="109"/>
        <w:gridCol w:w="109"/>
        <w:gridCol w:w="109"/>
        <w:gridCol w:w="211"/>
        <w:gridCol w:w="721"/>
        <w:gridCol w:w="156"/>
      </w:tblGrid>
      <w:tr>
        <w:trPr/>
        <w:tc>
          <w:tcPr>
            <w:tcW w:w="2422"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revenue </w:t>
            </w:r>
            <w:r>
              <w:rPr>
                <w:rFonts w:ascii="Times New Roman;serif" w:hAnsi="Times New Roman;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Personnel expenses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Direct costs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operating expense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Allocations from Corporate and Other </w:t>
            </w:r>
            <w:r>
              <w:rPr>
                <w:rFonts w:ascii="Times New Roman;serif" w:hAnsi="Times New Roman;serif"/>
                <w:b w:val="false"/>
                <w:color w:val="000000"/>
                <w:sz w:val="13"/>
              </w:rPr>
              <w:t>(5)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operating loss </w:t>
            </w:r>
            <w:r>
              <w:rPr>
                <w:rFonts w:ascii="Times New Roman;serif" w:hAnsi="Times New Roman;serif"/>
                <w:b w:val="false"/>
                <w:color w:val="000000"/>
                <w:sz w:val="13"/>
              </w:rPr>
              <w:t>(6)</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early debt extinguishment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(7)</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income from investments in unconsolidated affiliates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2401"/>
        <w:gridCol w:w="2086"/>
        <w:gridCol w:w="2104"/>
        <w:gridCol w:w="211"/>
        <w:gridCol w:w="616"/>
        <w:gridCol w:w="109"/>
        <w:gridCol w:w="109"/>
        <w:gridCol w:w="109"/>
        <w:gridCol w:w="109"/>
        <w:gridCol w:w="211"/>
        <w:gridCol w:w="616"/>
        <w:gridCol w:w="109"/>
        <w:gridCol w:w="109"/>
        <w:gridCol w:w="109"/>
        <w:gridCol w:w="109"/>
        <w:gridCol w:w="211"/>
        <w:gridCol w:w="721"/>
        <w:gridCol w:w="156"/>
      </w:tblGrid>
      <w:tr>
        <w:trPr/>
        <w:tc>
          <w:tcPr>
            <w:tcW w:w="240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revenue </w:t>
            </w:r>
            <w:r>
              <w:rPr>
                <w:rFonts w:ascii="Times New Roman;serif" w:hAnsi="Times New Roman;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Personnel expenses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Direct costs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operating expense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Allocations from Corporate and Other </w:t>
            </w:r>
            <w:r>
              <w:rPr>
                <w:rFonts w:ascii="Times New Roman;serif" w:hAnsi="Times New Roman;serif"/>
                <w:b w:val="false"/>
                <w:color w:val="000000"/>
                <w:sz w:val="13"/>
              </w:rPr>
              <w:t>(5)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operating loss </w:t>
            </w:r>
            <w:r>
              <w:rPr>
                <w:rFonts w:ascii="Times New Roman;serif" w:hAnsi="Times New Roman;serif"/>
                <w:b w:val="false"/>
                <w:color w:val="000000"/>
                <w:sz w:val="13"/>
              </w:rPr>
              <w:t>(6)</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(7)</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loss from investments in unconsolidated affiliates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Primarily includes postage reimbursements.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Includes compensation and benefit costs of Company employees, as well as expenses paid to third parties for consulting and temporary help, net of capitalized software costs.</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Includes cost of goods sold, payments to distribution partners and other reselling costs.</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Includes data processing, facility, and marketing costs that are directly charged to the reportable segments.</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Represents centrally-managed costs, including sales, technology and administrative expenses, that are allocated to the reportable segments from Corporate and Other and are considered in the CODM’s evaluation of segment performance.</w:t>
      </w:r>
    </w:p>
    <w:p>
      <w:pPr>
        <w:pStyle w:val="TextBody"/>
        <w:bidi w:val="0"/>
        <w:spacing w:lineRule="auto" w:line="288" w:before="0" w:after="0"/>
        <w:ind w:left="0" w:right="0" w:hanging="360"/>
        <w:jc w:val="left"/>
        <w:rPr/>
      </w:pPr>
      <w:r>
        <w:rPr>
          <w:rFonts w:ascii="Times New Roman;serif" w:hAnsi="Times New Roman;serif"/>
          <w:b w:val="false"/>
          <w:color w:val="000000"/>
          <w:sz w:val="12"/>
        </w:rPr>
        <w:t>(6)</w:t>
      </w:r>
      <w:r>
        <w:rPr>
          <w:rFonts w:ascii="Times New Roman;serif" w:hAnsi="Times New Roman;serif"/>
          <w:b w:val="false"/>
          <w:color w:val="000000"/>
          <w:sz w:val="18"/>
        </w:rPr>
        <w:t>Includes amortization of acquisition-related intangible assets; costs associated with acquisition activity; unallocated corporate expenses; expenses associated with the Company’s One Fiserv transformation initiative; and gains or losses on sale of assets.</w:t>
      </w:r>
    </w:p>
    <w:p>
      <w:pPr>
        <w:pStyle w:val="TextBody"/>
        <w:bidi w:val="0"/>
        <w:spacing w:lineRule="auto" w:line="288" w:before="0" w:after="0"/>
        <w:ind w:left="0" w:right="0" w:hanging="360"/>
        <w:jc w:val="left"/>
        <w:rPr/>
      </w:pPr>
      <w:r>
        <w:rPr>
          <w:rFonts w:ascii="Times New Roman;serif" w:hAnsi="Times New Roman;serif"/>
          <w:b w:val="false"/>
          <w:color w:val="000000"/>
          <w:sz w:val="12"/>
        </w:rPr>
        <w:t>(7)</w:t>
      </w:r>
      <w:r>
        <w:rPr>
          <w:rFonts w:ascii="Times New Roman;serif" w:hAnsi="Times New Roman;serif"/>
          <w:b w:val="false"/>
          <w:color w:val="000000"/>
          <w:sz w:val="18"/>
        </w:rPr>
        <w:t>Includes foreign currency transaction gains and losses, gains or losses from a sale or change in fair value of investments in certain equity securities, and amounts related to debt guarantee arrangements of certain equity method investments.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significant items include:</w:t>
      </w:r>
    </w:p>
    <w:tbl>
      <w:tblPr>
        <w:tblW w:w="10205" w:type="dxa"/>
        <w:jc w:val="left"/>
        <w:tblInd w:w="0" w:type="dxa"/>
        <w:tblLayout w:type="fixed"/>
        <w:tblCellMar>
          <w:top w:w="28" w:type="dxa"/>
          <w:left w:w="28" w:type="dxa"/>
          <w:bottom w:w="28" w:type="dxa"/>
          <w:right w:w="28" w:type="dxa"/>
        </w:tblCellMar>
      </w:tblPr>
      <w:tblGrid>
        <w:gridCol w:w="2074"/>
        <w:gridCol w:w="1815"/>
        <w:gridCol w:w="1845"/>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5"/>
      </w:tblGrid>
      <w:tr>
        <w:trPr/>
        <w:tc>
          <w:tcPr>
            <w:tcW w:w="2074"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Merchant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Financial </w:t>
            </w: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w:t>
            </w:r>
            <w:r>
              <w:rPr>
                <w:rFonts w:ascii="Times New Roman;serif" w:hAnsi="Times New Roman;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including capitalized software and other intangibles: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amortization associated with commissions, residual buyouts and deferred conversion/implementation costs included within personnel expenses, direct costs and other operating expenses, respectively, in the segment operating results tables above.</w:t>
      </w:r>
    </w:p>
    <w:p>
      <w:pPr>
        <w:pStyle w:val="TextBody"/>
        <w:bidi w:val="0"/>
        <w:spacing w:lineRule="auto" w:line="288" w:before="0" w:after="18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Primarily includes amortization of acquisition-related intangible assets, such as customer relationships, software/technology and trade names.</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The Company does not evaluate the performance of or allocate resources to its reportable segments using asset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our ability to successfully implement and achieve the expected benefits associated with our One Fiserv action plan;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international hostilities, and the impact they may have on us and our employees, clients, vendors, supply chain, operations and sales; our ability to use artificial intelligence to improve our products and services and enhance our operations;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included in “Risk Factors” in our Annual Report on Form 10-K for the year ended December 31, 2025,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This section contains background information on: our company and the products and services that we provide, acquisitions, dispositions, other transactions and the trends affecting our industry in order to provide context for management’s discussion and analysis of our financial condition and results of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Changes in critical accounting policies and estimates.</w:t>
      </w:r>
      <w:r>
        <w:rPr>
          <w:color w:val="000000"/>
        </w:rPr>
        <w:t xml:space="preserve"> </w:t>
      </w:r>
      <w:r>
        <w:rPr>
          <w:rFonts w:ascii="Times New Roman;serif" w:hAnsi="Times New Roman;serif"/>
          <w:b w:val="false"/>
          <w:color w:val="000000"/>
          <w:sz w:val="20"/>
        </w:rPr>
        <w:t>This section contains a discussion of changes since our Annual Report on Form 10-K for the year ended December 31, 2025 in the accounting policies that we believe are important to our financial condition and results of operations and that require judgment and estimates on the part of management in their application.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This section contains an analysis of our results of operations presented in the accompanying unaudited consolidated statements of income by comparing the results for the three and six months ended June 30, 2026 to the comparable period in 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This section provides an analysis of our cash flows and a discussion of our outstanding debt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Company Background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a global leader uniting commerce and finance. At the intersection of banking and commerce, we power sustained growth and innovation at scale for financial institutions and businesses worldwide across payments, account processing, digital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pPr>
      <w:r>
        <w:rPr>
          <w:rFonts w:ascii="Times New Roman;serif" w:hAnsi="Times New Roman;serif"/>
          <w:b w:val="false"/>
          <w:color w:val="000000"/>
          <w:sz w:val="20"/>
        </w:rPr>
        <w:t>banking, merchant acquiring, network services, e-commerce, and Clover</w:t>
      </w:r>
      <w:r>
        <w:rPr>
          <w:rFonts w:ascii="Times New Roman;serif" w:hAnsi="Times New Roman;serif"/>
          <w:b w:val="false"/>
          <w:color w:val="000000"/>
          <w:sz w:val="13"/>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all-in-one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 Our operations are comprised of the Merchant Solutions (“Merchant”) segment and Financial Solutions (“Financial”)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focused on providing exceptional client service, world-class execution, value-added technology solutions, and cutting-edge innovation. Our long-term focus is to meet our financial commitments, deliver compelling, innovative solutions that address our clients’ most critical needs, and realize productivity and efficiency gains by embedding artificial intelligence (“AI”) in our products, services and business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businesses in our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point-of-sale (“POS”) devices; and pay-by-bank solutions. The business lines aggregated within the Merchant segment consist of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Small Business –</w:t>
      </w:r>
      <w:r>
        <w:rPr>
          <w:color w:val="000000"/>
        </w:rPr>
        <w:t xml:space="preserve"> </w:t>
      </w:r>
      <w:r>
        <w:rPr>
          <w:rFonts w:ascii="Times New Roman;serif" w:hAnsi="Times New Roman;serif"/>
          <w:b w:val="false"/>
          <w:color w:val="000000"/>
          <w:sz w:val="20"/>
        </w:rPr>
        <w:t>provides products and services to small businesses and independent software vendors (“ISVs”), including Clover, our POS and business management platform for small business clients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Enterprise –</w:t>
      </w:r>
      <w:r>
        <w:rPr>
          <w:color w:val="000000"/>
        </w:rPr>
        <w:t xml:space="preserve"> </w:t>
      </w:r>
      <w:r>
        <w:rPr>
          <w:rFonts w:ascii="Times New Roman;serif" w:hAnsi="Times New Roman;serif"/>
          <w:b w:val="false"/>
          <w:color w:val="000000"/>
          <w:sz w:val="20"/>
        </w:rPr>
        <w:t>provides products and services to large businesses, including our integrated omnichannel operating system for enterprise clients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Processing – </w:t>
      </w:r>
      <w:r>
        <w:rPr>
          <w:rFonts w:ascii="Times New Roman;serif" w:hAnsi="Times New Roman;serif"/>
          <w:b w:val="false"/>
          <w:color w:val="000000"/>
          <w:sz w:val="20"/>
        </w:rPr>
        <w:t>provides products and services to financial institutions, joint ventures, and other third party resellers which have direct relationships with merchants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distribute the products and services in the Merchant segment businesses through a variety of channels, including direct sales teams, strategic partnerships with agent sales forces, ISVs, independent sales organizations, financial institutions and other strategic partners in the form of joint venture alliances, revenue sharing alliances and referral agreements.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businesses in our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Digital Payments</w:t>
      </w:r>
      <w:r>
        <w:rPr>
          <w:color w:val="000000"/>
        </w:rPr>
        <w:t xml:space="preserve"> – </w:t>
      </w:r>
      <w:r>
        <w:rPr>
          <w:rFonts w:ascii="Times New Roman;serif" w:hAnsi="Times New Roman;serif"/>
          <w:b w:val="false"/>
          <w:color w:val="000000"/>
          <w:sz w:val="20"/>
        </w:rPr>
        <w:t>provides debit card processing services; debit network services; security and fraud protection products; bill payment; person-to-person payments; and account-to-account transfers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Issuing</w:t>
      </w:r>
      <w:r>
        <w:rPr>
          <w:color w:val="000000"/>
        </w:rPr>
        <w:t xml:space="preserve"> – </w:t>
      </w:r>
      <w:r>
        <w:rPr>
          <w:rFonts w:ascii="Times New Roman;serif" w:hAnsi="Times New Roman;serif"/>
          <w:b w:val="false"/>
          <w:color w:val="000000"/>
          <w:sz w:val="20"/>
        </w:rPr>
        <w:t>provides credit card processing services; prepaid card processing services; card production services; print services; government payment processing; and student loan servicing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Banking</w:t>
      </w:r>
      <w:r>
        <w:rPr>
          <w:color w:val="000000"/>
        </w:rPr>
        <w:t xml:space="preserve"> – </w:t>
      </w:r>
      <w:r>
        <w:rPr>
          <w:rFonts w:ascii="Times New Roman;serif" w:hAnsi="Times New Roman;serif"/>
          <w:b w:val="false"/>
          <w:color w:val="000000"/>
          <w:sz w:val="20"/>
        </w:rPr>
        <w:t>provides customer loan and deposit account processing; digital banking; financial and risk management; professional services and consulting; and check processing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expenses associated with our One Fiserv transformation initiative; postage reimbursements; and gains on early debt extinguishment associated with refinancing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One Fiserv Action Plan</w:t>
      </w:r>
    </w:p>
    <w:p>
      <w:pPr>
        <w:pStyle w:val="TextBody"/>
        <w:bidi w:val="0"/>
        <w:spacing w:lineRule="auto" w:line="288" w:before="0" w:after="180"/>
        <w:jc w:val="left"/>
        <w:rPr/>
      </w:pPr>
      <w:r>
        <w:rPr>
          <w:rFonts w:ascii="Times New Roman;serif" w:hAnsi="Times New Roman;serif"/>
          <w:b w:val="false"/>
          <w:color w:val="000000"/>
          <w:sz w:val="20"/>
        </w:rPr>
        <w:t>In the third quarter of 2025, we launched the One Fiserv action plan designed to prioritize and enhance client focus across five strategic pillars. The One Fiserv action plan centers our investments in areas that build on Fiserv’s strengths, including: operating with a client-first mindset to grow our client base and average revenue per client; building the leading small business operating platform with Clover</w:t>
      </w:r>
      <w:r>
        <w:rPr>
          <w:rFonts w:ascii="null;sans-serif" w:hAnsi="null;sans-serif"/>
          <w:b w:val="false"/>
          <w:color w:val="000000"/>
          <w:sz w:val="13"/>
        </w:rPr>
        <w:t>®</w:t>
      </w:r>
      <w:r>
        <w:rPr>
          <w:rFonts w:ascii="Times New Roman;serif" w:hAnsi="Times New Roman;serif"/>
          <w:b w:val="false"/>
          <w:color w:val="000000"/>
          <w:sz w:val="20"/>
        </w:rPr>
        <w:t>; creating innovative platforms in finance and commerce to drive value for our clients, including embedded finance and stablecoin; delivering AI-enabled operational excellence and efficiency; and employing disciplined long-term capital allocation.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advance this transformation, we are simplifying and standardizing processes, adopting new ways of working, and embedding AI to create a higher-quality, more productive business. This approach rethinks how business functions operate and aligns our product portfolio for the future. We are modernizing our technology infrastructure, enhancing resiliency, and reengineering our operating model through AI and advanced automation. We expect these efforts to strengthen efficiency, scalability, and innovation to deliver differentiated value and an exceptional experience for our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Acquisitions, Dispositions and Other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frequently review our businesses to ensure we have the necessary assets to execute our strategy. We expect to acquire businesses when we identify: a compelling strategic need, such as a product, service or technology that helps meet client demand; a way to achieve business scale that enables competition and operational efficiency; or similar considerations. We expect to divest businesses that are not in line with our market, product or financial strategies. The results of operations for the following acquired businesses are included in our consolidated results from the respective dates of acquisition.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Acquisitions of Businesses</w:t>
      </w:r>
    </w:p>
    <w:p>
      <w:pPr>
        <w:pStyle w:val="TextBody"/>
        <w:bidi w:val="0"/>
        <w:spacing w:lineRule="auto" w:line="288" w:before="0" w:after="180"/>
        <w:jc w:val="left"/>
        <w:rPr/>
      </w:pPr>
      <w:r>
        <w:rPr>
          <w:rFonts w:ascii="Times New Roman;serif" w:hAnsi="Times New Roman;serif"/>
          <w:b w:val="false"/>
          <w:color w:val="000000"/>
          <w:sz w:val="20"/>
        </w:rPr>
        <w:t>On December 17, 2025, we acquired StoneCastle Cash Management, LLC, INDX Processing, LLC and StoneCastle Trust Co. (collectively, “StoneCastle”), a provider of deposit funding solutions. StoneCastle is included within the Financial segment and provides its network of depository institutions easy access to stable, cost efficient deposit funding. On October 1, 2025, we acquired a portion of The Toronto-Dominion Bank’s merchant processing business in Canada (“TD Merchant Canada”). This business is included within the Merchant segment and expands the footprint of our Clover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In connection with this transaction, we signed a multi-year strategic managed services program agreement with The Toronto-Dominion Bank to utilize our technology, including Clover, within its Merchant Solutions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25, 2025, we acquired the Smith Consulting Group, LLC business (“SCG”), an operational consulting service utilized by community banks and credit unions across the U.S. SCG is included within the Financial segment and supports our ability to provide consultative engagement to enhance community banks’ and credit unions’ strategic investments. On September 4, 2025, we acquired CardFree Inc. (“CardFree”), an all-in-one platform delivering integrated order, payment and loyalty solutions for merchants. CardFree is included within the Merchant segment and further expands the capabilities of our Clover platform across the hospitality, restaurant and lodging industries.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4, 2025, we acquired Money Money Serviços Financeiros S.A. (“Money Money”), a provider of risk analysis and credit decisioning solutions. Money Money is included within the Merchant segment and expands our payment and financial service capabilities, enabling access to working capital and other payment solutions for small and medium-sized businesses. On April 4, 2025, we acquired Pinch Payments NZ Limited (together with Zootive Pty Ltd, “Pinch Payments”), a payment facilitator. Pinch Payments is included within the Merchant segment and expands our flexible payment services for our partners and clients and our presence within the Asia-Pacific region.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18, 2025, we acquired CCV Group B.V. (“CCV”), a supplier of POS payment solutions. CCV is included within the Merchant segment and expands our network of payment solutions, enabling our ability to accelerate the deployment of our Clover POS and business management platform across Europe. On March 2, 2025, we acquired Payfare, Inc. (“Payfare”), a provider of program management solutions powering instant access to earnings and banking solutions for workforces. Payfare is included within the Financial segment and expands our embedded finance capabilities for large enterprises and financial institutions.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acquired these businesses for an aggregate purchase price, including deferred payments, of $857 million, net of $84 million of acquired cash and including earn-out provisions estimated at a fair value of $35 million.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Disposition of Business and Other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a definitive agreement to sell our student loan servicing business, which is reported within the Financial segment. The transaction is expected to close in the third quarter of 2026, subject to customary closing conditions.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2026, we formed a joint venture, MoneyPass Group, of which we will maintain a 49% ownership interest, encompassing our MoneyPass Network, ATM Managed Services and Cash Intelligence businesses, which are reported within the Financial segment.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September 5, 2025, we acquired the remaining 49.9% ownership interest, including cash held of $195 million, in AIB Merchant Services (“AIBMS”), a payments solution provider, for $420 million. On April 17, 2025, we acquired the remaining 19% ownership interest in ICICI Merchant Services Private Limited, a merchant acceptance business, for $22 million. We previously held a majority controlling financial interest in each of these subsidiaries, which continue to be consolidated and reported within the Merchant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2024, Wells Fargo Bank, National Association (“Wells Fargo”) provided us with a notice of non-renewal for the Wells Fargo Merchant Services merchant alliance (“WFMS”), which was accounted for as an equity method investment. Upon the expiration of the joint venture in April 2025, we received a cash payment of $453 million. In connection with the non-renewal of WFMS, we entered into a multi-year agreement with Wells Fargo to provide processing for current and future merchant clients as well as other services to Wells Fargo’s merchant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Industry Trends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 These innovations are driving a competitive landscape where customer expectations evolve rapidly as services digitize and choices multiply.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Merchants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Consumers are increasingly using digital wallets, contactless payments, and mobile-first solutions, making omnichannel strategies that integrate online, mobile, and in-store experiences essential for customer retention. Consumers expect instant and secure checkouts, making simplified payment orchestration critical.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Merchants are moving beyond traditional payment acceptance to offer embedded financial services to deepen customer relationships and create new revenue streams. Unified commerce solutions and value-added services are becoming key differentiators in competitive markets.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Additionally, there are numerous software-as-a-service solution providers in the industry, many of which have chosen to integrate merchant acquiring into their software as a way to generate revenue from existing client relationships. Such providers are referred to as ISVs, and we believe there are numerous potential distribution partnership opportunities to cross-sell multiple value-added solutions available to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 We are at the intersection of finance and commerce, creating opportunities for integrated solutions that combine payment acceptance, financial services, and data-driven insights.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Financial Institutions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institutions must be able to serve their customers with tailored solutions, delivered how and when those customers desire. In addition, financial institutions are striving for this single, integrated view of a customer’s activity. This requires financial institutions to not only process customer transactions, but to integrate financial institutions’ products and services to give customers easy access to integrated solutions.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Demand for innovative payment solutions continues to grow, with a focus on faster, more convenient options across mobile channels, online applications, in-store cards, and digital currencies. Financial institutions are adopting advanced technologies, introducing new solutions, and responding to an increasingly complex regulatory landscape. We expect that financial institutions will continue to invest significant capital to process transactions, manage information, maintain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and offer innovative new services to their customers in this rapidly evolving and competitive environmental shift from traditional to digital banking. Stablecoins and cryptocurrencies may also become more widely used as digital currencies provide increased accessibility and efficiency. We believe that economies of scale in developing and maintaining the infrastructure, technology, products, services and networks necessary to be competitive in such a dynamic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 Market Conditions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Global macroeconomic conditions, including changing interest rates; inflation; disruptions in the global supply chain; changes in consumer spending, including a rise in fuel prices in the first half of 2026; legislative changes, including potential effects of new tax laws; the effects of international hostilities; political conditions; regulations restricting trade or impacting our ability to offer products or services; and trade policies and tariffs, could have a material adverse effect on our business, results of operations and financial condition. A decline in personal consumption and consumer savings in the U.S. may also negatively impact our business and financial results. We actively monitor and manage our business in response to these unpredictable geopolitical and market conditions, as they may adversely impact our operations and financial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our operating results in certain foreign countries in which we operate may be adversely impacted by fluctuations in interest rates and exchange rates for currencies other than the U.S. dollar, including the Euro, British Pound, Indian Rupee, Brazilian Real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in the U.S., we actively monitor the interest rate and foreign exchange rate environment and may enter into derivative instruments and utilize other non-derivative hedging instruments with creditworthy institutions in an effort to manage these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Critical Accounting Policies and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unaudited consolidated financial statements and accompanying notes have been prepared in accordance with accounting principles generally accepted in the United States of America, which require management to make estimates, judgments and assumptions that affect the reported amount of assets, liabilities, revenue and expenses. In our Annual Report on Form 10-K for the year ended December 31, 2025,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identifiable assets acquired and liabilities assumed in connection with acquisitions of businesses and may record purchase accounting adjustments during the measurement period, which may be up to one year from the acquisition date. Additionally, we review the carrying value of goodwill for impairment by comparing the estimated fair values of our reporting units to their respective carrying values.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 There have been no material changes to our critical accounting policies and estimates from those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expenses associated with our One Fiserv transformation initiative, net gains or losses on sale of assets, foreign currency fluctuations, and gains on early debt extinguishment associated with refinancing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1352"/>
        <w:gridCol w:w="933"/>
        <w:gridCol w:w="890"/>
        <w:gridCol w:w="211"/>
        <w:gridCol w:w="616"/>
        <w:gridCol w:w="109"/>
        <w:gridCol w:w="109"/>
        <w:gridCol w:w="109"/>
        <w:gridCol w:w="109"/>
        <w:gridCol w:w="211"/>
        <w:gridCol w:w="616"/>
        <w:gridCol w:w="109"/>
        <w:gridCol w:w="109"/>
        <w:gridCol w:w="109"/>
        <w:gridCol w:w="109"/>
        <w:gridCol w:w="307"/>
        <w:gridCol w:w="309"/>
        <w:gridCol w:w="292"/>
        <w:gridCol w:w="109"/>
        <w:gridCol w:w="109"/>
        <w:gridCol w:w="109"/>
        <w:gridCol w:w="307"/>
        <w:gridCol w:w="309"/>
        <w:gridCol w:w="292"/>
        <w:gridCol w:w="109"/>
        <w:gridCol w:w="109"/>
        <w:gridCol w:w="109"/>
        <w:gridCol w:w="234"/>
        <w:gridCol w:w="542"/>
        <w:gridCol w:w="121"/>
        <w:gridCol w:w="121"/>
        <w:gridCol w:w="121"/>
        <w:gridCol w:w="121"/>
        <w:gridCol w:w="207"/>
        <w:gridCol w:w="207"/>
        <w:gridCol w:w="360"/>
      </w:tblGrid>
      <w:tr>
        <w:trPr/>
        <w:tc>
          <w:tcPr>
            <w:tcW w:w="13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Percentage of</w:t>
            </w:r>
          </w:p>
          <w:p>
            <w:pPr>
              <w:pStyle w:val="TableContents"/>
              <w:bidi w:val="0"/>
              <w:spacing w:lineRule="auto" w:line="240" w:before="0" w:after="0"/>
              <w:jc w:val="center"/>
              <w:rPr/>
            </w:pPr>
            <w:r>
              <w:rPr>
                <w:rFonts w:ascii="Times New Roman;serif" w:hAnsi="Times New Roman;serif"/>
                <w:b/>
                <w:color w:val="000000"/>
                <w:sz w:val="20"/>
              </w:rPr>
              <w:t xml:space="preserve">Revenue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Increase (Decrease) </w:t>
            </w:r>
            <w:r>
              <w:rPr>
                <w:rFonts w:ascii="Times New Roman;serif" w:hAnsi="Times New Roman;serif"/>
                <w:b/>
                <w:color w:val="000000"/>
                <w:sz w:val="13"/>
              </w:rPr>
              <w:t>(2)</w:t>
            </w:r>
          </w:p>
        </w:tc>
      </w:tr>
      <w:tr>
        <w:trPr/>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processing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sale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early debt extinguishment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income (loss) from investments in unconsolidated affiliates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investments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Fiserv,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1352"/>
        <w:gridCol w:w="933"/>
        <w:gridCol w:w="890"/>
        <w:gridCol w:w="211"/>
        <w:gridCol w:w="616"/>
        <w:gridCol w:w="109"/>
        <w:gridCol w:w="109"/>
        <w:gridCol w:w="109"/>
        <w:gridCol w:w="109"/>
        <w:gridCol w:w="211"/>
        <w:gridCol w:w="616"/>
        <w:gridCol w:w="109"/>
        <w:gridCol w:w="109"/>
        <w:gridCol w:w="109"/>
        <w:gridCol w:w="109"/>
        <w:gridCol w:w="307"/>
        <w:gridCol w:w="309"/>
        <w:gridCol w:w="292"/>
        <w:gridCol w:w="109"/>
        <w:gridCol w:w="109"/>
        <w:gridCol w:w="109"/>
        <w:gridCol w:w="307"/>
        <w:gridCol w:w="309"/>
        <w:gridCol w:w="292"/>
        <w:gridCol w:w="109"/>
        <w:gridCol w:w="109"/>
        <w:gridCol w:w="109"/>
        <w:gridCol w:w="234"/>
        <w:gridCol w:w="542"/>
        <w:gridCol w:w="121"/>
        <w:gridCol w:w="121"/>
        <w:gridCol w:w="121"/>
        <w:gridCol w:w="121"/>
        <w:gridCol w:w="207"/>
        <w:gridCol w:w="207"/>
        <w:gridCol w:w="360"/>
      </w:tblGrid>
      <w:tr>
        <w:trPr/>
        <w:tc>
          <w:tcPr>
            <w:tcW w:w="13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Percentage of</w:t>
            </w:r>
          </w:p>
          <w:p>
            <w:pPr>
              <w:pStyle w:val="TableContents"/>
              <w:bidi w:val="0"/>
              <w:spacing w:lineRule="auto" w:line="240" w:before="0" w:after="0"/>
              <w:jc w:val="center"/>
              <w:rPr/>
            </w:pPr>
            <w:r>
              <w:rPr>
                <w:rFonts w:ascii="Times New Roman;serif" w:hAnsi="Times New Roman;serif"/>
                <w:b/>
                <w:color w:val="000000"/>
                <w:sz w:val="20"/>
              </w:rPr>
              <w:t xml:space="preserve">Revenue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Increase (Decrease) </w:t>
            </w:r>
            <w:r>
              <w:rPr>
                <w:rFonts w:ascii="Times New Roman;serif" w:hAnsi="Times New Roman;serif"/>
                <w:b/>
                <w:color w:val="000000"/>
                <w:sz w:val="13"/>
              </w:rPr>
              <w:t>(2)</w:t>
            </w:r>
          </w:p>
        </w:tc>
      </w:tr>
      <w:tr>
        <w:trPr/>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processing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early debt extinguishment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income (loss) from investments in unconsolidated affiliates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investments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Fiserv,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4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Percentage of revenue is calculated as the relevant revenue, expense or income amount divided by total revenue, except for cost of processing and services and cost of product amounts, which are divided by the related component of revenue.</w:t>
      </w:r>
    </w:p>
    <w:p>
      <w:pPr>
        <w:pStyle w:val="TextBody"/>
        <w:bidi w:val="0"/>
        <w:spacing w:lineRule="auto" w:line="288" w:before="100" w:after="18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1065"/>
        <w:gridCol w:w="865"/>
        <w:gridCol w:w="867"/>
        <w:gridCol w:w="211"/>
        <w:gridCol w:w="616"/>
        <w:gridCol w:w="451"/>
        <w:gridCol w:w="109"/>
        <w:gridCol w:w="109"/>
        <w:gridCol w:w="109"/>
        <w:gridCol w:w="916"/>
        <w:gridCol w:w="109"/>
        <w:gridCol w:w="109"/>
        <w:gridCol w:w="109"/>
        <w:gridCol w:w="211"/>
        <w:gridCol w:w="616"/>
        <w:gridCol w:w="451"/>
        <w:gridCol w:w="109"/>
        <w:gridCol w:w="190"/>
        <w:gridCol w:w="190"/>
        <w:gridCol w:w="191"/>
        <w:gridCol w:w="211"/>
        <w:gridCol w:w="258"/>
        <w:gridCol w:w="262"/>
        <w:gridCol w:w="109"/>
        <w:gridCol w:w="109"/>
        <w:gridCol w:w="109"/>
        <w:gridCol w:w="109"/>
        <w:gridCol w:w="211"/>
        <w:gridCol w:w="616"/>
        <w:gridCol w:w="451"/>
        <w:gridCol w:w="157"/>
      </w:tblGrid>
      <w:tr>
        <w:trPr/>
        <w:tc>
          <w:tcPr>
            <w:tcW w:w="10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82" w:type="dxa"/>
            <w:gridSpan w:val="15"/>
            <w:tcBorders/>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and Other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2602" w:type="dxa"/>
            <w:gridSpan w:val="11"/>
            <w:tcBorders/>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change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change percentage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change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change percentage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margin change</w:t>
            </w:r>
            <w:r>
              <w:rPr>
                <w:color w:val="000000"/>
              </w:rPr>
              <w:t xml:space="preserve">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0"/>
        <w:gridCol w:w="778"/>
        <w:gridCol w:w="779"/>
        <w:gridCol w:w="211"/>
        <w:gridCol w:w="616"/>
        <w:gridCol w:w="451"/>
        <w:gridCol w:w="109"/>
        <w:gridCol w:w="109"/>
        <w:gridCol w:w="109"/>
        <w:gridCol w:w="916"/>
        <w:gridCol w:w="109"/>
        <w:gridCol w:w="109"/>
        <w:gridCol w:w="109"/>
        <w:gridCol w:w="211"/>
        <w:gridCol w:w="616"/>
        <w:gridCol w:w="451"/>
        <w:gridCol w:w="109"/>
        <w:gridCol w:w="190"/>
        <w:gridCol w:w="190"/>
        <w:gridCol w:w="191"/>
        <w:gridCol w:w="211"/>
        <w:gridCol w:w="331"/>
        <w:gridCol w:w="334"/>
        <w:gridCol w:w="109"/>
        <w:gridCol w:w="109"/>
        <w:gridCol w:w="109"/>
        <w:gridCol w:w="109"/>
        <w:gridCol w:w="211"/>
        <w:gridCol w:w="721"/>
        <w:gridCol w:w="451"/>
        <w:gridCol w:w="157"/>
      </w:tblGrid>
      <w:tr>
        <w:trPr/>
        <w:tc>
          <w:tcPr>
            <w:tcW w:w="99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532" w:type="dxa"/>
            <w:gridSpan w:val="15"/>
            <w:tcBorders/>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Merchant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and Other</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2852" w:type="dxa"/>
            <w:gridSpan w:val="11"/>
            <w:tcBorders/>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change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change percentage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change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change percentage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margin change</w:t>
            </w:r>
            <w:r>
              <w:rPr>
                <w:color w:val="000000"/>
              </w:rPr>
              <w:t xml:space="preserve">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the basis point change in operating margin.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and operating income (loss) change percentages, as well as operating margin percentages are calculated using actual, unrounded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Total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revenue decreased $224 million, or 4%, in the second quarter of 2026 and $327 million, or 3%, in the first six months of 2026 compared to the prior year periods, primarily due to lower data and analytics sales and license revenue in both the second quarter and first six months of 2026. Revenue decreased 1% in our Merchant segment in both the second quarter and first six months of 2026 and decreased 8% and 6% in our Financial segment in the second quarter and first six months of 2026, respectively, compared to the prior year periods.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 our Merchant segment decreased $36 million, or 1%, in the second quarter of 2026 and $35 million, or 1%, in the first six months of 2026 compared to the prior year periods. Small Business contributed a 1% decline to Merchant segment revenue in the second quarter of 2026 and its contribution was flat in the first six months of 2026; Enterprise’s contribution was flat in both the second quarter and first six months of 2026; and Processing contributed a 1% decline to Merchant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in both the second quarter and first six months of 2026. The decrease in revenue in our Merchant segment in the second quarter and first six months of 2026 was primarily due to a $45 million and $72 million decrease, respectively, in anticipation revenue in Argentina, attributed to lower inflation and interest rates, as well as a decline in hardware revenue in both periods. Revenue in our Merchant segment was also negatively impacted by lower data and analytics sales across Small Business, Enterprise and Processing compared to the prior year periods. The overall decrease in revenue in our Merchant segment was partially offset by Small Business volume growth, including from our Clover POS and business management platform.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in our Financial segment decreased $197 million, or 8%, in the second quarter of 2026 and $312 million, or 6%, in the first six months of 2026 compared to the prior year periods. Digital Payments contributed a 2% decline to Financial segment revenue in both the second quarter and first six months of 2026; Issuing contributed a 4% and 3% decline in the second quarter and first six months of 2026, respectively; and Banking contributed a 2% and 1% decline to Financial segment revenue in the second quarter and first six months of 2026, respectively. Revenue in our Financial segment in the second quarter and first six months of 2026 was negatively impacted by lower data and analytics sales and license revenue compared to the prior year periods, primarily within Digital Payments and Issuing.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at Corporate and Other increased $9 million, or 3%, in the second quarter and increased $20 million, or 3%, in the first six months of 2026 compared to the prior year periods, due to an increase in postage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Total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expenses increased $457 million, or 12%, in the second quarter of 2026 and $831 million, or 11%, in the first six months of 2026 compared to the prior year periods. Total expenses as a percentage of total revenue increased to 80.8% in the second quarter of 2026 and to 81.3% in the first six months of 2026 compared to 69.3% and 71.0%, respectively, in the prior year periods. Total expenses as a percentage of total revenue were impacted by higher costs to support the client experience, including personnel costs of approximately 580 basis points and 530 basis points; costs associated with our strategic One Fiserv transformation program of approximately 350 basis points and 320 basis points; and data processing costs, including increased technology infrastructure expenses, of approximately 280 basis points and 260 basis points in the second quarter and first six months of 2026, respectively. Total expenses as a percentage of total revenue in the first six months of 2026 was favorably impacted by a net gain on the sale-leaseback of certain facilities of $83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processing and services as a percentage of processing and services revenue increased to 39.7% in the second quarter of 2026 compared to 32.8% in the second quarter of 2025 and increased to 39.7% in the first six months of 2026 compared to 33.5% in the first six months of 2025. Cost of processing and services as a percentage of processing and services revenue was negatively impacted by higher personnel costs of approximately 330 basis points and 300 basis points; costs associated with our strategic One Fiserv transformation program of approximately 180 basis points and 190 basis points; and higher data processing costs, including increased technology infrastructure expenses, of approximately 200 basis points and 180 basis points in the second quarter and first six months of 2026,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Cost of product as a percentage of product revenue increased to 68.9% in the second quarter of 2026 compared to 57.3% in the second quarter of 2025 and increased to 70.8% in the first six months of 2026 compared to 60.0% in the first six months of 2025. Cost of product as a percentage of product revenue in the second quarter and first six months of 2026 was negatively impacted by higher personnel costs of approximately 260 basis points and 250 basis points, respectively, as well as a decrease in total company high margin data and analytics sales and license revenue compared to the prior year periods.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percentage of total revenue increased to 35.7% in the second quarter of 2026 compared to 31.0% in the second quarter of 2025 and increased to 36.6% in the first six months of 2026 compared to 31.9% in the first six months of 2025. Selling, general and administrative expenses as a percentage of total revenue was negatively impacted by higher personnel costs of approximately 230 basis points and 220 basis points; costs associated with our strategic One Fiserv transformation program of approximately 200 basis points and 160 basis points; and higher payments to distribution partners of approximately 130 basis points and 110 basis points in the second quarter and first six months of 2026,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first six months of 2026 included a net gain on the sale-leaseback of certain facilities of $83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Operating Income and Operating Margin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income decreased $681 million, or 40%, in the second quarter of 2026 and $1.2 billion, or 37%, in the first six months of 2026 compared to the prior year periods. Total operating margin decreased to 19.2% and 18.7% in the second quarter and first six months of 2026 compared to 30.7% and 29.0%, respectively, in the prior year periods. Total operating income and total operating margin in both the second quarter and first six months of 2026 were negatively impacted by a decrease in high margin license revenue and data and analytics sales, along with higher costs to support the client experience,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personnel costs, costs associated with our strategic One Fiserv transformation program, and data processing costs, including increased technology infrastructure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income in our Merchant segment decreased $133 million, or 14%, in the second quarter of 2026 and $317 million, or 18%, in the first six months of 2026 compared to the prior year periods. Operating margin decreased to 30.0% and 28.3% in the second quarter and first six months of 2026 compared to 34.6% and 34.4%, respectively, in the prior year periods. Operating income and operating margin in our Merchant segment were negatively impacted by a decrease in anticipation revenue in Argentina, as well as a decrease in high margin data and analytics sales in both the second quarter and first six months of 2026. Operating income and operating margin in our Merchant segment were also negatively impacted by higher payments to distribution partners in both the second quarter and first six months of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in our Financial segment decreased $332 million, or 27%, in the second quarter of 2026 and $603 million, or 25%, in the first six months of 2026 compared to the prior year periods. Operating margin decreased to 38.7% and 38.4% in the second quarter and first six months of 2026 compared to 48.7% and 48.1%, respectively, in the prior year periods. The decrease in operating income and operating margin in our Financial segment in the second quarter and first six months of 2026 was primarily due to a decrease in high margin license revenue and data and analytics sales and higher personnel costs.</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operating loss in Corporate and Other increased $216 million in the second quarter of 2026 and increased $238 million in the first six months of 2026 compared to the prior year periods. The operating loss in the second quarter and first six months of 2026 included costs associated with our strategic One Fiserv transformation program of $187 million and $329 million, respectively. The operating loss in the first six months of 2026 was partially offset by a net gain of $83 million on the sale-leaseback of certain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Expense, Net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$5 million, or 1%, in the second quarter of 2026 and $21 million, or 3%, in the first six months of 2026 compared to the prior year periods due to debt financing activities, including our public offering and issuances of $2.0 billion and €2.175 billion of senior notes in August 2025 and May 2025, respectively, as well as an increase in finance lease and other financing obligations, partially offset by lower variable weighted average interest rates on our foreign lines of credit used to advance funds under our settlement anticipation program in Latin America. Interest expense, net in the second quarter and first six months of 2026 also includes the recognition of $22 million of unamortized losses on treasury lock agreements associated with a portion of our senior notes due in July 2049 that were early extinguished during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Gain on Early Debt Extinguishment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June 2026, we purchased through a cash tender offer and open market repurchase a portion of our outstanding 5.150% senior notes due in March 2027 and 4.400% senior notes due in July 2049. Upon expiration of the cash tender offer, $1.3 billion aggregate principal amount of the senior notes was tendered and accepted for purchase for total consideration of $1.2 billion paid to holders. Additionally, $28 million aggregate principal amount of the senior notes due in July 2049 was retired through an open market repurchase for total consideration of $23 million paid to holders. This activity resulted in a pre-tax gain on early debt extinguishment of $154 million recorded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expense, net decreased $15 million, or 38%, in the second quarter of 2026 and $55 million, or 96%, in the first six months of 2026 compared to the prior year periods. Other expense, net includes the remeasurement of monetary assets and liabilities for subsidiaries located in highly inflationary economies, gains or losses from a sale or change in fair value of investments in equity securities, and amounts related to debt guarantee arrangements of certain joint ventures. The remeasurement of monetary assets and liabilities of subsidiaries located in Argentina, a highly inflationary economy, resulted in foreign currency exchange losses of $30 million and $46 million for the three months ended June 30, 2026 and 2025, and $9 million and $64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provision as a percentage of income before income taxes and income (loss) from investments in unconsolidated affiliates was 20.2% and 19.0% for the three months ended June 30, 2026 and 2025, and 13.2% and 18.6% for the six months ended June 30, 2026 and 2025, respectively. The effective income tax rate for the six months ended June 30, 2026 included the impact of a $293 million benefit related to the release of a valuation allowance against certain foreign net operating loss carryforwards that were determined to be realizable during the first quarter of 2026. This benefit was partially offset by a $39 million increase in U.S. federal unrecognized tax benefits for tax positions taken in prior years, $35 million in discrete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expense from share-based awards and a $39 million increase in various other foreign valuation allowances during the first quarter of 2026. The net impact of these items resulted in a lower effective income tax rate compared to the statutory tax rate and prior year period. The effective income tax rate for the first six months ended June 30, 2025 included discrete tax benefits from share-based awards, resulting in a lower effective income tax rate compared to the statutory income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Income (Loss) from Investments in Unconsolidated Affiliates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share of income or loss from unconsolidated affiliates accounted for using the equity method is reported within income (loss) from investments in unconsolidated affiliates, and the related tax expense or benefit is reported within the income tax provision in the consolidated statements of income. Income (loss) from investments in unconsolidated affiliates, including acquired intangible asset amortization from valuations in purchase accounting, was $11 million and $(16) million in the second quarter of 2026 and 2025, and $15 million and $(24) million in the first six months of 2026 and 2025, respectively. Loss from investments in unconsolidated affiliates in the second quarter and first six months of 2025 included $16 million of non-cash impairment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relates to the minority partners’ share of the net income in our consolidated subsidiaries and was $3 million and $4 million in the second quarter of 2026 and 2025, and $5 million and $1 million in the first six months of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Net Income Per Share – Diluted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Fiserv, Inc. per share-diluted was $1.17 and $1.86 in the second quarter of 2026 and 2025, and was $2.24 and $3.36 in the first six months of 2026 and 2025, respectively, driven by the impacts to net income attributable to Fiserv, Inc. described above. Net income attributable to Fiserv, Inc. per share-diluted also includes the impact of a reduction in our diluted weighted average outstanding shares due to our share repurchase program (1.7 million and 12.2 million shares of common stock were repurchased in the second quarter of 2026 and 2025, and 5.0 million and 21.9 million shares of common stock were repurchased in the first six months of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primary liquidity needs in the ordinary course of business are to: (i) fund normal operating expenses; (ii) meet the interest and principal requirements of our outstanding indebtedness, including finance lease and other financing obligations; and (iii) fund capital expenditures and operating lease payments. We believe these needs will be satisfied in both the short and long term using cash flow generated by our operations, along with our cash and cash equivalents of $627 million, proceeds from the issuance of U.S. dollar and Euro commercial paper, and available capacity under our revolving credit facility of $4.2 billion (net of $3.8 billion of capacity designated for outstanding borrowings under our commercial paper programs, senior notes due within the next 12 months and letters of credit)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net cash provided by operating activities, or operating cash flow, and capital expenditures:</w:t>
      </w:r>
    </w:p>
    <w:tbl>
      <w:tblPr>
        <w:tblW w:w="10205" w:type="dxa"/>
        <w:jc w:val="left"/>
        <w:tblInd w:w="0" w:type="dxa"/>
        <w:tblLayout w:type="fixed"/>
        <w:tblCellMar>
          <w:top w:w="28" w:type="dxa"/>
          <w:left w:w="28" w:type="dxa"/>
          <w:bottom w:w="28" w:type="dxa"/>
          <w:right w:w="28" w:type="dxa"/>
        </w:tblCellMar>
      </w:tblPr>
      <w:tblGrid>
        <w:gridCol w:w="2066"/>
        <w:gridCol w:w="1796"/>
        <w:gridCol w:w="1823"/>
        <w:gridCol w:w="211"/>
        <w:gridCol w:w="616"/>
        <w:gridCol w:w="109"/>
        <w:gridCol w:w="109"/>
        <w:gridCol w:w="109"/>
        <w:gridCol w:w="109"/>
        <w:gridCol w:w="211"/>
        <w:gridCol w:w="616"/>
        <w:gridCol w:w="109"/>
        <w:gridCol w:w="109"/>
        <w:gridCol w:w="109"/>
        <w:gridCol w:w="109"/>
        <w:gridCol w:w="222"/>
        <w:gridCol w:w="542"/>
        <w:gridCol w:w="114"/>
        <w:gridCol w:w="114"/>
        <w:gridCol w:w="114"/>
        <w:gridCol w:w="114"/>
        <w:gridCol w:w="215"/>
        <w:gridCol w:w="215"/>
        <w:gridCol w:w="344"/>
      </w:tblGrid>
      <w:tr>
        <w:trPr/>
        <w:tc>
          <w:tcPr>
            <w:tcW w:w="206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early debt extinguishment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investments in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foreign currency exchange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working capital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including capitalized software and other intangibles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operating cash flow was $2.1 billion in the first six months of 2026, a decrease of 10% compared with $2.3 billion in the first six months of 2025. The decrease was primarily attributable to lower profitability, partially offset by a lower use of working capital compared to the first six months of 2025, including trade accounts receivable collections and timing of prepaid expenses and accounts payable.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current policy is to use our operating cash flow primarily to fund capital expenditures, merchant and settlement anticipation cash advances, share repurchases, acquisitions and to repay debt rather than to pay dividends. Our capital expenditures were approximately 9% and 8% of our total revenue for the first six months of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 Repurchases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We repurchased 1.7 million shares of our common stock for approximately $100 million and 12.2 million shares of our common stock for $2.2 billion during the second quarter of 2026 and 2025, respectively. We repurchased 5.0 million shares of our common stock for approximately $300 million and 21.9 million shares of our common stock for $4.4 billion during the first six months of 2026 and 2025, respectively. On February 19, 2025, our board of directors authorized the purchase of up to 60.0 million shares of our common stock. This authorization does not expire. As of June 30, 2026, we had approximately 40.8 million shares remaining under our existing repurchase authorization. Shares repurchased are generally held for issuance in connection with our equity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Acquisitions and Other Transactions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Acquisitions of Businesses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acquired StoneCastle, TD Merchant Canada, SCG, CardFree, Money Money, Pinch Payments, CCV, and Payfare in 2025 for an aggregate purchase price, including deferred payments, of $857 million, net of $84 million of acquired cash and including earn-out provisions estimated at a fair value of $35 million. We funded these acquisitions by utilizing a combination of available cash and commercial paper. The results of operations for these acquired businesses are included in our consolidated results from the respective dates of acquisition.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May 2026, we entered into asset purchase and sale agreements with certain third parties providing for the monthly sale of certain future credit card receivables originated under our merchant cash advance programs. Aggregate proceeds from the sales of merchant cash advance receivables under these arrangements were $152 million during the six months ended June 30, 2026. The proceeds from these sales were primarily used to pay down indebtedness. Monthly sales of future credit card receivables under these agreements are expected to occur throughout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we entered into sale leaseback arrangements for certain of our facilities for an aggregate net sales price of $201 million. The proceeds, which were received in the first six months of 2026, were primarily used for general corporate purposes, including the repayment of debt.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September 2025, we acquired the remaining 49.9% ownership interest, including cash held of $195 million, in AIBMS for $420 million. In April 2025, we acquired the remaining 19% ownership interest in ICICI Merchant Services Private Limited for $22 million. We previously held a majority controlling financial interest in each of these consolidated subsidiaries and funded these transactions utilizing a combination of available cash and proceeds from commercial paper borrowings.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2024, Wells Fargo provided us with a notice of non-renewal for WFMS and upon the expiration of the joint venture in April 2025, we received a cash payment of $453 million, which was primarily used to pay down indebtedness and for share repurchases.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Indebtedness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debt consisted of the following at:</w:t>
      </w:r>
    </w:p>
    <w:tbl>
      <w:tblPr>
        <w:tblW w:w="8755" w:type="dxa"/>
        <w:jc w:val="left"/>
        <w:tblInd w:w="0" w:type="dxa"/>
        <w:tblLayout w:type="fixed"/>
        <w:tblCellMar>
          <w:top w:w="28" w:type="dxa"/>
          <w:left w:w="28" w:type="dxa"/>
          <w:bottom w:w="28" w:type="dxa"/>
          <w:right w:w="28" w:type="dxa"/>
        </w:tblCellMar>
      </w:tblPr>
      <w:tblGrid>
        <w:gridCol w:w="1949"/>
        <w:gridCol w:w="1710"/>
        <w:gridCol w:w="1725"/>
        <w:gridCol w:w="258"/>
        <w:gridCol w:w="883"/>
        <w:gridCol w:w="133"/>
        <w:gridCol w:w="109"/>
        <w:gridCol w:w="109"/>
        <w:gridCol w:w="109"/>
        <w:gridCol w:w="344"/>
        <w:gridCol w:w="1175"/>
        <w:gridCol w:w="251"/>
      </w:tblGrid>
      <w:tr>
        <w:trPr/>
        <w:tc>
          <w:tcPr>
            <w:tcW w:w="194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and current maturities of long-term debt:</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lines of credit</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and other financing obligations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current maturities of long-term debt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3.200% senior notes due July 2026</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5.150% senior notes due March 2027</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2.250% senior notes due June 2027</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1.125% senior notes due July 2027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5.450% senior notes due March 2028</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2.875% senior notes due June 2028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5.375% senior notes due August 2028</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4.200% senior notes due October 2028</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3.500% senior notes due July 2029</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4.750% senior notes due March 2030</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2.650% senior notes due June 2030</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1.625% senior notes due July 2030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3.750% senior notes due October 2030 (Euro-denominated)</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4.550% senior notes due February 2031</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5.350% senior notes due March 2031</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4.500% senior notes due May 2031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3.000% senior notes due July 2031 (British Pound-denominated)</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3.500% senior notes due June 2032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5.600% senior notes due March 2033</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5.625% senior notes due August 2033</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5.450% senior notes due March 2034</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4.250% senior notes due June 2034 (Euro-denominated)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5.150% senior notes due August 2034</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5.250% senior notes due August 2035</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4.000% senior notes due June 2036 (Euro-denominated)</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4.400% senior notes due July 2049</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 commercial paper notes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commercial paper notes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deferred financing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 accounting adjustments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and other financing obligations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we completed the public offering and issuance of €1.0 billion of senior notes, comprised of €500 million aggregate principal amount of 3.750% senior notes due in October 2030 and €500 million aggregate principal amount of 4.250% senior notes due in June 2034. We used the net proceeds from this senior notes offering, together with proceeds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sale of U.S. dollar commercial paper and cash from operations, to purchase through a cash tender offer and open market repurchase a portion of our outstanding 5.150% senior notes due in March 2027 (the “2027 notes”) and 4.400% senior notes due in July 2049 (the “2049 notes”). Upon expiration of the cash tender offer, $1.3 billion aggregate principal amount of the 2027 and 2049 notes was tendered and accepted for purchase for total consideration of $1.2 billion paid to holders. Additionally, $28 million aggregate principal amount of the 2049 notes was retired through an open market repurchase for total consideration of $23 million paid to holders. In July 2026, an additional $47 million aggregate principal amount of the 2049 notes was retired through an open market repurchase for total consideration of $38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2025, we completed the public offering and issuance of $2.0 billion of senior notes, comprised of $1.0 billion aggregate principal amount of 4.550% senior notes due in February 2031 and $1.0 billion aggregate principal amount of 5.250% senior notes due in August 2035. We used the net proceeds from this senior notes offering for general corporate purposes, including the repayment of a portion of our commercial paper notes and for share repurchases.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May 2025, Fiserv Funding Unlimited Company, an indirect wholly owned subsidiary of Fiserv, Inc., completed the public offering and issuance of €2.175 billion of senior notes, comprised of €750 million aggregate principal amount of 2.875% senior notes due in June 2028 (the “2028 notes”), €775 million aggregate principal amount of 3.500% senior notes due in June 2032 (the “2032 notes”) and €650 million aggregate principal amount of 4.000% senior notes due in June 2036 (the “2036 notes”). Fiserv, Inc. has fully and unconditionally guaranteed these notes on a senior unsecured basis. We used the net proceeds from this senior notes offering for general corporate purposes, including the repayment of a portion of our commercial paper notes, 3.850% senior notes due in June 2025 and 2.250% senior notes due in July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June 30, 2026, our debt consisted primarily of fixed-rate senior notes in the aggregate principal amount of $24.5 billion.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 portion of our senior notes, in the aggregate notional amount of $1.5 billion, are designated as fair value hedges through fixed-to-floating interest rate swap contracts, which economically changes the hedged notes to variable rate debt. The fair value adjustments associated with our hedged senior notes, as reflected in the table above, are offset by the change in the fair value of the fixed-to-floating interest rate swap 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June 30, 2026, the 3.200% senior notes due in July 2026, 5.150% senior notes due in March 2027, and 2.250% senior notes due in June 2027 were classified in the consolidated balance sheet as long-term, as we have the intent to refinance this debt on a long-term basis, and the ability to do so under our commercial paper programs and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Variable Rate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variable rate debt consisted of the following at June 30, 2026:</w:t>
      </w:r>
    </w:p>
    <w:tbl>
      <w:tblPr>
        <w:tblW w:w="9052" w:type="dxa"/>
        <w:jc w:val="left"/>
        <w:tblInd w:w="0" w:type="dxa"/>
        <w:tblLayout w:type="fixed"/>
        <w:tblCellMar>
          <w:top w:w="28" w:type="dxa"/>
          <w:left w:w="28" w:type="dxa"/>
          <w:bottom w:w="28" w:type="dxa"/>
          <w:right w:w="28" w:type="dxa"/>
        </w:tblCellMar>
      </w:tblPr>
      <w:tblGrid>
        <w:gridCol w:w="895"/>
        <w:gridCol w:w="786"/>
        <w:gridCol w:w="793"/>
        <w:gridCol w:w="290"/>
        <w:gridCol w:w="290"/>
        <w:gridCol w:w="291"/>
        <w:gridCol w:w="109"/>
        <w:gridCol w:w="109"/>
        <w:gridCol w:w="109"/>
        <w:gridCol w:w="939"/>
        <w:gridCol w:w="939"/>
        <w:gridCol w:w="941"/>
        <w:gridCol w:w="109"/>
        <w:gridCol w:w="109"/>
        <w:gridCol w:w="109"/>
        <w:gridCol w:w="480"/>
        <w:gridCol w:w="1402"/>
        <w:gridCol w:w="352"/>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Borrowings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lines of credit</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commercial paper notes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variable rate debt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various short-term lines of credit and other borrowing arrangements with foreign banks and alliance partners primarily to fund advances associated with operations in Latin America through our settlement anticipation program. The following table provides a summary of the outstanding borrowings and weighted average interest rates of our foreign lines of credit and other borrowing arrangements by country at June 30, 2026:</w:t>
      </w:r>
    </w:p>
    <w:tbl>
      <w:tblPr>
        <w:tblW w:w="7526" w:type="dxa"/>
        <w:jc w:val="left"/>
        <w:tblInd w:w="0" w:type="dxa"/>
        <w:tblLayout w:type="fixed"/>
        <w:tblCellMar>
          <w:top w:w="28" w:type="dxa"/>
          <w:left w:w="28" w:type="dxa"/>
          <w:bottom w:w="28" w:type="dxa"/>
          <w:right w:w="28" w:type="dxa"/>
        </w:tblCellMar>
      </w:tblPr>
      <w:tblGrid>
        <w:gridCol w:w="603"/>
        <w:gridCol w:w="529"/>
        <w:gridCol w:w="533"/>
        <w:gridCol w:w="628"/>
        <w:gridCol w:w="628"/>
        <w:gridCol w:w="1563"/>
        <w:gridCol w:w="109"/>
        <w:gridCol w:w="109"/>
        <w:gridCol w:w="109"/>
        <w:gridCol w:w="109"/>
        <w:gridCol w:w="109"/>
        <w:gridCol w:w="599"/>
        <w:gridCol w:w="1324"/>
        <w:gridCol w:w="311"/>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Outstanding Borrowings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Argentina</w:t>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25.848 </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14.700 </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Uruguay and Other</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17.401 </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offer advanced funding of settlement activity associated with operations in Latin America through our settlement anticipation program by utilizing local operating cash and various short-term lines of credit. In the event we are unable to continue to borrow in the local Latin America markets, we may fund future advances with our consolidated cash and cash equivalents and available capacity under our revolving credit facility.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unsecured U.S. dollar and Euro commercial paper programs with various maturities generally ranging from one day to four months. Outstanding borrowings under our commercial paper programs bear interest based on the prevailing rates at the time of issuance.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maintain a senior unsecured multicurrency revolving credit facility, which matures in August 2030 and provides for a maximum aggregate principal amount of availability of $8.0 billion. Borrowings under the credit facility bear interest at a variable base rate, determined by the term and currency of the borrowing, plus a specified margin based on our long-term debt rating. There were no outstanding borrowings under the revolving credit facility at June 30, 2026. We are required to pay a facility fee based on the aggregate commitments in effect under the credit agreement from time to time.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Debt Covenants and Compliance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Debt Guarantees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noncontrolling ownership interests in Sagent M&amp;C, LLC and defi SOLUTIONS Group, LLC (collectively, the “Lending Joint Ventures”). The Lending Joint Ventures maintain variable-rate term loan facilities with aggregate outstanding borrowings of $388 million in senior unsecured debt at June 30, 2026 and variable-rate revolving credit facilities with an aggregate borrowing capacity of $83 million with a syndicate of banks, which mature in April 2027. There were $36 million of aggregate outstanding borrowings on the revolving credit facilities at June 30, 2026. We have guaranteed the debt of the Lending Joint Ventures. We maintained a liability of $7 million at June 30, 2026 for the estimated fair value of our non-contingent obligations to stand ready to perform over the term of the guarantee arrangements. Such guarantees will be amortized in future periods over the contractual term of the debt. In addition, we maintained a contingent liability of $4 million at June 30, 2026,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and do not anticipate that the Lending Joint Ventures will fail to fulfill their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Supplemental Guarantor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Fiserv, Inc. has fully, unconditionally and solely guaranteed on a senior unsecured basis the 2028 notes, 2032 notes and 2036 notes (the “Guaranteed Notes”) issued by Fiserv Funding Unlimited Company (the “Issuer”), an indirect wholly owned subsidiary of Fiserv, Inc. No other subsidiary of Fiserv, Inc. or the Issuer has guaranteed the Guaranteed Notes. The Guaranteed Notes are the Issuer’s unsecured senior obligations and rank equally with other unsecured senior indebtedness of the Issuer from time to time outstanding. The guarantees of Fiserv, Inc. are unsecured senior obligations of Fiserv, Inc. and rank equally with other unsecured senior indebtedness of Fiserv, Inc. from time to time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Cash and Cash Equivalents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exclusive of settlement assets, with original maturities of 90 days or less that are readily convertible to cash are considered to be cash equivalents as reflected within our consolidated balance sheets.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details our cash and cash equivalents held at:</w:t>
      </w:r>
    </w:p>
    <w:tbl>
      <w:tblPr>
        <w:tblW w:w="5562" w:type="dxa"/>
        <w:jc w:val="center"/>
        <w:tblInd w:w="0" w:type="dxa"/>
        <w:tblLayout w:type="fixed"/>
        <w:tblCellMar>
          <w:top w:w="28" w:type="dxa"/>
          <w:left w:w="28" w:type="dxa"/>
          <w:bottom w:w="28" w:type="dxa"/>
          <w:right w:w="28" w:type="dxa"/>
        </w:tblCellMar>
      </w:tblPr>
      <w:tblGrid>
        <w:gridCol w:w="526"/>
        <w:gridCol w:w="409"/>
        <w:gridCol w:w="385"/>
        <w:gridCol w:w="342"/>
        <w:gridCol w:w="756"/>
        <w:gridCol w:w="176"/>
        <w:gridCol w:w="109"/>
        <w:gridCol w:w="109"/>
        <w:gridCol w:w="109"/>
        <w:gridCol w:w="461"/>
        <w:gridCol w:w="1021"/>
        <w:gridCol w:w="242"/>
        <w:gridCol w:w="109"/>
        <w:gridCol w:w="109"/>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Unavailable </w:t>
            </w:r>
            <w:r>
              <w:rPr>
                <w:rFonts w:ascii="Times New Roman;serif" w:hAnsi="Times New Roman;serif"/>
                <w:b w:val="false"/>
                <w:color w:val="000000"/>
                <w:sz w:val="13"/>
              </w:rPr>
              <w:t>(1)</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cash associated with intermediary settlement advances; wholly owned entities subject to regulatory requirements; cash in transit; or cash in our joint ventures that is not available to fund operations outside of the respective entities unless approved by the board of directors of the relevant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fixed-to-floating interest rate swap contracts and other non-derivative hedging instruments to manage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exposure to foreign currency exchange risks generally arises from our international operations to the extent they are conducted in local currency. The major currencies to which we are exposed to are the Argentine Peso, Brazilian Real, British Pound, Euro and Indian Rupee. Changes in the value of underlying monetary assets and liabilities of our non-U.S. dollar-denominated foreign investments and foreign currency transactions in highly inflationary economies may result in foreign currency exchange losses.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In April 2025, the Argentine government announced economic policy changes, including the removal of certain currency controls, resulting in a significant devaluation of the Argentine Peso. Additionally, the Argentine Peso experienced significant volatility during 2025 due to the economic landscape in Argentina. The remeasurement of monetary assets and liabilities of subsidiaries located in Argentina, a highly inflationary economy, resulted in foreign currency exchange losses of $30 million and $46 million for the three months ended June 30, 2026 and 2025, respectively, and $9 million and $64 million for the six months ended June 30, 2026 and 2025, respectively, which is included within other income (expense), net in the consolidated statements of income.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information about market risks to which we are exposed is included within Item 7A of our Annual Report on Form 10-K for the year ended December 31, 2025. There were no significant changes to our quantitative and qualitative analyses about market risk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Evaluation of 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Securities Exchange Act of 1934 (the “Exchange Act”), our management, with the participation of our chief executive officer and chief financial officer, evaluated the effectiveness of our disclosure controls and procedures (as defined in Rules 13a-15(e) and 15d-15(e) under the Exchange Act). Based on this evaluation, our chief executive officer and chief financial officer concluded that our disclosure controls and procedures were effective as of June 30, 2026.</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was no change in internal control over financial reporting that occurred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the information set forth in Note 17, Commitments and Contingencies – Litigation and Investigation Matters, which is incorporated by reference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information with respect to purchases made by or on behalf of us or any “affiliated purchaser” (as defined in Rule 10b-18(a)(3) under the Exchange Act) of shares of our common stock during the three months ended June 30, 2026: </w:t>
      </w:r>
    </w:p>
    <w:tbl>
      <w:tblPr>
        <w:tblW w:w="8259" w:type="dxa"/>
        <w:jc w:val="left"/>
        <w:tblInd w:w="0" w:type="dxa"/>
        <w:tblLayout w:type="fixed"/>
        <w:tblCellMar>
          <w:top w:w="28" w:type="dxa"/>
          <w:left w:w="28" w:type="dxa"/>
          <w:bottom w:w="28" w:type="dxa"/>
          <w:right w:w="28" w:type="dxa"/>
        </w:tblCellMar>
      </w:tblPr>
      <w:tblGrid>
        <w:gridCol w:w="531"/>
        <w:gridCol w:w="467"/>
        <w:gridCol w:w="472"/>
        <w:gridCol w:w="488"/>
        <w:gridCol w:w="488"/>
        <w:gridCol w:w="461"/>
        <w:gridCol w:w="109"/>
        <w:gridCol w:w="109"/>
        <w:gridCol w:w="109"/>
        <w:gridCol w:w="344"/>
        <w:gridCol w:w="663"/>
        <w:gridCol w:w="179"/>
        <w:gridCol w:w="109"/>
        <w:gridCol w:w="109"/>
        <w:gridCol w:w="109"/>
        <w:gridCol w:w="488"/>
        <w:gridCol w:w="488"/>
        <w:gridCol w:w="486"/>
        <w:gridCol w:w="109"/>
        <w:gridCol w:w="109"/>
        <w:gridCol w:w="109"/>
        <w:gridCol w:w="540"/>
        <w:gridCol w:w="541"/>
        <w:gridCol w:w="642"/>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 Plans</w:t>
            </w:r>
          </w:p>
          <w:p>
            <w:pPr>
              <w:pStyle w:val="TableContents"/>
              <w:bidi w:val="0"/>
              <w:spacing w:lineRule="auto" w:line="240" w:before="0" w:after="0"/>
              <w:jc w:val="center"/>
              <w:rPr/>
            </w:pPr>
            <w:r>
              <w:rPr>
                <w:rFonts w:ascii="Times New Roman;serif" w:hAnsi="Times New Roman;serif"/>
                <w:b/>
                <w:color w:val="000000"/>
                <w:sz w:val="16"/>
              </w:rPr>
              <w:t>or Programs</w:t>
            </w:r>
            <w:r>
              <w:rPr>
                <w:color w:val="000000"/>
              </w:rPr>
              <w: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 that May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Yet Be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 the Plans or</w:t>
            </w:r>
          </w:p>
          <w:p>
            <w:pPr>
              <w:pStyle w:val="TableContents"/>
              <w:bidi w:val="0"/>
              <w:spacing w:lineRule="auto" w:line="240" w:before="0" w:after="0"/>
              <w:jc w:val="center"/>
              <w:rPr/>
            </w:pPr>
            <w:r>
              <w:rPr>
                <w:rFonts w:ascii="Times New Roman;serif" w:hAnsi="Times New Roman;serif"/>
                <w:b/>
                <w:color w:val="000000"/>
                <w:sz w:val="16"/>
              </w:rPr>
              <w:t>Programs </w:t>
            </w:r>
            <w:r>
              <w:rPr>
                <w:rFonts w:ascii="Times New Roman;serif" w:hAnsi="Times New Roman;serif"/>
                <w:b/>
                <w:color w:val="000000"/>
                <w:sz w:val="10"/>
              </w:rPr>
              <w:t>(1)</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1-30,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42,610,527 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1,440,000 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1,440,000 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41,170,527 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1-30,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329,792 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329,792 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40,840,735 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1,769,792 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1,769,792 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On February 19, 2025, our board of directors authorized the purchase of up to 60.0 million shares of our common stock. This authorization does not expire.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 During the three months ended June 30, 2026, none of the Company’s directors or Section 16 officers adopted or terminated a “Rule 10b5-1 trading arrangement” or “non-Rule 10b5-1 trading arrangement,” each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exhibits listed in the accompanying exhibit index are filed as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8"/>
        <w:gridCol w:w="263"/>
        <w:gridCol w:w="264"/>
        <w:gridCol w:w="109"/>
        <w:gridCol w:w="109"/>
        <w:gridCol w:w="109"/>
        <w:gridCol w:w="2857"/>
        <w:gridCol w:w="2583"/>
        <w:gridCol w:w="3613"/>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13"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 Description</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Thirty-Ninth Supplemental Indenture, dated as of June 23, 2026, by and between Fiserv, Inc. and U.S. Bank Trust Company, National Association (including Form of 3.750% Senior Notes due 2030) (incorporated by reference to Exhibit 4.1 to the Company’s Current Report on Form 8-K filed on June 23, 2026).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Fortieth Supplemental Indenture, dated as of June 23, 2026, by and between Fiserv, Inc. and U.S. Bank Trust Company, National Association (including Form of 4.250% Senior Notes due 2034) (incorporated by reference to Exhibit 4.2 to the Company’s Current Report on Form 8-K filed on June 23, 2026).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Agency Agreement, dated as of June 23, 2026, by and among Fiserv, Inc., as issuer, U.S. Bank Europe DAC, UK Branch, as paying agent, and U.S. Bank Trust Company, National Association, as trustee and security registrar (incorporated by reference to Exhibit 4.3 to the Company’s Current Report on Form 8-K filed on June 23, 2026).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06302026.htm">
              <w:r>
                <w:rPr>
                  <w:rStyle w:val="InternetLink"/>
                  <w:rFonts w:ascii="Times New Roman;serif" w:hAnsi="Times New Roman;serif"/>
                  <w:b w:val="false"/>
                  <w:color w:val="000080"/>
                  <w:sz w:val="20"/>
                  <w:u w:val="single"/>
                </w:rPr>
                <w:t>N</w:t>
              </w:r>
            </w:hyperlink>
            <w:hyperlink w:anchor="ex10106302026.htm">
              <w:r>
                <w:rPr>
                  <w:rStyle w:val="InternetLink"/>
                  <w:rFonts w:ascii="Times New Roman;serif" w:hAnsi="Times New Roman;serif"/>
                  <w:b w:val="false"/>
                  <w:color w:val="000080"/>
                  <w:sz w:val="20"/>
                  <w:u w:val="single"/>
                </w:rPr>
                <w:t xml:space="preserve">on-Employee </w:t>
              </w:r>
            </w:hyperlink>
            <w:hyperlink w:anchor="ex10106302026.htm">
              <w:r>
                <w:rPr>
                  <w:rStyle w:val="InternetLink"/>
                  <w:rFonts w:ascii="Times New Roman;serif" w:hAnsi="Times New Roman;serif"/>
                  <w:b w:val="false"/>
                  <w:color w:val="000080"/>
                  <w:sz w:val="20"/>
                  <w:u w:val="single"/>
                </w:rPr>
                <w:t>D</w:t>
              </w:r>
            </w:hyperlink>
            <w:hyperlink w:anchor="ex10106302026.htm">
              <w:r>
                <w:rPr>
                  <w:rStyle w:val="InternetLink"/>
                  <w:rFonts w:ascii="Times New Roman;serif" w:hAnsi="Times New Roman;serif"/>
                  <w:b w:val="false"/>
                  <w:color w:val="000080"/>
                  <w:sz w:val="20"/>
                  <w:u w:val="single"/>
                </w:rPr>
                <w:t>irector Compensation Schedule</w:t>
              </w:r>
            </w:hyperlink>
            <w:hyperlink w:anchor="ex10106302026.htm">
              <w:r>
                <w:rPr>
                  <w:rStyle w:val="InternetLink"/>
                  <w:rFonts w:ascii="Times New Roman;serif" w:hAnsi="Times New Roman;serif"/>
                  <w:b w:val="false"/>
                  <w:color w:val="000080"/>
                  <w:sz w:val="20"/>
                  <w:u w:val="single"/>
                </w:rPr>
                <w:t>**</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Offer Letter between Fiserv, Inc. and Takis Georgakopoulos, dated June 14, 2026 (incorporated by reference to Exhibit 10.1 to the Company’s Current Report on Form 8-K filed on June 15, 2026).**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Letter Agreement between Fiserv, Inc. and Paul M. Todd, dated June 14, 2026 (incorporated by reference to Exhibit 10.2 to the Company’s Current Report on Form 8-K filed on June 15, 2026).**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Subsidiary Issuers of Guaranteed Securities (incorporated by reference to Exhibit 22 to the Company’s Quarterly Report on Form 10-Q filed on July 24, 2025).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6302026.htm">
              <w:r>
                <w:rPr>
                  <w:rStyle w:val="InternetLink"/>
                  <w:rFonts w:ascii="Times New Roman;serif" w:hAnsi="Times New Roman;serif"/>
                  <w:b w:val="false"/>
                  <w:color w:val="0000FF"/>
                  <w:sz w:val="20"/>
                  <w:u w:val="single"/>
                </w:rPr>
                <w:t>Certification of the Chief Executive Officer pursuant to Section 302 of the Sarbanes-Oxley Act of 2002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6302026.htm">
              <w:r>
                <w:rPr>
                  <w:rStyle w:val="InternetLink"/>
                  <w:rFonts w:ascii="Times New Roman;serif" w:hAnsi="Times New Roman;serif"/>
                  <w:b w:val="false"/>
                  <w:color w:val="0000FF"/>
                  <w:sz w:val="20"/>
                  <w:u w:val="single"/>
                </w:rPr>
                <w:t>Certification of the Chief Financial Officer pursuant to Section 302 of the Sarbanes-Oxley Act of 2002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6302026.htm">
              <w:r>
                <w:rPr>
                  <w:rStyle w:val="InternetLink"/>
                  <w:rFonts w:ascii="Times New Roman;serif" w:hAnsi="Times New Roman;serif"/>
                  <w:b w:val="false"/>
                  <w:color w:val="0000FF"/>
                  <w:sz w:val="20"/>
                  <w:u w:val="single"/>
                </w:rPr>
                <w:t>Certification of the Chief Executive Officer and Chief Financial Officer pursuant to Section 906 of the Sarbanes-Oxley Act of 2002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XBRL Instance Document does not appear in the interactive data file because its XBRL tags are embedded within the Inline XBRL Document</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    Filed with this quarterly report on Form 10-Q are the following documents formatted in iXBRL (Inline Extensible Business Reporting Language): (i) the Consolidated Statements of Income for the three and six months ended June 30, 2026 and 2025, (ii) the Consolidated Statements of Comprehensive Income for the three and six months ended June 30, 2026 and 2025, (iii) the Consolidated Balance Sheets at June 30, 2026 and December 31, 2025, (iv) the Consolidated Statements of Cash Flows for the six months ended June 30, 2026 and 2025, (v) Notes to Consolidated Financial Statements, and (vi) the information included in Part II, Item 5(c).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This exhibit is a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7021025f6a84fa7937e5102a4a493a6_7">
        <w:r>
          <w:rPr>
            <w:rStyle w:val="InternetLink"/>
            <w:rFonts w:ascii="Times New Roman;serif" w:hAnsi="Times New Roman;serif"/>
            <w:b w:val="false"/>
            <w:color w:val="0000FF"/>
            <w:sz w:val="20"/>
            <w:u w:val="single"/>
          </w:rPr>
          <w:t>Table of Contents</w:t>
        </w:r>
      </w:hyperlink>
      <w:r>
        <w:rPr>
          <w:color w:val="000000"/>
        </w:rPr>
        <w:t xml:space="preserve">                                  </w:t>
      </w:r>
      <w:r>
        <w:rPr>
          <w:color w:val="EE2724"/>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5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41"/>
        <w:gridCol w:w="141"/>
        <w:gridCol w:w="141"/>
        <w:gridCol w:w="141"/>
        <w:gridCol w:w="141"/>
        <w:gridCol w:w="141"/>
        <w:gridCol w:w="644"/>
        <w:gridCol w:w="644"/>
        <w:gridCol w:w="91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FISERV,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M. Todd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M. Todd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F. Best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F. Best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bl>
    <w:p>
      <w:pPr>
        <w:pStyle w:val="TextBody"/>
        <w:bidi w:val="0"/>
        <w:spacing w:before="0" w:after="18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NON-EMPLOYEE DIRECTOR COMPENSATION SCHEDULE</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summary of our annual non-employee director compensation is provided below:</w:t>
      </w:r>
    </w:p>
    <w:tbl>
      <w:tblPr>
        <w:tblW w:w="9076" w:type="dxa"/>
        <w:jc w:val="left"/>
        <w:tblInd w:w="0" w:type="dxa"/>
        <w:tblLayout w:type="fixed"/>
        <w:tblCellMar>
          <w:top w:w="28" w:type="dxa"/>
          <w:left w:w="28" w:type="dxa"/>
          <w:bottom w:w="28" w:type="dxa"/>
          <w:right w:w="28" w:type="dxa"/>
        </w:tblCellMar>
      </w:tblPr>
      <w:tblGrid>
        <w:gridCol w:w="2931"/>
        <w:gridCol w:w="2574"/>
        <w:gridCol w:w="2595"/>
        <w:gridCol w:w="285"/>
        <w:gridCol w:w="285"/>
        <w:gridCol w:w="406"/>
      </w:tblGrid>
      <w:tr>
        <w:trPr/>
        <w:tc>
          <w:tcPr>
            <w:tcW w:w="2931"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Annual Equity Grant </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$ 230,000</w:t>
            </w:r>
          </w:p>
        </w:tc>
      </w:tr>
      <w:tr>
        <w:trPr/>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Board Fee </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$ 100,000</w:t>
            </w:r>
          </w:p>
        </w:tc>
      </w:tr>
      <w:tr>
        <w:trPr/>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Fee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$ 200,000</w:t>
            </w:r>
          </w:p>
        </w:tc>
      </w:tr>
      <w:tr>
        <w:trPr/>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Committee Fee – Nominating and Corporate Governance; Talent and Compensation    </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$ 15,000</w:t>
            </w:r>
          </w:p>
        </w:tc>
      </w:tr>
      <w:tr>
        <w:trPr/>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Committee Fee – Audit; Risk</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$ 20,000</w:t>
            </w:r>
          </w:p>
        </w:tc>
      </w:tr>
      <w:tr>
        <w:trPr/>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Committee Chair Fee – Nominating and Corporate Governance; Risk; Talent and Compensation    </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$ 20,000</w:t>
            </w:r>
          </w:p>
        </w:tc>
      </w:tr>
      <w:tr>
        <w:trPr/>
        <w:tc>
          <w:tcPr>
            <w:tcW w:w="81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Committee Chair Fee – Audit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$ 25,000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chairman fee is paid half in cash and half in restricted stock units. Upon being elected or re-elected as: (i) a director, each non-employee director receives such number of restricted stock units as is determined by dividing $230,000 by the closing price of our common stock on the grant date; and (ii) Chairman, the Chairman receives such number of restricted stock units as is determined by dividing $100,000 by the closing price of our common stock on the grant date. The chairman fee is in addition to the standard board fee and annual equity grant, and the committee chair fees are in addition to the base committee fee.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 vest 100% on the earlier of (i) the first anniversary of the grant date or (ii) immediately prior to the first annual meeting of shareholders following the grant date. Committee fees are payable with respect to each committee on which a director serves. All cash fees are payable quarterly in arrears.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Deferred Compensation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non-employee director deferred compensation plan, each non-employee director may defer up to 100% of his or her cash fees. Based on his or her deferral election, the director is credited with a number of share units at the time he or she would have otherwise received the portion of the fees being deferred. In addition, each non-employee director may defer receipt of up to 100% of shares due upon vesting of restricted stock units, and based on his or her election, the director is credited with one share unit for the receipt of each such share that is deferred. Share units are equivalent to shares of our common stock except that share units have no voting rights.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Upon cessation of service on the board, the director receives a share of our common stock for each share unit. Directors elect whether the shares are received in a lump sum distribution or in annual installments over two to fifteen years, and any fractional share units are paid in cash. Share units credited to a director’s account are considered awards granted under the Amended and Restated Fiserv, Inc. 2007 Omnibus Incentive Plan and count against that plan’s share reserve.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Panagiotis Georgakopoulos,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Fiserv,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0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109"/>
        <w:gridCol w:w="109"/>
        <w:gridCol w:w="109"/>
        <w:gridCol w:w="772"/>
        <w:gridCol w:w="772"/>
        <w:gridCol w:w="10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Panagiotis Georgakopoulos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Panagiotis Georgakopoulos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PURSUANT TO SECTION 302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Paul M. Todd,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Fiserv,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7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109"/>
        <w:gridCol w:w="109"/>
        <w:gridCol w:w="109"/>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M. Todd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M. Todd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Fiserv, Inc. (the “Company”) for the quarter ended June 30, 2026 as filed with the Securities and Exchange Commission on the date hereof (the “Report”), Panagiotis Georgakopoulos, as Chief Executive Officer of the Company, and Paul M. Todd, as Chief Financial Officer of the Company, each hereby certify, pursuant to 18 U.S.C. § 1350, as adopted pursuant to § 906 of the Sarbanes-Oxley Act of 2002,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right"/>
        <w:rPr/>
      </w:pPr>
      <w:r>
        <w:rPr/>
      </w:r>
    </w:p>
    <w:tbl>
      <w:tblPr>
        <w:tblW w:w="3713"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864"/>
        <w:gridCol w:w="864"/>
        <w:gridCol w:w="866"/>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Panagiotis Georgakopoulos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Panagiotis Georgakopoulos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tbl>
      <w:tblPr>
        <w:tblW w:w="2757"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587"/>
        <w:gridCol w:w="587"/>
        <w:gridCol w:w="83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M. Todd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M. Todd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8354/000119312526279413/d38671dex41.htm" TargetMode="External"/><Relationship Id="rId3" Type="http://schemas.openxmlformats.org/officeDocument/2006/relationships/hyperlink" Target="https://www.sec.gov/Archives/edgar/data/798354/000119312526279413/d38671dex42.htm" TargetMode="External"/><Relationship Id="rId4" Type="http://schemas.openxmlformats.org/officeDocument/2006/relationships/hyperlink" Target="https://www.sec.gov/Archives/edgar/data/798354/000119312526279413/d38671dex43.htm" TargetMode="External"/><Relationship Id="rId5" Type="http://schemas.openxmlformats.org/officeDocument/2006/relationships/hyperlink" Target="https://www.sec.gov/Archives/edgar/data/798354/000119312526270336/d153349dex101.htm" TargetMode="External"/><Relationship Id="rId6" Type="http://schemas.openxmlformats.org/officeDocument/2006/relationships/hyperlink" Target="https://www.sec.gov/Archives/edgar/data/0000798354/000119312526270336/d153349dex102.htm" TargetMode="External"/><Relationship Id="rId7" Type="http://schemas.openxmlformats.org/officeDocument/2006/relationships/hyperlink" Target="https://www.sec.gov/Archives/edgar/data/798354/000079835425000163/ex2206302025.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30137</Words>
  <Characters>167813</Characters>
  <CharactersWithSpaces>197716</CharactersWithSpaces>
  <Paragraphs>3608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