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180340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197485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158750</wp:posOffset>
            </wp:positionV>
            <wp:extent cx="3953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190500</wp:posOffset>
            </wp:positionV>
            <wp:extent cx="3953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00" w:right="540" w:hanging="665"/>
        <w:spacing w:after="0" w:line="262"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00" w:right="520" w:hanging="665"/>
        <w:spacing w:after="0" w:line="262"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0-14948</w:t>
      </w:r>
    </w:p>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-297815</wp:posOffset>
            </wp:positionV>
            <wp:extent cx="395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227965</wp:posOffset>
            </wp:positionV>
            <wp:extent cx="3953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6520" w:type="dxa"/>
            <w:vAlign w:val="bottom"/>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78"/>
        </w:trPr>
        <w:tc>
          <w:tcPr>
            <w:tcW w:w="6520" w:type="dxa"/>
            <w:vAlign w:val="bottom"/>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6520" w:type="dxa"/>
            <w:vAlign w:val="bottom"/>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8"/>
        </w:trPr>
        <w:tc>
          <w:tcPr>
            <w:tcW w:w="6520" w:type="dxa"/>
            <w:vAlign w:val="bottom"/>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255 FISERV DRIVE, BROOKFIELD, WI</w:t>
            </w:r>
          </w:p>
        </w:tc>
        <w:tc>
          <w:tcPr>
            <w:tcW w:w="1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53045</w:t>
            </w:r>
          </w:p>
        </w:tc>
      </w:tr>
      <w:tr>
        <w:trPr>
          <w:trHeight w:val="220"/>
        </w:trPr>
        <w:tc>
          <w:tcPr>
            <w:tcW w:w="6520" w:type="dxa"/>
            <w:vAlign w:val="bottom"/>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7"/>
        </w:trPr>
        <w:tc>
          <w:tcPr>
            <w:tcW w:w="6520" w:type="dxa"/>
            <w:vAlign w:val="bottom"/>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(262) 879-5000</w:t>
            </w:r>
          </w:p>
        </w:tc>
        <w:tc>
          <w:tcPr>
            <w:tcW w:w="1340" w:type="dxa"/>
            <w:vAlign w:val="bottom"/>
          </w:tcPr>
          <w:p>
            <w:pPr>
              <w:spacing w:after="0"/>
              <w:rPr>
                <w:sz w:val="24"/>
                <w:szCs w:val="24"/>
                <w:color w:val="auto"/>
              </w:rPr>
            </w:pPr>
          </w:p>
        </w:tc>
      </w:tr>
      <w:tr>
        <w:trPr>
          <w:trHeight w:val="190"/>
        </w:trPr>
        <w:tc>
          <w:tcPr>
            <w:tcW w:w="6520" w:type="dxa"/>
            <w:vAlign w:val="bottom"/>
          </w:tcPr>
          <w:p>
            <w:pPr>
              <w:jc w:val="center"/>
              <w:ind w:left="26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297815</wp:posOffset>
            </wp:positionV>
            <wp:extent cx="3953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5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0" w:lineRule="exact"/>
        <w:rPr>
          <w:sz w:val="24"/>
          <w:szCs w:val="24"/>
          <w:color w:val="auto"/>
        </w:rPr>
      </w:pPr>
    </w:p>
    <w:p>
      <w:pPr>
        <w:ind w:right="186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25, 2019, there were 392,439,838 shares of common stock, $.01 par value,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318135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335280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19"/>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700" w:type="dxa"/>
            <w:vAlign w:val="bottom"/>
            <w:gridSpan w:val="18"/>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 FINANCIAL INFORMATION</w:t>
              </w:r>
            </w:hyperlink>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700" w:type="dxa"/>
            <w:vAlign w:val="bottom"/>
            <w:gridSpan w:val="18"/>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Income</w:t>
              </w:r>
            </w:hyperlink>
          </w:p>
        </w:tc>
        <w:tc>
          <w:tcPr>
            <w:tcW w:w="680" w:type="dxa"/>
            <w:vAlign w:val="bottom"/>
          </w:tcPr>
          <w:p>
            <w:pPr>
              <w:jc w:val="center"/>
              <w:spacing w:after="0"/>
              <w:rPr>
                <w:rFonts w:ascii="Times New Roman" w:cs="Times New Roman" w:eastAsia="Times New Roman" w:hAnsi="Times New Roman"/>
                <w:sz w:val="18"/>
                <w:szCs w:val="18"/>
                <w:color w:val="auto"/>
                <w:w w:val="88"/>
              </w:rPr>
            </w:pPr>
            <w:hyperlink w:anchor="page3">
              <w:r>
                <w:rPr>
                  <w:rFonts w:ascii="Times New Roman" w:cs="Times New Roman" w:eastAsia="Times New Roman" w:hAnsi="Times New Roman"/>
                  <w:sz w:val="18"/>
                  <w:szCs w:val="18"/>
                  <w:color w:val="auto"/>
                  <w:w w:val="88"/>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Comprehensive Income</w:t>
              </w:r>
            </w:hyperlink>
          </w:p>
        </w:tc>
        <w:tc>
          <w:tcPr>
            <w:tcW w:w="5800" w:type="dxa"/>
            <w:vAlign w:val="bottom"/>
            <w:gridSpan w:val="4"/>
          </w:tcPr>
          <w:p>
            <w:pPr>
              <w:spacing w:after="0"/>
              <w:rPr>
                <w:sz w:val="21"/>
                <w:szCs w:val="21"/>
                <w:color w:val="auto"/>
              </w:rPr>
            </w:pPr>
          </w:p>
        </w:tc>
        <w:tc>
          <w:tcPr>
            <w:tcW w:w="680" w:type="dxa"/>
            <w:vAlign w:val="bottom"/>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Balance Sheets</w:t>
              </w:r>
            </w:hyperlink>
          </w:p>
        </w:tc>
        <w:tc>
          <w:tcPr>
            <w:tcW w:w="680" w:type="dxa"/>
            <w:vAlign w:val="bottom"/>
          </w:tcPr>
          <w:p>
            <w:pPr>
              <w:jc w:val="center"/>
              <w:spacing w:after="0"/>
              <w:rPr>
                <w:rFonts w:ascii="Times New Roman" w:cs="Times New Roman" w:eastAsia="Times New Roman" w:hAnsi="Times New Roman"/>
                <w:sz w:val="18"/>
                <w:szCs w:val="18"/>
                <w:color w:val="auto"/>
                <w:w w:val="88"/>
              </w:rPr>
            </w:pPr>
            <w:hyperlink w:anchor="page5">
              <w:r>
                <w:rPr>
                  <w:rFonts w:ascii="Times New Roman" w:cs="Times New Roman" w:eastAsia="Times New Roman" w:hAnsi="Times New Roman"/>
                  <w:sz w:val="18"/>
                  <w:szCs w:val="18"/>
                  <w:color w:val="auto"/>
                  <w:w w:val="88"/>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w:t>
              </w:r>
            </w:hyperlink>
          </w:p>
        </w:tc>
        <w:tc>
          <w:tcPr>
            <w:tcW w:w="680" w:type="dxa"/>
            <w:vAlign w:val="bottom"/>
          </w:tcPr>
          <w:p>
            <w:pPr>
              <w:jc w:val="center"/>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w:t>
              </w:r>
            </w:hyperlink>
          </w:p>
        </w:tc>
        <w:tc>
          <w:tcPr>
            <w:tcW w:w="680" w:type="dxa"/>
            <w:vAlign w:val="bottom"/>
          </w:tcPr>
          <w:p>
            <w:pPr>
              <w:jc w:val="center"/>
              <w:spacing w:after="0"/>
              <w:rPr>
                <w:rFonts w:ascii="Times New Roman" w:cs="Times New Roman" w:eastAsia="Times New Roman" w:hAnsi="Times New Roman"/>
                <w:sz w:val="18"/>
                <w:szCs w:val="18"/>
                <w:color w:val="auto"/>
                <w:w w:val="88"/>
              </w:rPr>
            </w:pPr>
            <w:hyperlink w:anchor="page7">
              <w:r>
                <w:rPr>
                  <w:rFonts w:ascii="Times New Roman" w:cs="Times New Roman" w:eastAsia="Times New Roman" w:hAnsi="Times New Roman"/>
                  <w:sz w:val="18"/>
                  <w:szCs w:val="18"/>
                  <w:color w:val="auto"/>
                  <w:w w:val="88"/>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center"/>
              <w:spacing w:after="0"/>
              <w:rPr>
                <w:rFonts w:ascii="Times New Roman" w:cs="Times New Roman" w:eastAsia="Times New Roman" w:hAnsi="Times New Roman"/>
                <w:sz w:val="18"/>
                <w:szCs w:val="18"/>
                <w:color w:val="auto"/>
                <w:w w:val="99"/>
              </w:rPr>
            </w:pPr>
            <w:hyperlink w:anchor="page20">
              <w:r>
                <w:rPr>
                  <w:rFonts w:ascii="Times New Roman" w:cs="Times New Roman" w:eastAsia="Times New Roman" w:hAnsi="Times New Roman"/>
                  <w:sz w:val="18"/>
                  <w:szCs w:val="18"/>
                  <w:color w:val="auto"/>
                  <w:w w:val="99"/>
                </w:rPr>
                <w:t>18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tcPr>
          <w:p>
            <w:pPr>
              <w:spacing w:after="0"/>
              <w:rPr>
                <w:sz w:val="21"/>
                <w:szCs w:val="21"/>
                <w:color w:val="auto"/>
              </w:rPr>
            </w:pPr>
          </w:p>
        </w:tc>
        <w:tc>
          <w:tcPr>
            <w:tcW w:w="3440" w:type="dxa"/>
            <w:vAlign w:val="bottom"/>
          </w:tcPr>
          <w:p>
            <w:pPr>
              <w:spacing w:after="0"/>
              <w:rPr>
                <w:sz w:val="21"/>
                <w:szCs w:val="21"/>
                <w:color w:val="auto"/>
              </w:rPr>
            </w:pPr>
          </w:p>
        </w:tc>
        <w:tc>
          <w:tcPr>
            <w:tcW w:w="680" w:type="dxa"/>
            <w:vAlign w:val="bottom"/>
          </w:tcPr>
          <w:p>
            <w:pPr>
              <w:jc w:val="center"/>
              <w:spacing w:after="0"/>
              <w:rPr>
                <w:rFonts w:ascii="Times New Roman" w:cs="Times New Roman" w:eastAsia="Times New Roman" w:hAnsi="Times New Roman"/>
                <w:sz w:val="18"/>
                <w:szCs w:val="18"/>
                <w:color w:val="auto"/>
                <w:w w:val="99"/>
              </w:rPr>
            </w:pPr>
            <w:hyperlink w:anchor="page28">
              <w:r>
                <w:rPr>
                  <w:rFonts w:ascii="Times New Roman" w:cs="Times New Roman" w:eastAsia="Times New Roman" w:hAnsi="Times New Roman"/>
                  <w:sz w:val="18"/>
                  <w:szCs w:val="18"/>
                  <w:color w:val="auto"/>
                  <w:w w:val="99"/>
                </w:rPr>
                <w:t>26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Controls and Procedures</w:t>
              </w:r>
            </w:hyperlink>
          </w:p>
        </w:tc>
        <w:tc>
          <w:tcPr>
            <w:tcW w:w="8120" w:type="dxa"/>
            <w:vAlign w:val="bottom"/>
            <w:gridSpan w:val="12"/>
          </w:tcPr>
          <w:p>
            <w:pPr>
              <w:spacing w:after="0"/>
              <w:rPr>
                <w:sz w:val="21"/>
                <w:szCs w:val="21"/>
                <w:color w:val="auto"/>
              </w:rPr>
            </w:pPr>
          </w:p>
        </w:tc>
        <w:tc>
          <w:tcPr>
            <w:tcW w:w="680" w:type="dxa"/>
            <w:vAlign w:val="bottom"/>
          </w:tcPr>
          <w:p>
            <w:pPr>
              <w:jc w:val="center"/>
              <w:spacing w:after="0"/>
              <w:rPr>
                <w:rFonts w:ascii="Times New Roman" w:cs="Times New Roman" w:eastAsia="Times New Roman" w:hAnsi="Times New Roman"/>
                <w:sz w:val="18"/>
                <w:szCs w:val="18"/>
                <w:color w:val="auto"/>
                <w:w w:val="99"/>
              </w:rPr>
            </w:pPr>
            <w:hyperlink w:anchor="page28">
              <w:r>
                <w:rPr>
                  <w:rFonts w:ascii="Times New Roman" w:cs="Times New Roman" w:eastAsia="Times New Roman" w:hAnsi="Times New Roman"/>
                  <w:sz w:val="18"/>
                  <w:szCs w:val="18"/>
                  <w:color w:val="auto"/>
                  <w:w w:val="99"/>
                </w:rPr>
                <w:t>26</w:t>
              </w:r>
            </w:hyperlink>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PART II – OTHER INFORMATION</w:t>
              </w:r>
            </w:hyperlink>
          </w:p>
        </w:tc>
        <w:tc>
          <w:tcPr>
            <w:tcW w:w="804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Legal Proceedings</w:t>
              </w:r>
            </w:hyperlink>
          </w:p>
        </w:tc>
        <w:tc>
          <w:tcPr>
            <w:tcW w:w="8560" w:type="dxa"/>
            <w:vAlign w:val="bottom"/>
            <w:gridSpan w:val="13"/>
          </w:tcPr>
          <w:p>
            <w:pPr>
              <w:spacing w:after="0"/>
              <w:rPr>
                <w:sz w:val="24"/>
                <w:szCs w:val="24"/>
                <w:color w:val="auto"/>
              </w:rPr>
            </w:pPr>
          </w:p>
        </w:tc>
        <w:tc>
          <w:tcPr>
            <w:tcW w:w="680" w:type="dxa"/>
            <w:vAlign w:val="bottom"/>
          </w:tcPr>
          <w:p>
            <w:pPr>
              <w:jc w:val="center"/>
              <w:spacing w:after="0"/>
              <w:rPr>
                <w:rFonts w:ascii="Times New Roman" w:cs="Times New Roman" w:eastAsia="Times New Roman" w:hAnsi="Times New Roman"/>
                <w:sz w:val="18"/>
                <w:szCs w:val="18"/>
                <w:color w:val="auto"/>
                <w:w w:val="99"/>
              </w:rPr>
            </w:pPr>
            <w:hyperlink w:anchor="page28">
              <w:r>
                <w:rPr>
                  <w:rFonts w:ascii="Times New Roman" w:cs="Times New Roman" w:eastAsia="Times New Roman" w:hAnsi="Times New Roman"/>
                  <w:sz w:val="18"/>
                  <w:szCs w:val="18"/>
                  <w:color w:val="auto"/>
                  <w:w w:val="99"/>
                </w:rPr>
                <w:t>26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Unregistered Sales of Equity Securities and Use of Proceeds</w:t>
              </w:r>
            </w:hyperlink>
          </w:p>
        </w:tc>
        <w:tc>
          <w:tcPr>
            <w:tcW w:w="5540" w:type="dxa"/>
            <w:vAlign w:val="bottom"/>
            <w:gridSpan w:val="3"/>
          </w:tcPr>
          <w:p>
            <w:pPr>
              <w:spacing w:after="0"/>
              <w:rPr>
                <w:sz w:val="21"/>
                <w:szCs w:val="21"/>
                <w:color w:val="auto"/>
              </w:rPr>
            </w:pPr>
          </w:p>
        </w:tc>
        <w:tc>
          <w:tcPr>
            <w:tcW w:w="680" w:type="dxa"/>
            <w:vAlign w:val="bottom"/>
          </w:tcPr>
          <w:p>
            <w:pPr>
              <w:jc w:val="center"/>
              <w:spacing w:after="0"/>
              <w:rPr>
                <w:rFonts w:ascii="Times New Roman" w:cs="Times New Roman" w:eastAsia="Times New Roman" w:hAnsi="Times New Roman"/>
                <w:sz w:val="18"/>
                <w:szCs w:val="18"/>
                <w:color w:val="auto"/>
                <w:w w:val="99"/>
              </w:rPr>
            </w:pPr>
            <w:hyperlink w:anchor="page29">
              <w:r>
                <w:rPr>
                  <w:rFonts w:ascii="Times New Roman" w:cs="Times New Roman" w:eastAsia="Times New Roman" w:hAnsi="Times New Roman"/>
                  <w:sz w:val="18"/>
                  <w:szCs w:val="18"/>
                  <w:color w:val="auto"/>
                  <w:w w:val="99"/>
                </w:rPr>
                <w:t>27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17"/>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680" w:type="dxa"/>
            <w:vAlign w:val="bottom"/>
          </w:tcPr>
          <w:p>
            <w:pPr>
              <w:jc w:val="center"/>
              <w:spacing w:after="0"/>
              <w:rPr>
                <w:rFonts w:ascii="Times New Roman" w:cs="Times New Roman" w:eastAsia="Times New Roman" w:hAnsi="Times New Roman"/>
                <w:sz w:val="18"/>
                <w:szCs w:val="18"/>
                <w:color w:val="auto"/>
                <w:w w:val="99"/>
              </w:rPr>
            </w:pPr>
            <w:hyperlink w:anchor="page29">
              <w:r>
                <w:rPr>
                  <w:rFonts w:ascii="Times New Roman" w:cs="Times New Roman" w:eastAsia="Times New Roman" w:hAnsi="Times New Roman"/>
                  <w:sz w:val="18"/>
                  <w:szCs w:val="18"/>
                  <w:color w:val="auto"/>
                  <w:w w:val="99"/>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Exhibit Index</w:t>
        </w:r>
      </w:hyperlink>
    </w:p>
    <w:p>
      <w:pPr>
        <w:spacing w:after="0" w:line="63"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Signatures</w:t>
        </w:r>
      </w:hyperlink>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Processing and services</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1,293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1,238</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1,502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product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1,129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financing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loss from investments in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r>
      <w:tr>
        <w:trPr>
          <w:trHeight w:val="311"/>
        </w:trPr>
        <w:tc>
          <w:tcPr>
            <w:tcW w:w="85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8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391.7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413.1</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399.1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w:t>
            </w:r>
          </w:p>
        </w:tc>
      </w:tr>
      <w:tr>
        <w:trPr>
          <w:trHeight w:val="27"/>
        </w:trPr>
        <w:tc>
          <w:tcPr>
            <w:tcW w:w="8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33020</wp:posOffset>
            </wp:positionV>
            <wp:extent cx="1492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9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Fair market value adjustment on cash flow hedges, net of income tax benefit of $8 million and zero</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net realized gains on cash flow hedges included in cost of processing and services, net</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8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income tax benefit of $1 million</w:t>
            </w:r>
          </w:p>
        </w:tc>
        <w:tc>
          <w:tcPr>
            <w:tcW w:w="7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8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interest expense, net of income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tax provisions of zero</w:t>
            </w: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9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7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207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r>
      <w:tr>
        <w:trPr>
          <w:trHeight w:val="27"/>
        </w:trPr>
        <w:tc>
          <w:tcPr>
            <w:tcW w:w="8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121" w:right="3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11,262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5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8,969</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no par value: 25.0 million shares authorized; none issued</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1,800.0 million shares authorized; 791.4 million shares issued</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399.1 million and 398.9 million shares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11,262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acquisitions and dispositions:</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Contract costs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Contract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 including capitalization of software costs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for acquisition of business, including working capital adjustments</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investing activities from continuing operations</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proceeds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repayments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of debt financing, redemption and other costs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treasury stock, including employee shares withheld for tax obligations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 from continuing operations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 from continuing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from discontinued operations provided by investing activities</w:t>
            </w:r>
          </w:p>
        </w:tc>
        <w:tc>
          <w:tcPr>
            <w:tcW w:w="11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balance</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ending balance</w:t>
            </w:r>
          </w:p>
        </w:tc>
        <w:tc>
          <w:tcPr>
            <w:tcW w:w="1140" w:type="dxa"/>
            <w:vAlign w:val="bottom"/>
            <w:tcBorders>
              <w:top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for the three months ended March 31, 2019 and 2018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2018. Certain prior period amounts have been reclassified to conform to current period presentation.</w:t>
      </w:r>
    </w:p>
    <w:p>
      <w:pPr>
        <w:spacing w:after="0" w:line="13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its related amendments using the optional transition method applied to all leases. Prior period amounts have not been restated. Additional information about the Company’s lease policies and the related impact of the adoption is included in Notes 2 and 14 to the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all 100% owned subsidiaries. Investments in less than 50% owned affiliates in which the Company has significant influence but not control are accounted for using the equity method of accounting. All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Financial Accounting Standards Board (“FASB”) issued ASU No. 2018-07,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Nonemployee Share-Based Payment Accounting </w:t>
      </w:r>
      <w:r>
        <w:rPr>
          <w:rFonts w:ascii="Times New Roman" w:cs="Times New Roman" w:eastAsia="Times New Roman" w:hAnsi="Times New Roman"/>
          <w:sz w:val="18"/>
          <w:szCs w:val="18"/>
          <w:color w:val="auto"/>
        </w:rPr>
        <w:t>(“ASU 2018-07”), which simplifies the accounting for share-based payments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nonemployees by largely aligning it with the accounting for share-based payments to employees. For public entities, ASU 2018-07 is effective for fiscal years, and interim periods within those years, beginning after December 15, 2018. Entities must apply the standard, using a modified retrospective transition approach, with a cumulative-effect adjustment to retained earnings as of the beginning of the fiscal year of adoption for all liability-classified nonemployee awards that have not been settled as of the adoption date and equity-classified nonemployee awards for which a measurement date has not been established. The Company adopted ASU 2018-07 on January 1, 2019, and the adoption did not have any impact on its consolidated financial statements.</w:t>
      </w:r>
    </w:p>
    <w:p>
      <w:pPr>
        <w:spacing w:after="0" w:line="1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which requires lessees to recognize a lease liability and a right-of-use asset for each lease with a term longer than twelve months. The recognized liability is measured at the present value of lease payments not yet paid, and the corresponding asset represents the lessee’s right to use the underlying asset over the lease term and is based on the liability, subject to certain adjustments. For income statement and statement of cash flow purposes, the standard retains the dual model with leases classified as either operating or finance. Operating leases result in straight-line expense while finance leases result in a front-loaded expense pattern. The standard prescribes a modified retrospective transition approach for leases existing at, or entered into after, the beginning of the earliest comparative period presented in the financial statements. ASU 2016-02 was subsequently amended by ASU No.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ASU No. 2018-10, </w:t>
      </w:r>
      <w:r>
        <w:rPr>
          <w:rFonts w:ascii="Times New Roman" w:cs="Times New Roman" w:eastAsia="Times New Roman" w:hAnsi="Times New Roman"/>
          <w:sz w:val="18"/>
          <w:szCs w:val="18"/>
          <w:i w:val="1"/>
          <w:iCs w:val="1"/>
          <w:color w:val="auto"/>
        </w:rPr>
        <w:t>Codification Improvements to Topic 842</w:t>
      </w:r>
      <w:r>
        <w:rPr>
          <w:rFonts w:ascii="Times New Roman" w:cs="Times New Roman" w:eastAsia="Times New Roman" w:hAnsi="Times New Roman"/>
          <w:sz w:val="18"/>
          <w:szCs w:val="18"/>
          <w:color w:val="auto"/>
        </w:rPr>
        <w:t xml:space="preserve">; ASU No. 2018-11, </w:t>
      </w:r>
      <w:r>
        <w:rPr>
          <w:rFonts w:ascii="Times New Roman" w:cs="Times New Roman" w:eastAsia="Times New Roman" w:hAnsi="Times New Roman"/>
          <w:sz w:val="18"/>
          <w:szCs w:val="18"/>
          <w:i w:val="1"/>
          <w:iCs w:val="1"/>
          <w:color w:val="auto"/>
        </w:rPr>
        <w:t>Leases (Topic 842) - Targeted Improvements</w:t>
      </w:r>
      <w:r>
        <w:rPr>
          <w:rFonts w:ascii="Times New Roman" w:cs="Times New Roman" w:eastAsia="Times New Roman" w:hAnsi="Times New Roman"/>
          <w:sz w:val="18"/>
          <w:szCs w:val="18"/>
          <w:color w:val="auto"/>
        </w:rPr>
        <w:t xml:space="preserve">; and ASU No. 2018-20, </w:t>
      </w:r>
      <w:r>
        <w:rPr>
          <w:rFonts w:ascii="Times New Roman" w:cs="Times New Roman" w:eastAsia="Times New Roman" w:hAnsi="Times New Roman"/>
          <w:sz w:val="18"/>
          <w:szCs w:val="18"/>
          <w:i w:val="1"/>
          <w:iCs w:val="1"/>
          <w:color w:val="auto"/>
        </w:rPr>
        <w:t>Narrow-Scope Improvements for Lessors</w:t>
      </w:r>
      <w:r>
        <w:rPr>
          <w:rFonts w:ascii="Times New Roman" w:cs="Times New Roman" w:eastAsia="Times New Roman" w:hAnsi="Times New Roman"/>
          <w:sz w:val="18"/>
          <w:szCs w:val="18"/>
          <w:color w:val="auto"/>
        </w:rPr>
        <w:t>. ASU No. 2018-11 provides an additional transition method allowing entities to initially apply the new lease standard at the adoption date and recognize a cumulative-effect adjustment to the opening balance of retained earnings in the period of adoption. For public entities, ASU 2016-02 is effective for annual and interim periods beginning after December 15, 2018.</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adopted the new standard effective January 1, 2019 using the optional transition method in ASU 2018-11. Under this method, the Company has not adjusted its comparative period financial statements for the effects of the new standard or made the new, expanded required disclosures for periods prior to the effective date. The Company elected the package of practical expedients permitted under the transition guidance in ASU 2016-02 to not reassess prior conclusions related to contracts containing leases, lease classification and initial direct costs. The Company also elected the practical expedient not to separate the non-lease components of a contract from the lease component to which they relate.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adoption of the new lease standard resulted in the recognition of lease liabilities of $383 million and right-of-use assets of $343 million, which include the impact of existing deferred rents and tenant improvement allowances on the consolidated balance sheet as of January 1, 2019 for real and personal property operating leases. The adoption of ASU 2016-02 did not have a material impact on the Company’s consolidated statements of income or consolidated statements of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(“ASU 2018-15”), which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cloud computing hosting arrangement that is a service contract with the requirements under Accounting Standards Codification (“ASC”) 350 for capitalizing implementation costs incurred to develop or obtain internal-use software. For public entities, ASU 2018-15 is effective for fiscal years, and interim periods within those years, beginning after December 15, 2019, with early adoption permitted. Entities are permitted to apply either a retrospective or prospective transition approach to adopt the guidance. The Company is currently assessing the impact that the adoption of ASU 2018-15 will have on its consolidated financial statements.</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 - 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Fair Value Measurement </w:t>
      </w:r>
      <w:r>
        <w:rPr>
          <w:rFonts w:ascii="Times New Roman" w:cs="Times New Roman" w:eastAsia="Times New Roman" w:hAnsi="Times New Roman"/>
          <w:sz w:val="18"/>
          <w:szCs w:val="18"/>
          <w:color w:val="auto"/>
        </w:rPr>
        <w:t>(“ASU 2018-13”), which removes, modifies, and adds certain disclosure requirements of ASC Topic 820,</w:t>
      </w:r>
      <w:r>
        <w:rPr>
          <w:rFonts w:ascii="Times New Roman" w:cs="Times New Roman" w:eastAsia="Times New Roman" w:hAnsi="Times New Roman"/>
          <w:sz w:val="18"/>
          <w:szCs w:val="18"/>
          <w:i w:val="1"/>
          <w:iCs w:val="1"/>
          <w:color w:val="auto"/>
        </w:rPr>
        <w:t xml:space="preserve"> Fair Value Measurement</w:t>
      </w:r>
      <w:r>
        <w:rPr>
          <w:rFonts w:ascii="Times New Roman" w:cs="Times New Roman" w:eastAsia="Times New Roman" w:hAnsi="Times New Roman"/>
          <w:sz w:val="18"/>
          <w:szCs w:val="18"/>
          <w:color w:val="auto"/>
        </w:rPr>
        <w:t>. ASU 2018-13 is effective for fiscal years, including interim periods within those fiscal years, beginning after December 15, 2019,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disclosures required to be applied prospectively and the modified and removed disclosures required to be applied retrospectively to all periods presented. Entities are permitted to early adopt the removed or modified disclosures and delay the adoption of the additional disclosures until the effective date. The Company is currently assessing the impact that the adoption of ASU 2018-13 will have on its consolidated financial statements.</w:t>
      </w:r>
    </w:p>
    <w:p>
      <w:pPr>
        <w:spacing w:after="0" w:line="1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(“ASU 2016-13”), which prescribes an impairment model for most financial assets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asset. For public entities, ASU 2016-13 is effective for fiscal years, including interim periods within those fiscal years, beginning after December 15, 2019. Early adoption is permitted for fiscal years beginning after December 15, 2018, including interim periods within those fiscal years. For most instruments, entities must apply the standard using a cumulative-effect adjustment to beginning retained earnings as of the beginning of the fiscal year of adoption. The Company is currently assessing the impact that the adoption of ASU 2016-13 will have on its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tables below present the Company’s revenue disaggregated by major business, including a reconciliation with its reportable segments. Most of the Company’s revenue is earned domestically within these major businesses, with revenue from clients outside the United States comprising approximately 6% and 5% of total revenue in the three months ended March 31, 2019 and 2018, respectively.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gridSpan w:val="5"/>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47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gridSpan w:val="5"/>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Major Business</w:t>
            </w: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700" w:type="dxa"/>
            <w:vAlign w:val="bottom"/>
            <w:gridSpan w:val="5"/>
            <w:vMerge w:val="continue"/>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Digital Money Movement</w:t>
            </w:r>
          </w:p>
        </w:tc>
        <w:tc>
          <w:tcPr>
            <w:tcW w:w="118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Card and Related Services</w:t>
            </w:r>
          </w:p>
        </w:tc>
        <w:tc>
          <w:tcPr>
            <w:tcW w:w="11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color w:val="auto"/>
                <w:w w:val="99"/>
              </w:rPr>
              <w:t>Total Payments</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 and Item Processing</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tcBorders>
            <w:gridSpan w:val="3"/>
            <w:shd w:val="clear" w:color="auto" w:fill="CCEEFF"/>
          </w:tcPr>
          <w:p>
            <w:pPr>
              <w:jc w:val="center"/>
              <w:ind w:right="3120"/>
              <w:spacing w:after="0"/>
              <w:rPr>
                <w:sz w:val="20"/>
                <w:szCs w:val="20"/>
                <w:color w:val="auto"/>
              </w:rPr>
            </w:pPr>
            <w:r>
              <w:rPr>
                <w:rFonts w:ascii="Times New Roman" w:cs="Times New Roman" w:eastAsia="Times New Roman" w:hAnsi="Times New Roman"/>
                <w:sz w:val="18"/>
                <w:szCs w:val="18"/>
                <w:color w:val="auto"/>
                <w:w w:val="98"/>
              </w:rPr>
              <w:t>Total Financial</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4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5"/>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660" w:type="dxa"/>
            <w:vAlign w:val="bottom"/>
            <w:gridSpan w:val="4"/>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Major Business</w:t>
            </w: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4660" w:type="dxa"/>
            <w:vAlign w:val="bottom"/>
            <w:gridSpan w:val="4"/>
            <w:vMerge w:val="continue"/>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Money Movement</w:t>
            </w:r>
          </w:p>
        </w:tc>
        <w:tc>
          <w:tcPr>
            <w:tcW w:w="118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Card and Related Services</w:t>
            </w:r>
          </w:p>
        </w:tc>
        <w:tc>
          <w:tcPr>
            <w:tcW w:w="11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Payments</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 and Item Processing</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Lending Solutions</w:t>
            </w:r>
          </w:p>
        </w:tc>
        <w:tc>
          <w:tcPr>
            <w:tcW w:w="11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color w:val="auto"/>
                <w:w w:val="98"/>
              </w:rPr>
              <w:t>Total Financial</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40" w:type="dxa"/>
            <w:vAlign w:val="bottom"/>
            <w:gridSpan w:val="3"/>
          </w:tcPr>
          <w:p>
            <w:pPr>
              <w:jc w:val="center"/>
              <w:ind w:right="3120"/>
              <w:spacing w:after="0"/>
              <w:rPr>
                <w:sz w:val="20"/>
                <w:szCs w:val="20"/>
                <w:color w:val="auto"/>
              </w:rPr>
            </w:pPr>
            <w:r>
              <w:rPr>
                <w:rFonts w:ascii="Times New Roman" w:cs="Times New Roman" w:eastAsia="Times New Roman" w:hAnsi="Times New Roman"/>
                <w:sz w:val="18"/>
                <w:szCs w:val="18"/>
                <w:color w:val="auto"/>
                <w:w w:val="98"/>
              </w:rPr>
              <w:t>Total Revenue</w:t>
            </w: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gridSpan w:val="5"/>
            <w:vMerge w:val="continue"/>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recognized $139 million of revenue during the three months ended March 31, 2019 that was included in the contract liability balance at the beginning of the period, which exceeded advance cash receipts for services yet to be provided.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 expected to be recognized in the future related to performance obligations that are unsatisfied (or partially unsatisfied) at the end of the reporting period.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services</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4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applies the optional exemption in paragraph 606-10-50-14(b) and does not disclose information about remaining performance obligations for account- and transaction-based processing fees that qualify for recognition in accordance with paragraph 606-10-55-18. These contracts generally have terms of three to five years, and contain variable consideration for stand-ready performance obligations for which the exact quantity and mix of transactions to be processed are contingent upon the customer’s request. The Company also applies the optional exemptions in paragraph 606-10-50-14A and does not disclose information for variable consideration, including additional seat licenses,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October 31, 2018, the Company acquired the debit card processing, ATM Managed Services, and MoneyPass® surcharge-free network of Elan Financial Services, a unit of U.S. Bancorp (“Elan”), for approximately $660 million. Such purchase price includes an initial cash payment of $691 million, less the receipt of post-closing working capital adjustments of $57 million in 2019, plus contingent consideration related to earn-out provisions estimated at a fair value of $12 million and future payments under a transition services agreement estimated to be in excess of fair value of $14 million. This acquisition, included within the Payments segment, deepens the Company’s presence in debit card processing, broadens its client reach and scale, and provides new solutions to enhance the value proposition for its existing debit solution clients.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purchase price recorded for Elan was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r>
      <w:tr>
        <w:trPr>
          <w:trHeight w:val="243"/>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purchase price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amounts allocated to goodwill and intangible assets were based on preliminary valuations and are subject to final adjustment. Goodwill, expected to be deductible for tax purposes, is primarily attributed to synergies, including the migration of Elan’s clients to the Company’s debit platform, and the anticipated value created by selling the Company’s products and services outside of card payments to Elan’s existing client base. The values allocated to intangible assets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r>
      <w:tr>
        <w:trPr>
          <w:trHeight w:val="225"/>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9"/>
                <w:szCs w:val="19"/>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related intangible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43"/>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the Company entered into a transition services agreement for the provision of certain processing, network, administrative and managed services for a period of two years. The results of operations for Elan,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consisting of $46 million of revenue and $9 million of operating income including $6 million of acquired intangible asset amortization, have been included within the accompanying consolidated statement of income for the three months ended March 31, 2019.</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16, 2019, the Company announced that it had entered into a definitive merger agreement to acquire First Data Corporation (“First Data”) in an all-stock transaction for an equity value of approximately $22 billion as of the announcement. The transaction is expected to close during the second half of 2019, subject to customary closing conditions and regulatory approvals. See Note 13 for a description of related debt financing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Discontinued Operations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10, 2018, the Company completed the sale of the retail voucher business, MyVoucherCodes, acquired as part of its acquisition of Monitise in September 2017 for proceeds of £37 million ($50 million). The corresponding proceeds received during the three months ended March 31, 2018 are presented within discontinued operations since the business was never considered part of the Company’s ongoing operations. There was no impact to operating income or gain/loss recognized on the sale during the three months ended March 31,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March 29, 2018, the Company completed the sale of a 55% controlling interest of each of Fiserv Automotive Solutions, LLC and Fiserv LS LLC, which were subsidiaries of the Company that owned its Lending Solutions business (collectively, the “Lending Joint Ventures”), to funds affiliated with Warburg Pincus LLC. The Lending Joint Ventures, which were reported within the Financial segment, included all of the Company’s automotive loan origination and servicing products, as well as its LoanServ</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mortgage and consumer loan servicing platform. The Company received gross sale proceeds of $419 million from the transactions. During the three months ended March 31, 2018, the Company recognized a pre-tax gain on the sale of $232 million, with the related tax expense of $78 million recorded through the income tax provision, in the consolidated statements of income. The pre-tax gain included $124 million related to the remeasurement of the Company’s 45% retained interests based upon the estimated enterprise value of the Lending Joint Ventures. During the three months ended March 31, 2019, the Company recognized a pre-tax gain on the sale of $10 million, with the related tax expense of $2 million recorded through the income tax provision, as contingent special distribution provisions within the transaction agreement were resolved and thereby realized. The Company’s remaining 45% ownership interests in the Lending Joint Ventures are accounted for as equity method investments, with the Company’s share of net income (loss) reported as income (loss) from investments in unconsolidated affiliates and the related tax expense (benefit) reported within the income tax provision in the consolidated statements of income. The Company’s investment in the Lending Joint Ventures was $63 million and $65 million at March 31, 2019 and December 31, 2018, respectively, and is reported within other long-term assets in the consolidated balance sheets. The revenues, expenses and cash flows of the Lending Joint Ventures after the sale transactions are not included in the Company’s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sale transactions described above, the Lending Joint Ventures entered into variable-rate term loan facilities for an aggregate amount of</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$350 million in senior unsecured debt and variable-rate revolving credit facilities for an aggregate amount of $35 million with a syndicate of banks, which transferred to the Lending Joint Ventures as part of the sale. The Company has guaranteed this debt of the Lending Joint Ventures and does not anticipate that the Lending Joint Ventures will fail to fulfill their debt obligations. These debt facilities mature in March 2023, and there are no outstanding borrowings on the revolving credit facilities as of March 31, 2019. The Company recorded an initial $34 million liability as a reduction to the gain on sale transactions for the estimated fair value of its obligations to stand ready to perform over the term of the guarantees, which is reported primarily within other long-term liabilities in the consolidated balance sheets. Such guarantees will be amortized in future periods over the contractual term. During the three months ended March 31, 2019, the Company recognized $1 million within non-operating income in its consolidated statements of income related to its release from risk under the guarantees. The Company has not made any payments under the guarantees, nor has it been called upon to do so. In conjunction with the sale transactions described above, the Company also entered into certain transition services agreements to provide, at fair value, various administration, business process outsourcing, technical and data center related services for defined periods to the Lending Joint Ventures. Amounts transacted through these agreements approximated $9 million during the three months ended March 31, 2019, and were primarily recognized as processing and services revenue in the consolidated statement of income.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recognized $19 million of share-based compensation expense in each of the three months ended March 31, 2019 and 2018. The Company’s annual grant of share-based awards generally occurs in the first quarter. During the three months ended March 31, 2019 and 2018, stock options to purchase 1.3 million and 1.6 million shares, respectively, were exercised.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restricted stock unit and performance share unit grant activity is as follows:</w:t>
      </w:r>
    </w:p>
    <w:p>
      <w:pPr>
        <w:spacing w:after="0" w:line="336"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33020</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Shares Granted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Shares Granted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2"/>
        </w:trPr>
        <w:tc>
          <w:tcPr>
            <w:tcW w:w="516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84.34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69.77</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share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75.39</w:t>
            </w:r>
          </w:p>
        </w:tc>
      </w:tr>
      <w:tr>
        <w:trPr>
          <w:trHeight w:val="27"/>
        </w:trPr>
        <w:tc>
          <w:tcPr>
            <w:tcW w:w="5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Income tax provision as a percentage of income before loss from investments in unconsolidated affiliates was 11.9% and 24.9% in the three months ended March 31, 2019 and 2018, respectively. The rate in the first quarter of 2019 includes discrete benefits due to a loss from subsidiary restructuring. The rate in the first quarter of 2018 included $78 million of income tax expense associated with the $232 million gain on the sale of a 55% interest of the Company’s Lending Solutions business (see Note 6).</w:t>
      </w:r>
    </w:p>
    <w:p>
      <w:pPr>
        <w:sectPr>
          <w:pgSz w:w="11900" w:h="16838" w:orient="portrait"/>
          <w:cols w:equalWidth="0" w:num="1">
            <w:col w:w="11420"/>
          </w:cols>
          <w:pgMar w:left="240" w:top="121" w:right="23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Shares Used in Computing Net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common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per share – basic</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per share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33020</wp:posOffset>
            </wp:positionV>
            <wp:extent cx="2238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0"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84" w:lineRule="exact"/>
        <w:rPr>
          <w:sz w:val="20"/>
          <w:szCs w:val="20"/>
          <w:color w:val="auto"/>
        </w:rPr>
      </w:pPr>
    </w:p>
    <w:p>
      <w:pPr>
        <w:jc w:val="right"/>
        <w:ind w:right="100"/>
        <w:spacing w:after="0"/>
        <w:tabs>
          <w:tab w:leader="none" w:pos="400" w:val="left"/>
        </w:tabs>
        <w:rPr>
          <w:sz w:val="20"/>
          <w:szCs w:val="20"/>
          <w:color w:val="auto"/>
        </w:rPr>
      </w:pPr>
      <w:r>
        <w:rPr>
          <w:rFonts w:ascii="Times New Roman" w:cs="Times New Roman" w:eastAsia="Times New Roman" w:hAnsi="Times New Roman"/>
          <w:sz w:val="18"/>
          <w:szCs w:val="18"/>
          <w:color w:val="auto"/>
        </w:rPr>
        <w:t>391.7</w:t>
      </w:r>
      <w:r>
        <w:rPr>
          <w:sz w:val="20"/>
          <w:szCs w:val="20"/>
          <w:color w:val="auto"/>
        </w:rPr>
        <w:tab/>
      </w:r>
      <w:r>
        <w:rPr>
          <w:rFonts w:ascii="Times New Roman" w:cs="Times New Roman" w:eastAsia="Times New Roman" w:hAnsi="Times New Roman"/>
          <w:sz w:val="18"/>
          <w:szCs w:val="18"/>
          <w:color w:val="auto"/>
        </w:rPr>
        <w:t>413.1</w:t>
      </w:r>
    </w:p>
    <w:p>
      <w:pPr>
        <w:spacing w:after="0" w:line="63" w:lineRule="exact"/>
        <w:rPr>
          <w:sz w:val="20"/>
          <w:szCs w:val="20"/>
          <w:color w:val="auto"/>
        </w:rPr>
      </w:pPr>
    </w:p>
    <w:p>
      <w:pPr>
        <w:jc w:val="right"/>
        <w:ind w:right="100"/>
        <w:spacing w:after="0"/>
        <w:tabs>
          <w:tab w:leader="none" w:pos="2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8.5</w:t>
      </w:r>
    </w:p>
    <w:p>
      <w:pPr>
        <w:spacing w:after="0" w:line="77" w:lineRule="exact"/>
        <w:rPr>
          <w:sz w:val="20"/>
          <w:szCs w:val="20"/>
          <w:color w:val="auto"/>
        </w:rPr>
      </w:pPr>
    </w:p>
    <w:p>
      <w:pPr>
        <w:jc w:val="right"/>
        <w:ind w:right="100"/>
        <w:spacing w:after="0"/>
        <w:tabs>
          <w:tab w:leader="none" w:pos="400" w:val="left"/>
        </w:tabs>
        <w:rPr>
          <w:sz w:val="20"/>
          <w:szCs w:val="20"/>
          <w:color w:val="auto"/>
        </w:rPr>
      </w:pPr>
      <w:r>
        <w:rPr>
          <w:rFonts w:ascii="Times New Roman" w:cs="Times New Roman" w:eastAsia="Times New Roman" w:hAnsi="Times New Roman"/>
          <w:sz w:val="18"/>
          <w:szCs w:val="18"/>
          <w:color w:val="auto"/>
        </w:rPr>
        <w:t>399.1</w:t>
      </w:r>
      <w:r>
        <w:rPr>
          <w:sz w:val="20"/>
          <w:szCs w:val="20"/>
          <w:color w:val="auto"/>
        </w:rPr>
        <w:tab/>
      </w:r>
      <w:r>
        <w:rPr>
          <w:rFonts w:ascii="Times New Roman" w:cs="Times New Roman" w:eastAsia="Times New Roman" w:hAnsi="Times New Roman"/>
          <w:sz w:val="18"/>
          <w:szCs w:val="18"/>
          <w:color w:val="auto"/>
        </w:rPr>
        <w:t>421.6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51435</wp:posOffset>
            </wp:positionV>
            <wp:extent cx="22383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20"/>
          </w:cols>
          <w:pgMar w:left="240" w:top="121" w:right="239" w:bottom="1440" w:gutter="0" w:footer="0" w:header="0"/>
          <w:type w:val="continuous"/>
        </w:sectPr>
      </w:pP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stock options for 1.4 million and 0.7 million shares, respectively, were excluded from the calculation of diluted weighted-average outstanding shares because their impact was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considers the principal or most advantageous market and the market-based risk measurements or assumptions that market participants would use in pricing the asset or liability.</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settlement assets and obligations, accounts payable, and client deposits approximate their respective carrying values due to the short period of time to maturity. The estimated fair value of total debt was based on quoted prices in active markets for the Company’s senior notes (level 1 of the fair value hierarchy). The fair value of the Company’s revolving credit facility borrowings approximates carrying value as the underlying interest rate is variable based on LIBOR. The estimated fair value of total debt was $6.0 billion at both March 31, 2019 and December 31, 2018. The estimated fair value of the treasury lock agreements (“Treasury Locks”) was based on forward U.S. Treasury interest rates (level 2 of the fair value hierarchy), which totaled $35 million at March 31, 2019 (see Note 16).</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contingent consideration liability of $12 million at March 31, 2019 related to the acquisition of Elan (see Note 4) was based on the present value of a probability-weighted assessment approach derived from the likelihood of achieving the earn-out criteria (level 3 of the fair value hierarchy). This estimated fair value has not changed since the acquisition date. The aggregate fair values of the Company’s debt guarantee arrangements (see Note 6) with the Lending Joint Ventures approximate the $28 million carrying values at March 31, 2019 (level 3 of the fair value hierarchy). The contingent consideration and debt guarantee liabilities are reported primarily in other long-term liabilities in the consolidated balance sheets.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6060" w:type="dxa"/>
            <w:vAlign w:val="bottom"/>
            <w:gridSpan w:val="3"/>
            <w:vMerge w:val="continue"/>
          </w:tcPr>
          <w:p>
            <w:pPr>
              <w:spacing w:after="0"/>
              <w:rPr>
                <w:sz w:val="6"/>
                <w:szCs w:val="6"/>
                <w:color w:val="auto"/>
              </w:rPr>
            </w:pPr>
          </w:p>
        </w:tc>
        <w:tc>
          <w:tcPr>
            <w:tcW w:w="1200" w:type="dxa"/>
            <w:vAlign w:val="bottom"/>
            <w:vMerge w:val="restart"/>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6"/>
                <w:szCs w:val="6"/>
                <w:color w:val="auto"/>
              </w:rPr>
            </w:pPr>
          </w:p>
        </w:tc>
        <w:tc>
          <w:tcPr>
            <w:tcW w:w="1380" w:type="dxa"/>
            <w:vAlign w:val="bottom"/>
            <w:vMerge w:val="restart"/>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4,465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6060" w:type="dxa"/>
            <w:vAlign w:val="bottom"/>
            <w:gridSpan w:val="3"/>
            <w:vMerge w:val="continue"/>
          </w:tcPr>
          <w:p>
            <w:pPr>
              <w:spacing w:after="0"/>
              <w:rPr>
                <w:sz w:val="6"/>
                <w:szCs w:val="6"/>
                <w:color w:val="auto"/>
              </w:rPr>
            </w:pPr>
          </w:p>
        </w:tc>
        <w:tc>
          <w:tcPr>
            <w:tcW w:w="1200" w:type="dxa"/>
            <w:vAlign w:val="bottom"/>
            <w:vMerge w:val="restart"/>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6"/>
                <w:szCs w:val="6"/>
                <w:color w:val="auto"/>
              </w:rPr>
            </w:pPr>
          </w:p>
        </w:tc>
        <w:tc>
          <w:tcPr>
            <w:tcW w:w="1380" w:type="dxa"/>
            <w:vAlign w:val="bottom"/>
            <w:vMerge w:val="restart"/>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4,424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estimates that annual amortization expense with respect to acquired intangible assets recorded at March 31, 2019, which include customer related intangible assets, acquired software and technology, and trade names, will be approximately $180 million in 2019, $160 million in 2020, $150 million in each of 2021 and 2022, and $140 million in 2023. Amortization expense with respect to capitalized and purchased software recorded at March 31, 2019 is estimated to approximate $210 million in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Accounts Payable and 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9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4980" w:type="dxa"/>
            <w:vAlign w:val="bottom"/>
            <w:tcBorders>
              <w:bottom w:val="single" w:sz="8" w:color="CCEEFF"/>
            </w:tcBorders>
            <w:gridSpan w:val="2"/>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Client deposits</w:t>
            </w:r>
          </w:p>
        </w:tc>
        <w:tc>
          <w:tcPr>
            <w:tcW w:w="3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obligations</w:t>
            </w:r>
          </w:p>
        </w:tc>
        <w:tc>
          <w:tcPr>
            <w:tcW w:w="3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3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tcBorders>
              <w:bottom w:val="single" w:sz="8" w:color="CCEEFF"/>
            </w:tcBorders>
            <w:gridSpan w:val="2"/>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012"/>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January 16, 2019, in connection with the definitive merger agreement to acquire First Data (see Note 4), the Company entered into a bridge facility commitment letter pursuant to which a group of financial institutions committed to provide a 364-day senior unsecured bridge term loan facility in an aggregate principal amount of $17.0 billion for the purpose of refinancing certain indebtedness of First Data and its subsidiaries on the closing date of the merger, making cash payments in lieu of fractional shares as part of the merger consideration, and paying fees and expenses related to the merger, the refinancing and the related transactions. The Company recorded $59 million of expenses, reported within debt financing activities in the consolidated statement of income, related to the bridge term loan facility during the three months ended March 31, 2019. There are no outstanding borrowings under the bridge term loan facility at March 31, 2019.</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6, 2019, the Company entered into an amendment to its amended and restated revolving credit facility to (i) amend the maximum leverage ratio covenant to permit it to elect to increase the permitted maximum leverage ratio from three and one-half times the Company’s consolidated net earnings before interest, taxes, depreciation, amortization, non-cash charges and expenses and certain other adjustments (“EBITDA”) to either four times or four and one-half times the Company’s EBITDA for a specified period following certain acquisitions and (ii) permit it to make drawings under the revolving credit facility on the closing date of its acquisition of First Data subject to only limited conditions. In addition, on February 15, 2019, the Company entered into a second amendment to its existing revolving credit agreement in order to increase the aggregate commitments available thereunder by $1.5 billion and to make certain additional amendments to facilitate the operation of the combined business following the acquisition of First Data. The increased commitments and additional amendments related to the revolving credit facility will become effective upon the satisfaction or waiver of conditions that are substantially similar to the conditions to funding under the term loan facility described below.</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15, 2019, the Company entered into a new term loan credit agreement with a syndicate of financial institutions pursuant to which such financial institutions have committed to provide the Company with a senior unsecured term loan facility in an aggregate principal amount of $5.0 billion, consisting of $1.5 billion in commitments to provide loans with a three-year maturity and $3.5 billion in commitments to provide loans with a five-year maturity. The aggregate principal amount of the commitments under the term loan credit agreement have replaced a corresponding amount of the commitments in respect of the bridge facility in accordance with the terms of the bridge facility commitment letter. As a result, there are now $12.0 billion in bridge facility commitments remaining. The Company expects to replace these remaining commitments with permanent financing in the form of the issuance of debt securities prior to the closing of the acquisition of First Data.</w:t>
      </w:r>
    </w:p>
    <w:p>
      <w:pPr>
        <w:spacing w:after="0" w:line="13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availability of loans under the term loan facility is subject to the satisfaction or waiver of certain conditions that are substantially consistent with the conditions to the funding of the bridge facility, including (i) the closing of the acquisition substantially concurrently with the funding of such loans, (ii) the absence of a material adverse effect with respect to First Data since January 16, 2019, (iii) the truth and accuracy in all material respects of certain representations and warranties, (iv) the receipt of certain certificates, and (v) the receipt of certain financial statements. Loans drawn under the term loan facility will be subject to amortization at an annual rate of 5% for the first two years and 7.5% thereafter (with loans outstanding under the five-year tranche subject to amortization at an annual rate of 10% after the fourth anniversary of the commencement of amortization), with accrued and unpaid amortization amounts required to be paid on the last business day in December of each year. Borrowings under the term loan facility will bear interest at variable rates based on LIBOR or on a base rate plus, in each case, a specified margin based on the Company’s long-term debt rating in effect from time to time. The Company is also required to pay a ticking fee that will accrue on the aggregate undrawn commitments under the term loan facility at a per annum rate based upon the Company’s long-term debt rating in effect from time to time. The term loan credit agreement contains affirmative, negative and financial covenants, and events of default, that are substantially the same as those set forth in the Company’s existing revolving credit facility, as amended as described above.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ASU 2016-02 and its related amendments (collectively known as “ASC 842”) effective January 1, 2019 using the optional transition method in ASU 2018-11. Therefore, the reported results for the three months ended March 31, 2019 reflect the application of ASC 842 while the reported results for the three months ended March 31, 2018 were not adjusted and continue to be reported under the accounting guidance,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in effect for the prior period.</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lease term begins on the commencement date, which is the date the Company takes possession of the property, and may include options to extend or terminate the lease when it is reasonably certain that the option will be exercised. The lease term is used to determine lease classification as an operating or finance lease and is used to calculate straight-line lease expense for operating leases. The Company elected the package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practical expedients permitted under the transition guidance within ASU 2016-02 to not reassess prior conclusions related to contracts containing leases, lease classification and initial direct costs.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Right-of-use (“ROU”) assets represent the Company’s right to use an underlying asset for the lease term and lease liabilities represent the Company’s obligation to make lease payments arising from the lease. As a practical expedient, lease agreements with lease and non-lease components are accounted for as a single lease component for all asset classes, which are comprised of real estate leases and equipment leases. ROU assets and lease liabilities are recognized at commencement date based on the present value of lease payments over the lease term. ROU assets also include prepaid lease payments and exclude lease incentives received. The Company estimates contingent lease incentives when it is probable that the Company is entitled to the incentive at lease commencement. As the Company’s leases typically do not provide an implicit rate, the Company uses its incremental borrowing rate based on the information available at commencement date for both real estate and equipment leases. The determination of the incremental borrowing rate requires judgment. The Company determines the incremental borrowing rate using the Company’s current unsecured borrowing rate, adjusted for various factors such as collateralization and term to align with the terms of the lease.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w:t>
      </w:r>
    </w:p>
    <w:p>
      <w:pPr>
        <w:spacing w:after="0" w:line="13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leases certain office space, data centers, and equipment. The Company’s leases have remaining lease terms of 1 to 11 years. Most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a variable lease expense when incurred. Certain leases include options to purchase the leased asset at the end of the lease term, which is assessed as a part of the Company’s lease classification determination. The depreciable life of the ROU assets and leasehold improvements are limited by the expected lease term unless the Company is reasonably certain of a transfer of title or purchase option.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Lease Transactions During the Three Months Ended March 31, 2019</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65"/>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4"/>
                <w:szCs w:val="24"/>
                <w:color w:val="auto"/>
              </w:rPr>
            </w:pP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8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70"/>
        </w:trPr>
        <w:tc>
          <w:tcPr>
            <w:tcW w:w="80" w:type="dxa"/>
            <w:vAlign w:val="bottom"/>
            <w:shd w:val="clear" w:color="auto" w:fill="CCEEFF"/>
          </w:tcPr>
          <w:p>
            <w:pPr>
              <w:spacing w:after="0"/>
              <w:rPr>
                <w:sz w:val="23"/>
                <w:szCs w:val="23"/>
                <w:color w:val="auto"/>
              </w:rPr>
            </w:pPr>
          </w:p>
        </w:tc>
        <w:tc>
          <w:tcPr>
            <w:tcW w:w="9060" w:type="dxa"/>
            <w:vAlign w:val="bottom"/>
            <w:gridSpan w:val="2"/>
            <w:shd w:val="clear" w:color="auto" w:fill="CCEEFF"/>
          </w:tcPr>
          <w:p>
            <w:pPr>
              <w:ind w:left="100"/>
              <w:spacing w:after="0" w:line="270" w:lineRule="exact"/>
              <w:rPr>
                <w:sz w:val="20"/>
                <w:szCs w:val="20"/>
                <w:color w:val="auto"/>
              </w:rPr>
            </w:pPr>
            <w:r>
              <w:rPr>
                <w:rFonts w:ascii="Times New Roman" w:cs="Times New Roman" w:eastAsia="Times New Roman" w:hAnsi="Times New Roman"/>
                <w:sz w:val="18"/>
                <w:szCs w:val="18"/>
                <w:color w:val="auto"/>
              </w:rPr>
              <w:t>Finance lease assets</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80" w:type="dxa"/>
            <w:vAlign w:val="bottom"/>
            <w:tcBorders>
              <w:bottom w:val="single" w:sz="8" w:color="CCEEFF"/>
            </w:tcBorders>
          </w:tcPr>
          <w:p>
            <w:pPr>
              <w:spacing w:after="0"/>
              <w:rPr>
                <w:sz w:val="24"/>
                <w:szCs w:val="24"/>
                <w:color w:val="auto"/>
              </w:rPr>
            </w:pPr>
          </w:p>
        </w:tc>
        <w:tc>
          <w:tcPr>
            <w:tcW w:w="9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311"/>
        </w:trPr>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04"/>
        </w:trPr>
        <w:tc>
          <w:tcPr>
            <w:tcW w:w="80" w:type="dxa"/>
            <w:vAlign w:val="bottom"/>
            <w:tcBorders>
              <w:bottom w:val="single" w:sz="8" w:color="CCEEFF"/>
            </w:tcBorders>
            <w:shd w:val="clear" w:color="auto" w:fill="CCEEFF"/>
          </w:tcPr>
          <w:p>
            <w:pPr>
              <w:spacing w:after="0"/>
              <w:rPr>
                <w:sz w:val="24"/>
                <w:szCs w:val="24"/>
                <w:color w:val="auto"/>
              </w:rPr>
            </w:pPr>
          </w:p>
        </w:tc>
        <w:tc>
          <w:tcPr>
            <w:tcW w:w="90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80" w:type="dxa"/>
            <w:vAlign w:val="bottom"/>
            <w:shd w:val="clear" w:color="auto" w:fill="CCEEFF"/>
          </w:tcPr>
          <w:p>
            <w:pPr>
              <w:spacing w:after="0"/>
              <w:rPr>
                <w:sz w:val="23"/>
                <w:szCs w:val="23"/>
                <w:color w:val="auto"/>
              </w:rPr>
            </w:pPr>
          </w:p>
        </w:tc>
        <w:tc>
          <w:tcPr>
            <w:tcW w:w="9060" w:type="dxa"/>
            <w:vAlign w:val="bottom"/>
            <w:gridSpan w:val="2"/>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Finance lease liabilities</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0" w:type="dxa"/>
            <w:vAlign w:val="bottom"/>
          </w:tcPr>
          <w:p>
            <w:pPr>
              <w:spacing w:after="0"/>
              <w:rPr>
                <w:sz w:val="23"/>
                <w:szCs w:val="23"/>
                <w:color w:val="auto"/>
              </w:rPr>
            </w:pPr>
          </w:p>
        </w:tc>
        <w:tc>
          <w:tcPr>
            <w:tcW w:w="9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54"/>
        </w:trPr>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324"/>
        </w:trPr>
        <w:tc>
          <w:tcPr>
            <w:tcW w:w="80" w:type="dxa"/>
            <w:vAlign w:val="bottom"/>
            <w:shd w:val="clear" w:color="auto" w:fill="CCEEFF"/>
          </w:tcPr>
          <w:p>
            <w:pPr>
              <w:spacing w:after="0"/>
              <w:rPr>
                <w:sz w:val="24"/>
                <w:szCs w:val="24"/>
                <w:color w:val="auto"/>
              </w:rPr>
            </w:pPr>
          </w:p>
        </w:tc>
        <w:tc>
          <w:tcPr>
            <w:tcW w:w="9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70"/>
        </w:trPr>
        <w:tc>
          <w:tcPr>
            <w:tcW w:w="80" w:type="dxa"/>
            <w:vAlign w:val="bottom"/>
            <w:tcBorders>
              <w:bottom w:val="single" w:sz="8" w:color="CCEEFF"/>
            </w:tcBorders>
          </w:tcPr>
          <w:p>
            <w:pPr>
              <w:spacing w:after="0"/>
              <w:rPr>
                <w:sz w:val="23"/>
                <w:szCs w:val="23"/>
                <w:color w:val="auto"/>
              </w:rPr>
            </w:pPr>
          </w:p>
        </w:tc>
        <w:tc>
          <w:tcPr>
            <w:tcW w:w="9060" w:type="dxa"/>
            <w:vAlign w:val="bottom"/>
            <w:tcBorders>
              <w:bottom w:val="single" w:sz="8" w:color="CCEEFF"/>
            </w:tcBorders>
            <w:gridSpan w:val="2"/>
          </w:tcPr>
          <w:p>
            <w:pPr>
              <w:ind w:left="200"/>
              <w:spacing w:after="0" w:line="270" w:lineRule="exact"/>
              <w:rPr>
                <w:sz w:val="20"/>
                <w:szCs w:val="20"/>
                <w:color w:val="auto"/>
              </w:rPr>
            </w:pPr>
            <w:r>
              <w:rPr>
                <w:rFonts w:ascii="Times New Roman" w:cs="Times New Roman" w:eastAsia="Times New Roman" w:hAnsi="Times New Roman"/>
                <w:sz w:val="18"/>
                <w:szCs w:val="18"/>
                <w:color w:val="auto"/>
              </w:rPr>
              <w:t>Finance lease liabilities</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90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60" w:right="60" w:hanging="252"/>
        <w:spacing w:after="0" w:line="239" w:lineRule="auto"/>
        <w:tabs>
          <w:tab w:leader="none" w:pos="19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Operating lease assets are included within other long-term assets, and operating lease liabilities are included within accounts payable and accrued expenses (current portion) and other long-term liabilities (noncurrent portion) in the Company’s consolidated balance sheet. Operating lease assets are recorded net of accumulated amortization of $21 million as of March 31, 2019.</w:t>
      </w:r>
    </w:p>
    <w:p>
      <w:pPr>
        <w:spacing w:after="0" w:line="2" w:lineRule="exact"/>
        <w:rPr>
          <w:rFonts w:ascii="Times New Roman" w:cs="Times New Roman" w:eastAsia="Times New Roman" w:hAnsi="Times New Roman"/>
          <w:sz w:val="24"/>
          <w:szCs w:val="24"/>
          <w:color w:val="auto"/>
          <w:vertAlign w:val="superscript"/>
        </w:rPr>
      </w:pPr>
    </w:p>
    <w:p>
      <w:pPr>
        <w:ind w:left="260" w:right="220" w:hanging="252"/>
        <w:spacing w:after="0" w:line="233" w:lineRule="auto"/>
        <w:tabs>
          <w:tab w:leader="none" w:pos="19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Finance lease assets are included within property and equipment, net and finance lease liabilities are included within current maturities of long-term debt (current portion) and long-term debt (noncurrent portion) in the Company’s consolidated balance sheets. Finance lease assets are recorded net of accumulated amortization of $9 million as of March 31, 2019.</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Lease Cost</w:t>
      </w: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In millions</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5"/>
          <w:szCs w:val="25"/>
          <w:color w:val="auto"/>
          <w:vertAlign w:val="superscript"/>
        </w:rPr>
        <w:t>(1)</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Finance lease cost</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Amortization of right-of-use assets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Three Months Ended March</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31, 2019</w:t>
      </w:r>
    </w:p>
    <w:p>
      <w:pPr>
        <w:spacing w:after="0" w:line="9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shd w:val="clear" w:color="auto" w:fill="CCEEFF"/>
        </w:rPr>
        <w:t>$</w:t>
      </w:r>
      <w:r>
        <w:rPr>
          <w:sz w:val="20"/>
          <w:szCs w:val="20"/>
          <w:color w:val="auto"/>
        </w:rPr>
        <w:tab/>
      </w:r>
      <w:r>
        <w:rPr>
          <w:rFonts w:ascii="Times New Roman" w:cs="Times New Roman" w:eastAsia="Times New Roman" w:hAnsi="Times New Roman"/>
          <w:sz w:val="18"/>
          <w:szCs w:val="18"/>
          <w:color w:val="auto"/>
          <w:shd w:val="clear" w:color="auto" w:fill="CCEEFF"/>
        </w:rPr>
        <w:t>39</w:t>
      </w:r>
    </w:p>
    <w:p>
      <w:pPr>
        <w:spacing w:after="0" w:line="200" w:lineRule="exact"/>
        <w:rPr>
          <w:sz w:val="20"/>
          <w:szCs w:val="20"/>
          <w:color w:val="auto"/>
        </w:rPr>
      </w:pPr>
    </w:p>
    <w:p>
      <w:pPr>
        <w:spacing w:after="0" w:line="24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w:t>
      </w:r>
    </w:p>
    <w:p>
      <w:pPr>
        <w:spacing w:after="0" w:line="11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shd w:val="clear" w:color="auto" w:fill="CCEEFF"/>
        </w:rPr>
        <w:t>$</w:t>
      </w:r>
      <w:r>
        <w:rPr>
          <w:sz w:val="20"/>
          <w:szCs w:val="20"/>
          <w:color w:val="auto"/>
        </w:rPr>
        <w:tab/>
      </w:r>
      <w:r>
        <w:rPr>
          <w:rFonts w:ascii="Times New Roman" w:cs="Times New Roman" w:eastAsia="Times New Roman" w:hAnsi="Times New Roman"/>
          <w:sz w:val="18"/>
          <w:szCs w:val="18"/>
          <w:color w:val="auto"/>
          <w:shd w:val="clear" w:color="auto" w:fill="CCEE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1449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440" w:space="720"/>
            <w:col w:w="2260"/>
          </w:cols>
          <w:pgMar w:left="240" w:top="121" w:right="239" w:bottom="1440" w:gutter="0" w:footer="0" w:header="0"/>
        </w:sectPr>
      </w:pPr>
    </w:p>
    <w:p>
      <w:pPr>
        <w:ind w:left="260" w:right="140" w:hanging="252"/>
        <w:spacing w:after="0" w:line="239" w:lineRule="auto"/>
        <w:tabs>
          <w:tab w:leader="none" w:pos="19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Operating lease expense is included within cost of processing and services, cost of product and selling, general &amp; administrative expense, dependent upon the nature and use of the ROU asset, in the Company’s consolidated statements of income. Operating lease cost includes approximately $13 million of variable lease costs.</w:t>
      </w:r>
    </w:p>
    <w:p>
      <w:pPr>
        <w:spacing w:after="0" w:line="2" w:lineRule="exact"/>
        <w:rPr>
          <w:rFonts w:ascii="Times New Roman" w:cs="Times New Roman" w:eastAsia="Times New Roman" w:hAnsi="Times New Roman"/>
          <w:sz w:val="24"/>
          <w:szCs w:val="24"/>
          <w:color w:val="auto"/>
          <w:vertAlign w:val="superscript"/>
        </w:rPr>
      </w:pPr>
    </w:p>
    <w:p>
      <w:pPr>
        <w:jc w:val="right"/>
        <w:ind w:left="260" w:right="200" w:hanging="252"/>
        <w:spacing w:after="0" w:line="219" w:lineRule="auto"/>
        <w:tabs>
          <w:tab w:leader="none" w:pos="19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Finance lease expense is recorded as depreciation and amortization expense within cost of processing and services, cost of product and selling, general &amp; administrative expense, dependent upon the nature and use of the ROU asset, and interest expense in the Company’s consolidated statements of income.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25"/>
        </w:trPr>
        <w:tc>
          <w:tcPr>
            <w:tcW w:w="9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9"/>
                <w:szCs w:val="19"/>
                <w:color w:val="auto"/>
              </w:rPr>
            </w:pPr>
          </w:p>
        </w:tc>
        <w:tc>
          <w:tcPr>
            <w:tcW w:w="19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4"/>
        </w:trPr>
        <w:tc>
          <w:tcPr>
            <w:tcW w:w="9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9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0" w:type="dxa"/>
            <w:vAlign w:val="bottom"/>
          </w:tcPr>
          <w:p>
            <w:pPr>
              <w:spacing w:after="0"/>
              <w:rPr>
                <w:sz w:val="21"/>
                <w:szCs w:val="21"/>
                <w:color w:val="auto"/>
              </w:rPr>
            </w:pPr>
          </w:p>
        </w:tc>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351"/>
        </w:trPr>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15"/>
        </w:trPr>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60" w:type="dxa"/>
            <w:vAlign w:val="bottom"/>
          </w:tcPr>
          <w:p>
            <w:pPr>
              <w:spacing w:after="0"/>
              <w:rPr>
                <w:sz w:val="10"/>
                <w:szCs w:val="10"/>
                <w:color w:val="auto"/>
              </w:rPr>
            </w:pPr>
          </w:p>
        </w:tc>
      </w:tr>
      <w:tr>
        <w:trPr>
          <w:trHeight w:val="250"/>
        </w:trPr>
        <w:tc>
          <w:tcPr>
            <w:tcW w:w="9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1"/>
                <w:szCs w:val="21"/>
                <w:color w:val="auto"/>
              </w:rPr>
            </w:pPr>
          </w:p>
        </w:tc>
        <w:tc>
          <w:tcPr>
            <w:tcW w:w="1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 years</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9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0" w:type="dxa"/>
            <w:vAlign w:val="bottom"/>
          </w:tcPr>
          <w:p>
            <w:pPr>
              <w:spacing w:after="0"/>
              <w:rPr>
                <w:sz w:val="21"/>
                <w:szCs w:val="21"/>
                <w:color w:val="auto"/>
              </w:rPr>
            </w:pPr>
          </w:p>
        </w:tc>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 under ASC 842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on leases with initial non-cancellable lease terms in excess of one year were due as follows at March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331"/>
        </w:trPr>
        <w:tc>
          <w:tcPr>
            <w:tcW w:w="40" w:type="dxa"/>
            <w:vAlign w:val="bottom"/>
          </w:tcPr>
          <w:p>
            <w:pPr>
              <w:spacing w:after="0"/>
              <w:rPr>
                <w:sz w:val="24"/>
                <w:szCs w:val="24"/>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Operating Leases </w:t>
            </w:r>
            <w:r>
              <w:rPr>
                <w:rFonts w:ascii="Times New Roman" w:cs="Times New Roman" w:eastAsia="Times New Roman" w:hAnsi="Times New Roman"/>
                <w:sz w:val="21"/>
                <w:szCs w:val="21"/>
                <w:b w:val="1"/>
                <w:bCs w:val="1"/>
                <w:color w:val="auto"/>
                <w:vertAlign w:val="superscript"/>
              </w:rPr>
              <w:t>(1)</w:t>
            </w:r>
          </w:p>
        </w:tc>
        <w:tc>
          <w:tcPr>
            <w:tcW w:w="360" w:type="dxa"/>
            <w:vAlign w:val="bottom"/>
          </w:tcPr>
          <w:p>
            <w:pPr>
              <w:spacing w:after="0"/>
              <w:rPr>
                <w:sz w:val="24"/>
                <w:szCs w:val="24"/>
                <w:color w:val="auto"/>
              </w:rPr>
            </w:pPr>
          </w:p>
        </w:tc>
        <w:tc>
          <w:tcPr>
            <w:tcW w:w="192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115"/>
        </w:trPr>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260" w:right="60" w:hanging="252"/>
        <w:spacing w:after="0" w:line="239" w:lineRule="auto"/>
        <w:tabs>
          <w:tab w:leader="none" w:pos="195"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Operating lease payments include $32 million related to options to extend lease terms that are reasonably certain of being exercised and exclude $8 million of legally binding minimum lease payments for leases signed but not yet commenced. Operating leases that have been signed but not yet commenced are for equipment and will commence in 2019 with lease terms of 3 to 7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 under ASC 840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on operating leases with initial non-cancellable lease terms in excess of one year were due as follows at December 31,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64"/>
        </w:trPr>
        <w:tc>
          <w:tcPr>
            <w:tcW w:w="40" w:type="dxa"/>
            <w:vAlign w:val="bottom"/>
          </w:tcPr>
          <w:p>
            <w:pPr>
              <w:spacing w:after="0"/>
              <w:rPr>
                <w:sz w:val="22"/>
                <w:szCs w:val="22"/>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0" w:type="dxa"/>
            <w:vAlign w:val="bottom"/>
          </w:tcPr>
          <w:p>
            <w:pPr>
              <w:spacing w:after="0"/>
              <w:rPr>
                <w:sz w:val="21"/>
                <w:szCs w:val="21"/>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all operating leases was $118 million and $126 million during the year ended December 31, 2018 and 2017,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shareholders’ equity during the three months ended March 31, 2019 and 2018.</w:t>
      </w:r>
    </w:p>
    <w:p>
      <w:pPr>
        <w:spacing w:after="0" w:line="340"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8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2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gridSpan w:val="3"/>
            <w:vMerge w:val="continue"/>
          </w:tcPr>
          <w:p>
            <w:pPr>
              <w:spacing w:after="0"/>
              <w:rPr>
                <w:sz w:val="13"/>
                <w:szCs w:val="13"/>
                <w:color w:val="auto"/>
              </w:rPr>
            </w:pPr>
          </w:p>
        </w:tc>
        <w:tc>
          <w:tcPr>
            <w:tcW w:w="84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70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82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2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3"/>
                <w:szCs w:val="13"/>
                <w:color w:val="auto"/>
              </w:rPr>
            </w:pPr>
          </w:p>
        </w:tc>
        <w:tc>
          <w:tcPr>
            <w:tcW w:w="7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70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5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791</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2,293</w:t>
            </w:r>
          </w:p>
        </w:tc>
        <w:tc>
          <w:tcPr>
            <w:tcW w:w="0" w:type="dxa"/>
            <w:vAlign w:val="bottom"/>
          </w:tcPr>
          <w:p>
            <w:pPr>
              <w:spacing w:after="0"/>
              <w:rPr>
                <w:sz w:val="1"/>
                <w:szCs w:val="1"/>
                <w:color w:val="auto"/>
              </w:rPr>
            </w:pPr>
          </w:p>
        </w:tc>
      </w:tr>
      <w:tr>
        <w:trPr>
          <w:trHeight w:val="22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40" w:type="dxa"/>
            <w:vAlign w:val="bottom"/>
          </w:tcPr>
          <w:p>
            <w:pPr>
              <w:spacing w:after="0"/>
              <w:rPr>
                <w:sz w:val="19"/>
                <w:szCs w:val="19"/>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51"/>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2019</w:t>
            </w: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791</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6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446"/>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60"/>
        </w:trPr>
        <w:tc>
          <w:tcPr>
            <w:tcW w:w="3600" w:type="dxa"/>
            <w:vAlign w:val="bottom"/>
            <w:gridSpan w:val="2"/>
            <w:vMerge w:val="continue"/>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679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128905</wp:posOffset>
            </wp:positionV>
            <wp:extent cx="711771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100"/>
            <w:col w:w="5800"/>
          </w:cols>
          <w:pgMar w:left="240" w:top="121" w:right="239" w:bottom="1440" w:gutter="0" w:footer="0" w:header="0"/>
          <w:type w:val="continuous"/>
        </w:sectPr>
      </w:pP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Balance at December 31, 2017</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Cumulative-effect adjustment of ASU 2014-09 adoption</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Cumulative-effect adjustment of ASU 2017-12 adoption</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Cumulative-effect adjustment of ASU 2018-02 adoption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Balance at March 31, 2018</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791</w:t>
      </w:r>
      <w:r>
        <w:rPr>
          <w:sz w:val="20"/>
          <w:szCs w:val="20"/>
          <w:color w:val="auto"/>
        </w:rPr>
        <w:tab/>
      </w:r>
      <w:r>
        <w:rPr>
          <w:rFonts w:ascii="Times New Roman" w:cs="Times New Roman" w:eastAsia="Times New Roman" w:hAnsi="Times New Roman"/>
          <w:sz w:val="14"/>
          <w:szCs w:val="14"/>
          <w:color w:val="auto"/>
        </w:rPr>
        <w:t>376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10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563880</wp:posOffset>
            </wp:positionV>
            <wp:extent cx="1063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791</w:t>
      </w:r>
      <w:r>
        <w:rPr>
          <w:sz w:val="20"/>
          <w:szCs w:val="20"/>
          <w:color w:val="auto"/>
        </w:rPr>
        <w:tab/>
      </w:r>
      <w:r>
        <w:rPr>
          <w:rFonts w:ascii="Times New Roman" w:cs="Times New Roman" w:eastAsia="Times New Roman" w:hAnsi="Times New Roman"/>
          <w:sz w:val="14"/>
          <w:szCs w:val="14"/>
          <w:color w:val="auto"/>
        </w:rPr>
        <w:t>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49530</wp:posOffset>
            </wp:positionV>
            <wp:extent cx="1063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66675</wp:posOffset>
            </wp:positionV>
            <wp:extent cx="10636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1,031</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10,240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(8,494)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2,731</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423</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(398)</w:t>
            </w: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208</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51"/>
        </w:trPr>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13"/>
        </w:trPr>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1,005</w:t>
            </w:r>
          </w:p>
        </w:tc>
        <w:tc>
          <w:tcPr>
            <w:tcW w:w="6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10,871</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(8,857)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2,971</w:t>
            </w:r>
          </w:p>
        </w:tc>
      </w:tr>
      <w:tr>
        <w:trPr>
          <w:trHeight w:val="51"/>
        </w:trPr>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-1405890</wp:posOffset>
            </wp:positionV>
            <wp:extent cx="711771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-1062990</wp:posOffset>
            </wp:positionV>
            <wp:extent cx="71177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-719455</wp:posOffset>
            </wp:positionV>
            <wp:extent cx="711771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-376555</wp:posOffset>
            </wp:positionV>
            <wp:extent cx="71177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580" w:space="720"/>
            <w:col w:w="1160" w:space="160"/>
            <w:col w:w="5800"/>
          </w:cols>
          <w:pgMar w:left="240" w:top="121"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Cumulative-effect adjustment of ASU 2017-12 adoption from 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Cumulative-effect adjustment of ASU 2018-02 adoption to retained earnings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amounts recorded in accumulated other comprehensive loss at March 31, 2019, the Company estimates that it will recognize approximately $6 million in interest expense during the next twelve months related to settled interest rate hedge contracts.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Derivatives are recorded in the consolidated balance sheets as either an asset or liability measured at fair value. For a derivative designated as a cash flow hedge, changes in the fair value of the derivative are recorded as a component of accumulated other comprehensive loss and recognized in the consolidated statements of income when the hedged item affects earnings, reported within the same line as the hedged item. The Company’s policy is to enter into derivatives with creditworthy institutions and not to enter into such derivatives for speculative purposes.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entered into foreign currency forward exchange contracts, which have been designated as cash flow hedges, to hedge foreign currency exposure to the Indian Rupee. As of March 31, 2019, the notional amount of these derivatives was $214 million, and the fair value totaling $4 million is reported in prepaid expenses and other current assets in the consolidated balance sheet. As of December 31, 2018, the notional amount of these derivatives was $202 million, and the fair value was nominal. Based on the amounts recorded in accumulated other comprehensive loss at March 31, 2019, the Company estimates that it will recognize losses of approximately $2 million in cost of processing and services during the next twelve months as foreign currency forward exchange contracts settle.</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2019, the Company entered into Treasury Locks, designated as cash flow hedges, in the aggregate notional amount of $5 billion to manage exposure to fluctuations in benchmark interest rates in anticipation of the possible issuance of fixed rate debt in connection with the refinancing of certain indebtedness of First Data and its subsidiaries (see Note 13). The fair value of the Treasury Locks, which totaled $35 million at March 31, 2019 was recorded primarily within accounts payable and accrued expenses in the consolidated balance sheet with a corresponding amount recorded in accumulated other comprehensive loss, net of income taxes.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paid</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0" w:lineRule="exact"/>
        <w:rPr>
          <w:sz w:val="20"/>
          <w:szCs w:val="20"/>
          <w:color w:val="auto"/>
        </w:rPr>
      </w:pPr>
    </w:p>
    <w:p>
      <w:pPr>
        <w:ind w:left="68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2018</w:t>
      </w:r>
    </w:p>
    <w:p>
      <w:pPr>
        <w:spacing w:after="0" w:line="84" w:lineRule="exact"/>
        <w:rPr>
          <w:sz w:val="20"/>
          <w:szCs w:val="20"/>
          <w:color w:val="auto"/>
        </w:rPr>
      </w:pPr>
    </w:p>
    <w:p>
      <w:pPr>
        <w:spacing w:after="0"/>
        <w:tabs>
          <w:tab w:leader="none" w:pos="1380" w:val="left"/>
          <w:tab w:leader="none" w:pos="1800" w:val="left"/>
          <w:tab w:leader="none" w:pos="3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w:t>
        <w:tab/>
        <w:t>$</w:t>
      </w:r>
      <w:r>
        <w:rPr>
          <w:sz w:val="20"/>
          <w:szCs w:val="20"/>
          <w:color w:val="auto"/>
        </w:rPr>
        <w:tab/>
      </w:r>
      <w:r>
        <w:rPr>
          <w:rFonts w:ascii="Times New Roman" w:cs="Times New Roman" w:eastAsia="Times New Roman" w:hAnsi="Times New Roman"/>
          <w:sz w:val="18"/>
          <w:szCs w:val="18"/>
          <w:color w:val="auto"/>
        </w:rPr>
        <w:t>12</w:t>
      </w:r>
    </w:p>
    <w:p>
      <w:pPr>
        <w:spacing w:after="0" w:line="63" w:lineRule="exact"/>
        <w:rPr>
          <w:sz w:val="20"/>
          <w:szCs w:val="20"/>
          <w:color w:val="auto"/>
        </w:rPr>
      </w:pPr>
    </w:p>
    <w:p>
      <w:pPr>
        <w:jc w:val="both"/>
        <w:ind w:left="1500"/>
        <w:spacing w:after="0"/>
        <w:tabs>
          <w:tab w:leader="none" w:pos="328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both"/>
        <w:ind w:left="1400"/>
        <w:spacing w:after="0"/>
        <w:tabs>
          <w:tab w:leader="none" w:pos="3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w:t>
      </w:r>
    </w:p>
    <w:p>
      <w:pPr>
        <w:spacing w:after="0" w:line="576" w:lineRule="exact"/>
        <w:rPr>
          <w:sz w:val="20"/>
          <w:szCs w:val="20"/>
          <w:color w:val="auto"/>
        </w:rPr>
      </w:pPr>
    </w:p>
    <w:p>
      <w:pPr>
        <w:sectPr>
          <w:pgSz w:w="11900" w:h="16838" w:orient="portrait"/>
          <w:cols w:equalWidth="0" w:num="2">
            <w:col w:w="7200" w:space="720"/>
            <w:col w:w="3500"/>
          </w:cols>
          <w:pgMar w:left="240" w:top="121" w:right="239" w:bottom="1440" w:gutter="0" w:footer="0" w:header="0"/>
        </w:sect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operations are comprised of the Payments segment and the Financial segment. 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The businesses in this segment also provide card and print personalization services, investment account processing services for separately managed accounts, and fraud and risk management products and services. 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intercompany eliminations, amortization of acquisition-related intangible assets, unallocated corporate expenses and other activities that are not considered when management evaluates segment performance, such as gains on sales of businesses and associated transition services.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34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in the Payments segment was $4.0 billion as of both March 31, 2019 and December 31, 2018. Goodwill in the Financial segment was $1.7 billion as of both March 31, 2019 and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possibility that Fiserv and First Data Corporation may be unable to achieve expected synergies and operating efficiencies from the proposed merger within the expected time frames or at all or to successfully integrate the operations of First Data Corporation into those of Fiserv; such integration may be more difficult, time-consuming or costly than expected; revenues following the transaction may be lower than expected, including for possible reasons such as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the retention of certain key employees; the occurrence of any event, change or other circumstances that could give rise to the termination of the merger agreement; the outcome of any legal proceedings that may be instituted against Fiserv, First Data Corporation and others related to the merger agreement; unforeseen risks relating to liabilities of Fiserv or First Data Corporation may exist; the conditions to the completion of the transaction may not be satisfied, or the regulatory approvals required for the transaction may not be obtained on the terms expected or on the anticipated schedule; the amount of the costs, fees, expenses and charges related to the transaction, including the costs, fees, expenses and charges related to any financing arrangements entered into in connection with the transaction; the parties’ ability to meet expectations regarding the timing, completion and accounting and tax treatments of the transaction. Fiserv and First Data Corporation are subject to, among other matters, changes in customer demand for their products and services; pricing and other actions by competitors; general changes in local, regional, national and international economic conditions and the impact they may have on Fiserv and First Data Corporation and their customers and Fiserv’s and First Data Corporation’s assessment of that impact; rapid technological developments and changes, and the ability of Fiserv’s and First Data Corporation’s technology to keep pace with a rapidly evolving marketplace; the impact of a security breach or operational failure on Fiserv’s and First Data Corporation’s business; the effect of proposed and enacted legislative and regulatory actions in the United States and internationally affecting the financial services industry as a whole and/or Fiserv and First Data Corporation and their subsidiaries individually or collectively; regulatory supervision and oversight, and Fiserv’s and First Data Corporation’s ability to comply with government regulations; the impact of Fiserv’s and First Data Corporation’s strategic initiatives; Fiserv’s and First Data Corporation’s ability to continue to introduce competitive new products and services on a timely, cost-effective basis; the ability to contain costs and expenses; the protection and validity of intellectual property rights; the outcome of pending and future litigation and governmental proceedings; acts of war and terrorism; and other factors identified in our Annual Report on Form 10-K for the year ended December 31, 2018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5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74" w:lineRule="exact"/>
        <w:rPr>
          <w:sz w:val="20"/>
          <w:szCs w:val="20"/>
          <w:color w:val="auto"/>
        </w:rPr>
      </w:pPr>
    </w:p>
    <w:p>
      <w:pPr>
        <w:ind w:left="660" w:right="200" w:hanging="328"/>
        <w:spacing w:after="0" w:line="26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services and products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73" w:lineRule="exact"/>
        <w:rPr>
          <w:rFonts w:ascii="Times New Roman" w:cs="Times New Roman" w:eastAsia="Times New Roman" w:hAnsi="Times New Roman"/>
          <w:sz w:val="18"/>
          <w:szCs w:val="18"/>
          <w:color w:val="auto"/>
        </w:rPr>
      </w:pPr>
    </w:p>
    <w:p>
      <w:pPr>
        <w:jc w:val="both"/>
        <w:ind w:left="660" w:right="160" w:hanging="328"/>
        <w:spacing w:after="0" w:line="26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2018 in the accounting policies that we believe are important to our financial condition and results of operations and that require judgment and estimates on the part of management in their application.</w:t>
      </w:r>
    </w:p>
    <w:p>
      <w:pPr>
        <w:spacing w:after="0" w:line="173"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unaudited consolidated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by comparing the results for the three months ended March 31, 2019 to the comparable period in 2018.</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as of March 31,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a leading global provider of financial services technology. We provide account processing systems, electronic payments processing products and services, internet and mobile banking systems, and related services. We serve over 12,000 clients worldwide, including banks, credit unions, investment management firms, leasing and finance companies, billers, retailers, and merchants. The majority of our revenue is generated from recurring account- and transaction-based fees under contracts that generally have terms of three to five years and high renewal rates. Most of the services we provide are necessary for our clients to operate their businesses and are, therefore, non-discretionary in nature.</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are principally located in the United States and are comprised of the Payments and Industry Products (“Payments”) segment and the Financial Institution Services (“Financial”) segment. 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Our businesses in this segment also provide card and print personalization services, investment account processing services for separately managed accounts, and fraud and risk management products and services. 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intercompany eliminations, amortization of acquisition-related intangible assets, unallocated corporate expenses and other activities that are not considered when management evaluates segment performance, such as gains on sales of businesses and associated transition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12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On October 31, 2018, we acquired the debit card processing, ATM Managed Services, and Money 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surcharge-free network of Elan Financial Services, a unit of U.S. Bancorp, for approximately $660 million, including post-closing working capital adjustments, estimated contingent consideration related to earn-out provisions and future payments under a transition services agreement in excess of estimated fair value. This acquisition, included within the Payments segment, deepens our presence in debit card processing, broadens our client reach and scale, and provides new solutions to enhance the value proposition for our existing debit solution clients.</w:t>
      </w:r>
    </w:p>
    <w:p>
      <w:pPr>
        <w:spacing w:after="0" w:line="14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16, 2019, we announced that we had entered into a definitive merger agreement to acquire First Data Corporation (“First Data”) in an all-stock transaction for an equity value of approximately $22 billion as of the announcement. The transaction is expected to close during the second half of 2019, subject to customary closing conditions and regulatory approvals. First Data is a global leader in commerce-enabling technology and solutions for merchants, financial institutions, and card issuers.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2018, we sold a 55% interest of our Lending Solutions business, which was reported within the Financial segment, retaining 45% ownership interests in two joint ventures (the “Lending Joint Ventures”). In conjunction with this transaction, we entered into transition services agreements to provide, at fair value, various administration, business process outsourcing, technical and data center related services for defined periods to the Lending Joint Ventures. We received gross sale proceeds of $419 million from the transactions.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Priorities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continue to implement a series of strategic initiatives to move money and information in a way that moves the world. These strategic initiatives include active portfolio management of our businesses, enhancing the overall value of our existing client relationships, improving operational effectiveness, being disciplined in our allocation of capital, and differentiating our products and services through innovation. Our key enterprise priorities for 2019 are to: (i) continue to build high-quality revenue while meeting our earnings goals; (ii) enhance client relationships with an emphasis on digital and payment solutions;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(iii) deliver innovation and integration which enables differentiated value for our clients. We also expect to devote significant resources to completing the First Data merger and, subject to closing, to integrating First Data into our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 for products and services offered by financial institutions continues to evolve rapidly. The traditional financial industry and other market entrants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regulatory and cybersecurity landscape has continued to create a challenging operating environment for financial institutions. For example, legislation such as the Dodd-Frank Wall Street Reform and Consumer Protection Act has generated, and may continue to generate, new regulations impacting the financial industry.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1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Our revenue is diversified, and we have clients that span the entire range of financial institutions in terms of asset size and business model, with our 50 largest financial institution clients representing less than 25% of our annual revenue.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2018,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2018.</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Borders>
              <w:bottom w:val="single" w:sz="8" w:color="auto"/>
            </w:tcBorders>
            <w:gridSpan w:val="3"/>
          </w:tcPr>
          <w:p>
            <w:pPr>
              <w:jc w:val="center"/>
              <w:ind w:left="712"/>
              <w:spacing w:after="0"/>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23"/>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9"/>
                <w:szCs w:val="19"/>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Debt financing activities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5"/>
        </w:trPr>
        <w:tc>
          <w:tcPr>
            <w:tcW w:w="446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7"/>
                <w:szCs w:val="17"/>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1"/>
        </w:trPr>
        <w:tc>
          <w:tcPr>
            <w:tcW w:w="4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right="340" w:hanging="252"/>
        <w:spacing w:after="0" w:line="229" w:lineRule="auto"/>
        <w:tabs>
          <w:tab w:leader="none" w:pos="195"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5"/>
        </w:trPr>
        <w:tc>
          <w:tcPr>
            <w:tcW w:w="3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2019</w:t>
            </w:r>
          </w:p>
        </w:tc>
        <w:tc>
          <w:tcPr>
            <w:tcW w:w="30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914</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598</w:t>
            </w:r>
          </w:p>
        </w:tc>
        <w:tc>
          <w:tcPr>
            <w:tcW w:w="1780" w:type="dxa"/>
            <w:vAlign w:val="bottom"/>
            <w:gridSpan w:val="3"/>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1,502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842</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616</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1,440</w:t>
            </w: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72</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1780" w:type="dxa"/>
            <w:vAlign w:val="bottom"/>
            <w:gridSpan w:val="3"/>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3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2019</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287</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199</w:t>
            </w:r>
          </w:p>
        </w:tc>
        <w:tc>
          <w:tcPr>
            <w:tcW w:w="1780" w:type="dxa"/>
            <w:vAlign w:val="bottom"/>
            <w:tcBorders>
              <w:bottom w:val="single" w:sz="8" w:color="CCEEFF"/>
            </w:tcBorders>
            <w:gridSpan w:val="3"/>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608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tcBorders>
              <w:bottom w:val="single" w:sz="8" w:color="CCEEFF"/>
            </w:tcBorders>
            <w:gridSpan w:val="3"/>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(235)</w:t>
            </w:r>
          </w:p>
        </w:tc>
      </w:tr>
      <w:tr>
        <w:trPr>
          <w:trHeight w:val="243"/>
        </w:trPr>
        <w:tc>
          <w:tcPr>
            <w:tcW w:w="40" w:type="dxa"/>
            <w:vAlign w:val="bottom"/>
          </w:tcPr>
          <w:p>
            <w:pPr>
              <w:spacing w:after="0"/>
              <w:rPr>
                <w:sz w:val="21"/>
                <w:szCs w:val="21"/>
                <w:color w:val="auto"/>
              </w:rPr>
            </w:pPr>
          </w:p>
        </w:tc>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2019</w:t>
            </w:r>
          </w:p>
        </w:tc>
        <w:tc>
          <w:tcPr>
            <w:tcW w:w="3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24.8 %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42.2 %</w:t>
            </w:r>
          </w:p>
        </w:tc>
      </w:tr>
      <w:tr>
        <w:trPr>
          <w:trHeight w:val="298"/>
        </w:trPr>
        <w:tc>
          <w:tcPr>
            <w:tcW w:w="40" w:type="dxa"/>
            <w:vAlign w:val="bottom"/>
          </w:tcPr>
          <w:p>
            <w:pPr>
              <w:spacing w:after="0"/>
              <w:rPr>
                <w:sz w:val="24"/>
                <w:szCs w:val="24"/>
                <w:color w:val="auto"/>
              </w:rPr>
            </w:pPr>
          </w:p>
        </w:tc>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bps</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50</w:t>
            </w:r>
          </w:p>
        </w:tc>
        <w:tc>
          <w:tcPr>
            <w:tcW w:w="1780" w:type="dxa"/>
            <w:vAlign w:val="bottom"/>
            <w:gridSpan w:val="3"/>
          </w:tcPr>
          <w:p>
            <w:pPr>
              <w:jc w:val="right"/>
              <w:ind w:right="1419"/>
              <w:spacing w:after="0"/>
              <w:rPr>
                <w:sz w:val="20"/>
                <w:szCs w:val="20"/>
                <w:color w:val="auto"/>
              </w:rPr>
            </w:pPr>
            <w:r>
              <w:rPr>
                <w:rFonts w:ascii="Times New Roman" w:cs="Times New Roman" w:eastAsia="Times New Roman" w:hAnsi="Times New Roman"/>
                <w:sz w:val="18"/>
                <w:szCs w:val="18"/>
                <w:color w:val="auto"/>
              </w:rPr>
              <w:t>bps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(1,740)  bps</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ind w:left="340" w:hanging="332"/>
        <w:spacing w:after="0" w:line="203"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basis point growth or decline in operating margin.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increased $62 million, or 4%, in the first quarter of 2019 compared to the first quarter of 2018.</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in our Payments segment increased $72 million, or 9%, during the first quarter of 2019 compared to 2018. Revenue from the acquired Elan business contributed 5.5% to Payments segment revenue growth in 2019. The remaining revenue growth in our Payments segment in the first quarter of 2019 was driven by growth in our recurring revenue businesses, with our electronic payments, card services and biller solutions businesses each contributing approximately 1% to Payments segment revenue growth.</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in our Financial segment decreased $18 million, or 3%, during the first quarter of 2019 compared to 2018. The Financial segment revenue decline was attributable to the disposition of a 55% interest of our Lending Solutions business in late March 2018, which reduced Financial segment revenue growth by 9% in the first quarter of 2019. Partially offsetting this decline, our bank processing business contributed 4% revenue growth to the Financial segment, attributed equally to an increase in account processing and software license revenue.</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$8 million during the first quarter of 2019 compared to 2018 primarily due to transition services revenue from the Lending Joint Ventures.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expenses increased $297 million, or 36%, and total expenses as a percentage of total revenue increased to 75.2% in the first quarter of 2019 compared to 57.8% in the first quarter of 2018. Total expenses and total expenses as a percentage of total revenue were reduced by gains of $10 million and $232 million in the first quarter of 2019 and 2018, respectively, from the sale of a 55% interest of our Lending Solutions business.</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increased to 48.3% in the first quarter of 2019 compared to 45.9% in the first quarter of 2018. Cost of processing and services as a percentage of processing and services revenue increased by 60 basis points from our Elan acquisition and 70 basis points as a result of expenses shifting from cost of product to cost of processing and services as financial institutions continue to move from in-house technology to outsourced solutions. The remaining increase was primarily driven by growth-focused investments.</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to 83.3% in the first quarter of 2019 compared to 94.6% in the first quarter of 2018. Cost of product as a percentage of product revenue in the first quarter of 2019 was favorably impacted by approximately 400 basis points as a result of expenses shifting from cost of product to cost of processing and services as financial institutions continue to move from in-house technology to outsourced solutions. The remaining reduction in cost of product as a percentage of product revenue in the first quarter of 2019 was attributable to product mix, including a reduction of approximately 450 basis points from an increase in higher-margin software license revenue.</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increased to 22.7% in the first quarter of 2019 compared to 21.2% in the first quarter of 2018. The increase in selling, general and administrative expenses as a percentage of total revenue in the first quarter of 2019 was primarily due to increased costs associated with the announced merger agreement to acquire First Data.</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gains on sale of businesses of $10 million and $232 million in the first quarter of 2019 and 2018, respectively, resulted from the sale of a 55% interest of our Lending Solutions business, including contingent consideration received in 2019.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operating income decreased $235 million, or 39%, in the first quarter of 2019 compared to 2018. Total operating margin decreased to 24.8% in the first quarter of 2019 compared to 42.2% in 2018.</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income in our Payments segment increased $16 million, or 6%, and operating margin decreased 80 basis points to 31.4% in the first quarter of 2019 compared to 2018. The reduction in the Payment segment operating margin was primarily attributable to additional investments to support client service and business growth. In addition, the Payments segment operating margin was reduced by 20 basis points from our Elan acquisition.</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income in our Financial segment decreased $3 million, or 1%, and operating margin increased 50 basis points to 33.3% in the first quarter of 2019 compared to 2018. The improvement in the Financial segment operating margin was primarily attributable to higher-margin software license revenue growth, which positively impacted Financial segment operating margin by approximately 70 basis points. Financial segment operating margin favorability was partially offset by growth-focused investments in our account processing businesses.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Corporate and Other reported an operating loss of $113 million in the first quarter of 2019 compared to operating income of $135 million in the first quarter of 2018. Corporate and Other was favorably impacted by gains of $10 million and $232 million in the first quarter of 2019 and 2018, respectively, from the sale of a 55% interest of our Lending Solutions business. In addition, Corporate and Other includes acquisition costs of $23 million in the first quarter of 2019 related to the announced merger agreement to acquire First Data.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expense increased $14 million, or 31% in the first quarter of 2019 compared to 2018, primarily attributable to the September 2018 issuance of $2.0 billion of fixed-rate senior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Activities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definitive merger agreement on January 16, 2019 to acquire First Data, we entered into a bridge facility commitment letter providing a 364-day senior unsecured bridge term loan facility in an aggregate principal amount of $17.0 billion for the purpose of refinancing certain indebtedness of First Data on the closing date of the acquisition. We recorded $59 million of expense in the first quarter of 2019 associated with such bridge term loan facility. See below under “First Data Acquisition Financing” for a description of our planned financing to fund the First Data acquisition.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p>
      <w:pPr>
        <w:spacing w:after="0" w:line="17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Non-operating income in the first quarter of 2019 includes $2 million of interest income and $1 million related to the fulfillment of our stand-ready obligations to perform over the term of the Lending Joint Ventures debt guarantees and the associated release from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tax provision as a percentage of income before loss from investments in unconsolidated affiliates was 11.9% and 24.9% in the first quarter of 2019 and 2018, respectively. The rate in the first quarter of 2019 includes discrete benefits due to a loss from subsidiary restructuring. The rate in the first quarter of 2018 included $78 million of income tax expense associated with the $232 million gain on the sale of a 55% interest of our Lending Solutions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Investments in Unconsolidated Affiliates</w:t>
      </w:r>
    </w:p>
    <w:p>
      <w:pPr>
        <w:spacing w:after="0" w:line="17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share of net loss from the Lending Joint Ventures is reported as loss from investments in unconsolidated affiliates and the related tax benefit is reported within the income tax provision in the consolidated statements of income. Loss from investments in unconsolidated affiliates, including acquired intangible asset amortization, was $2 million in the first quarter of 2019.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income per share-diluted was $0.56 and $1.00 in the first quarter of 2019 and 2018, respectively. Net income per share-diluted in the first quarter of 2019 included expenses of $0.16 per share related to the previously announced merger agreement to acquire First Data. Net income per share-diluted was favorably impacted in the first quarter of 2018 by a gain of $0.37 per share on the sale of a 55% interest of our Lending Solutions business. Amortization of acquisition-related intangible assets reduced net income per share-diluted by $0.09 and $0.07 per share in the first quarter of 2019 and 2018,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Our primary liquidity needs in the ordinary course of business are to: (i) fund normal operating expenses; (ii) meet the interest and principal requirements of our outstanding indebtedness; and (iii) fund capital expenditures and operating lease payments. We believe these needs will be satisfied using cash flow generated by our operations, along with our cash and cash equivalents of $452 million and available borrowings under our revolving credit facility of $940 million at March 31, 2019. See below under “First Data Acquisition Financing” for a description of our planned financing to fund the First Data acquisition. The following table summarizes our operating cash flow and capital expenditure amounts for the three months ended March 31, 2019 and 2018,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gridSpan w:val="3"/>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44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237"/>
        </w:trPr>
        <w:tc>
          <w:tcPr>
            <w:tcW w:w="5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n/m</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7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56"/>
        </w:trPr>
        <w:tc>
          <w:tcPr>
            <w:tcW w:w="55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net cash provided by operating activities, or operating cash flow, was $373 million in the first three months of 2019, up slightly from the $372 million in the first three months of 2018.</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share repurchases (after the closing of the First Data acquisition), and acquisitions, and to repay debt rather than to pay dividends. Our capital expenditures were approximately 7% and 5% of our total revenue in the first three months of 2019 and 2018,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We purchased $120 million and $398 million of our common stock during the first three months of 2019 and 2018, respectively. We deferred share repurchases as of January 16, 2019 until the close of the First Data acquisition, which is expected to occur during the second half of 2019, subject to customary closing conditions and regulatory approvals. As of March 31, 2019, we had approximately 24.3 million shares remaining under our current repurchase authorizations. Shares repurchased are generally held for issuance in connection with our equity plans.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On October 31, 2018, we acquired the debit card processing, ATM Managed Services, and Money 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surcharge-free network of Elan Financial Services, a unit of U.S. Bancorp, for approximately $660 million including post-closing working capital adjustments, estimated contingent consideration related to earn-out provisions and future payments under a transition services agreement in excess of fair value. We funded this acquisition by utilizing existing availability under our revolving credit facility.</w:t>
      </w:r>
    </w:p>
    <w:p>
      <w:pPr>
        <w:spacing w:after="0" w:line="1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16, 2019, we announced that we had entered into a definitive merger agreement to acquire First Data in an all-stock transaction for an equity value of approximately $22 billion as of the announcement. The transaction is expected to close during the second half of 2019, subject to customary closing conditions and regulatory approvals. First Data is a global leader in commerce-enabling technology and solutions for merchants, financial institutions, and card issuers.</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March 2018, we sold a 55% interest of our Lending Solutions business, retaining 45% ownership interests in two joint ventures. We received gross sale proceeds of $419 million from the transactions. In addition, in January 2018, we completed the sale of the retail voucher business acquired in our 2017 acquisition of Monitise for proceeds of £37 million ($50 million).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5"/>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4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1,129</w:t>
            </w:r>
          </w:p>
        </w:tc>
      </w:tr>
      <w:tr>
        <w:trPr>
          <w:trHeight w:val="243"/>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2.7% senior notes due 2020</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4.75% senior notes due 2021</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3.5% senior notes due 2022</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 senior notes due 2023</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3.85% senior notes due 2025</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 senior notes due 2028</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Unamortized discount and unamortized deferred financing costs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borrowings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0" w:type="dxa"/>
            <w:vAlign w:val="bottom"/>
          </w:tcPr>
          <w:p>
            <w:pPr>
              <w:spacing w:after="0"/>
              <w:rPr>
                <w:sz w:val="20"/>
                <w:szCs w:val="20"/>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debt (including current maturities)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5,959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March 31, 2019, our debt consisted primarily of $4.9 billion of fixed-rate senior notes and $1.0 billion of revolving credit facility borrowings. Interest on our senior notes is paid semi-annually. During the first three months of 2019, we were in compliance with all financial debt covenants.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maintain a $2.0 billion revolving credit agreement with a syndicate of banks. Outstanding borrowings under the revolving credit facility bear interest at a variable rate based on LIBOR or on a base rate, plus a specified margin based on our long-term debt rating in effect from time to time. The variable interest rate was 3.51% on the revolving credit facility borrowings at March 31, 2019. There are no significant commitment fees and no compensating balance requirements on the revolving credit facility, which matures in September 2023.</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February 6, 2019, we entered into an amendment to the amended and restated revolving credit facility to (i) amend the maximum leverage ratio covenant to permit us to elect to increase the permitted maximum leverage ratio from three and one-half times our consolidated net earnings before interest, taxes, depreciation, amortization, non-cash charges and expenses and certain other adjustments (“EBITDA”) to either four times or four and one-half times our EBITDA for a specified period following certain acquisitions and (ii) permit us to make drawings under the revolving credit facility on the closing date of our acquisition of First Data subject to only limited conditions. On February 15, 2019, we entered into a second amendment to our existing revolving credit agreement in order to increase the aggregate commitments available thereunder by $1.5 billion and to make certain additional amendments to facilitate the operation of the combined business following the acquisition of First Data. The increased commitments and additional amendments will become effective upon the satisfaction or waiver of conditions that are substantially similar to the conditions to funding under the term loan facility described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Data Acquisition Financing</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16, 2019, in connection with the definitive merger agreement to acquire First Data, we entered into a bridge facility commitment letter pursuant to which a group of financial institutions committed to provide a 364-day senior unsecured bridge term loan facility in an aggregate principal amount of $17.0 billion for the purpose of refinancing certain indebtedness of First Data and its subsidiaries on the closing date of the merger, making cash payments in lieu of fractional shares as part of the merger consideration, and paying fees and expenses related to the merger, the refinancing and the related transactions. There are no outstanding borrowings under the bridge term loan facility at March 31, 2019.</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15, 2019, we entered into a new term loan credit agreement with a syndicate of financial institutions pursuant to which such financial institutions have committed to provide us with a senior unsecured term loan facility in an aggregate principal amount of $5.0 billion, consisting of $1.5 billion in commitments to provide loans with a three-year maturity and $3.5 billion in commitments to provide loans with a five-year maturity. The aggregate principal amount of the commitments under the term loan credit agreement have replaced a corresponding amount of the commitments in respect of the bridge facility in accordance with the terms of the bridge facility commitment letter. As a result, there are now $12.0 billion in bridge facility commitments remaining. We expect to replace these remaining commitments with permanent financing in the form of the issuance of debt securities prior to the closing of the acquisition of First Data.</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availability of loans under the term loan facility is subject to the satisfaction or waiver of certain conditions that are substantially consistent with the conditions to the funding of the bridge facility, including (i) the closing of the acquisition substantially concurrently with the funding of such loans, (ii) the absence of a material adverse effect with respect to First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January 16, 2019, (iii) the truth and accuracy in all material respects of certain representations and warranties, (iv) the receipt of certain certificates, and</w:t>
      </w:r>
    </w:p>
    <w:p>
      <w:pPr>
        <w:spacing w:after="0" w:line="27" w:lineRule="exact"/>
        <w:rPr>
          <w:sz w:val="20"/>
          <w:szCs w:val="20"/>
          <w:color w:val="auto"/>
        </w:rPr>
      </w:pPr>
    </w:p>
    <w:p>
      <w:pPr>
        <w:ind w:firstLine="8"/>
        <w:spacing w:after="0" w:line="25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certain financial statements. Loans drawn under the term loan facility will be subject to amortization at an annual rate of 5% for the first two years and 7.5% thereafter (with loans outstanding under the five-year tranche subject to amortization at an annual rate of 10% after the fourth anniversary of the commencement of amortization), with accrued and unpaid amortization amounts required to be paid on the last business day in December of each year. Borrowings under the term loan facility will bear interest at variable rates based on LIBOR or on a base rate plus, in each case, a specified margin based on our long-term debt rating in effect from time to time. We are also required to pay a ticking fee that will accrue on the aggregate undrawn commitments under the term loan facility at a per annum rate based upon our long-term debt rating in effect from time to time. The term loan credit agreement contains affirmative, negative and financial covenants, and events of default, that are substantially the same as those set forth in our existing revolving credit facility, as amended as described above.</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2019, we entered into treasury lock agreements (“Treasury Locks”), designated as cash flow hedges, in the aggregate notional amount of $5 billion to manage exposure to fluctuations in benchmark interest rates in anticipation of the possible issuance of fixed rate debt in connection with the refinancing of certain indebtedness of First Data and its subsidiaries. The fair value of the Treasury Locks, which totaled $35 million at March 31, 2019 was recorded primarily within accounts payable and accrued expenses in the consolidated balance sheet with a corresponding amount recorded in accumulated other comprehensive loss, net of income taxes. A 10 basis point increase or decrease in interest rates would impact the fair value of the Treasury Locks by approximately $50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Other than the Treasury Locks described above, which description is incorporated by reference herein, there have been no other material changes to the quantitative and qualitative disclosures about market risk as required by this item which are incorporated by reference to Item 7A of our Annual Report on Form 10-K for the year ended December 31,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2019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the company or any “affiliated purchaser” (as defined in Rule 10b-18(a)(3) under the Exchange Act) of shares of our common stock during the quarter ended March 31, 2019: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1-31, 2019</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1,640,000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1,640,000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24,320,000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1-28, 2019</w:t>
            </w:r>
          </w:p>
        </w:tc>
        <w:tc>
          <w:tcPr>
            <w:tcW w:w="1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24,320,000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1-31, 2019</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24,320,000</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1,640,000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1,640,000</w:t>
            </w: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80" w:hanging="316"/>
        <w:spacing w:after="0" w:line="254"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 November 16, 2016 and August 8, 2018, our board of directors authorized the purchase of up to 30.0 million shares of our common stock. These authorizations do not expire. On January 16, 2019, we announced that we had entered into a definitive merger agreement to acquire First Data. We deferred share repurchases as of January 16, 2019 until the close of the First Data acquisition, as described above, which is expected to occur during the second half of 2019, subject to customary closing conditions and regulatory approvals.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40" w:type="dxa"/>
            <w:vAlign w:val="bottom"/>
            <w:gridSpan w:val="17"/>
          </w:tcPr>
          <w:p>
            <w:pPr>
              <w:ind w:left="18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49"/>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8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260" w:type="dxa"/>
            <w:vAlign w:val="bottom"/>
          </w:tcPr>
          <w:p>
            <w:pPr>
              <w:spacing w:after="0"/>
              <w:rPr>
                <w:sz w:val="15"/>
                <w:szCs w:val="15"/>
                <w:color w:val="auto"/>
              </w:rPr>
            </w:pPr>
          </w:p>
        </w:tc>
        <w:tc>
          <w:tcPr>
            <w:tcW w:w="1360" w:type="dxa"/>
            <w:vAlign w:val="bottom"/>
            <w:tcBorders>
              <w:bottom w:val="single" w:sz="8" w:color="auto"/>
            </w:tcBorders>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Exhibit Description</w:t>
            </w:r>
          </w:p>
        </w:tc>
        <w:tc>
          <w:tcPr>
            <w:tcW w:w="8100" w:type="dxa"/>
            <w:vAlign w:val="bottom"/>
            <w:gridSpan w:val="18"/>
          </w:tcPr>
          <w:p>
            <w:pPr>
              <w:spacing w:after="0"/>
              <w:rPr>
                <w:sz w:val="15"/>
                <w:szCs w:val="15"/>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Pr>
          <w:p>
            <w:pPr>
              <w:spacing w:after="0"/>
              <w:rPr>
                <w:sz w:val="24"/>
                <w:szCs w:val="24"/>
                <w:color w:val="auto"/>
              </w:rPr>
            </w:pPr>
          </w:p>
        </w:tc>
        <w:tc>
          <w:tcPr>
            <w:tcW w:w="9460" w:type="dxa"/>
            <w:vAlign w:val="bottom"/>
            <w:gridSpan w:val="20"/>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Agreement and Plan of Merger, dated as of January 16, 2019, among Fiserv, Inc., 300 Holdings, Inc. and First Data Corporation</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(incorporated by reference to Exhibit 2.1 to the Current Report on Form 8-K of Fiserv, Inc. filed January 18, 2019).</w:t>
              </w:r>
            </w:hyperlink>
          </w:p>
        </w:tc>
        <w:tc>
          <w:tcPr>
            <w:tcW w:w="900" w:type="dxa"/>
            <w:vAlign w:val="bottom"/>
            <w:tcBorders>
              <w:top w:val="single" w:sz="8" w:color="0000FF"/>
            </w:tcBorders>
            <w:gridSpan w:val="7"/>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tcPr>
          <w:p>
            <w:pPr>
              <w:spacing w:after="0"/>
              <w:rPr>
                <w:sz w:val="24"/>
                <w:szCs w:val="24"/>
                <w:color w:val="auto"/>
              </w:rPr>
            </w:pPr>
          </w:p>
        </w:tc>
        <w:tc>
          <w:tcPr>
            <w:tcW w:w="91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Amendment No. 1 to Third Amended and Restated Credit Agreement, dated as of February 6, 2019, among Fiserv, Inc. and the</w:t>
              </w:r>
            </w:hyperlink>
          </w:p>
        </w:tc>
        <w:tc>
          <w:tcPr>
            <w:tcW w:w="300" w:type="dxa"/>
            <w:vAlign w:val="bottom"/>
            <w:gridSpan w:val="5"/>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financial institutions party thereto (incorporated by reference to Exhibit 4.1 to the Current Report on Form 8-K of Fiserv, Inc. filed</w:t>
              </w:r>
            </w:hyperlink>
          </w:p>
        </w:tc>
        <w:tc>
          <w:tcPr>
            <w:tcW w:w="6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3">
              <w:r>
                <w:rPr>
                  <w:rFonts w:ascii="Times New Roman" w:cs="Times New Roman" w:eastAsia="Times New Roman" w:hAnsi="Times New Roman"/>
                  <w:sz w:val="18"/>
                  <w:szCs w:val="18"/>
                  <w:color w:val="0000FF"/>
                  <w:w w:val="98"/>
                </w:rPr>
                <w:t>February 7, 2019).</w:t>
              </w:r>
            </w:hyperlink>
          </w:p>
        </w:tc>
        <w:tc>
          <w:tcPr>
            <w:tcW w:w="8120" w:type="dxa"/>
            <w:vAlign w:val="bottom"/>
            <w:gridSpan w:val="19"/>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Pr>
          <w:p>
            <w:pPr>
              <w:spacing w:after="0"/>
              <w:rPr>
                <w:sz w:val="24"/>
                <w:szCs w:val="24"/>
                <w:color w:val="auto"/>
              </w:rPr>
            </w:pPr>
          </w:p>
        </w:tc>
        <w:tc>
          <w:tcPr>
            <w:tcW w:w="9460" w:type="dxa"/>
            <w:vAlign w:val="bottom"/>
            <w:gridSpan w:val="20"/>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Amendment No. 2 to Third Amended and Restated Credit Agreement, dated as of February 15, 2019, among Fiserv, Inc. and the</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financial institutions party thereto (incorporated by reference to Exhibit 4.3 to the Annual Report on Form 10-K of Fiserv, Inc. filed</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60" w:type="dxa"/>
            <w:vAlign w:val="bottom"/>
            <w:gridSpan w:val="20"/>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February 21, 2019).</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tcPr>
          <w:p>
            <w:pPr>
              <w:spacing w:after="0"/>
              <w:rPr>
                <w:sz w:val="24"/>
                <w:szCs w:val="24"/>
                <w:color w:val="auto"/>
              </w:rPr>
            </w:pPr>
          </w:p>
        </w:tc>
        <w:tc>
          <w:tcPr>
            <w:tcW w:w="89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Shareholder Agreement, dated as of January 16, 2019, between Fiserv, Inc. and New Omaha Holdings L.P. (incorporated by</w:t>
              </w:r>
            </w:hyperlink>
          </w:p>
        </w:tc>
        <w:tc>
          <w:tcPr>
            <w:tcW w:w="540" w:type="dxa"/>
            <w:vAlign w:val="bottom"/>
            <w:gridSpan w:val="6"/>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reference to Exhibit 4.1 to the Current Report on Form 8-K of Fiserv, Inc. filed January 18, 2019).</w:t>
              </w:r>
            </w:hyperlink>
          </w:p>
        </w:tc>
        <w:tc>
          <w:tcPr>
            <w:tcW w:w="2380" w:type="dxa"/>
            <w:vAlign w:val="bottom"/>
            <w:gridSpan w:val="15"/>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tcPr>
          <w:p>
            <w:pPr>
              <w:spacing w:after="0"/>
              <w:rPr>
                <w:sz w:val="24"/>
                <w:szCs w:val="24"/>
                <w:color w:val="auto"/>
              </w:rPr>
            </w:pPr>
          </w:p>
        </w:tc>
        <w:tc>
          <w:tcPr>
            <w:tcW w:w="9460" w:type="dxa"/>
            <w:vAlign w:val="bottom"/>
            <w:gridSpan w:val="20"/>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Registration Rights Agreement, dated as of January 16, 2019, between Fiserv, Inc. and New Omaha Holdings L.P. (incorporated by</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reference to Exhibit 4.2 to the Current Report on Form 8-K of Fiserv, Inc. filed January 18, 2019).</w:t>
              </w:r>
            </w:hyperlink>
          </w:p>
        </w:tc>
        <w:tc>
          <w:tcPr>
            <w:tcW w:w="238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tcPr>
          <w:p>
            <w:pPr>
              <w:spacing w:after="0"/>
              <w:rPr>
                <w:sz w:val="24"/>
                <w:szCs w:val="24"/>
                <w:color w:val="auto"/>
              </w:rPr>
            </w:pPr>
          </w:p>
        </w:tc>
        <w:tc>
          <w:tcPr>
            <w:tcW w:w="88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Term Loan Credit Agreement, dated as of February 15, 2019, among Fiserv, Inc. and the financial institutions party thereto</w:t>
              </w:r>
            </w:hyperlink>
          </w:p>
        </w:tc>
        <w:tc>
          <w:tcPr>
            <w:tcW w:w="620" w:type="dxa"/>
            <w:vAlign w:val="bottom"/>
            <w:gridSpan w:val="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60" w:type="dxa"/>
            <w:vAlign w:val="bottom"/>
            <w:gridSpan w:val="20"/>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(incorporated by reference to Exhibit 4.13 to the Annual Report on Form 10-K of Fiserv, Inc. filed February 21, 2019).</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4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260" w:type="dxa"/>
            <w:vAlign w:val="bottom"/>
          </w:tcPr>
          <w:p>
            <w:pPr>
              <w:spacing w:after="0"/>
              <w:rPr>
                <w:sz w:val="24"/>
                <w:szCs w:val="24"/>
                <w:color w:val="auto"/>
              </w:rPr>
            </w:pPr>
          </w:p>
        </w:tc>
        <w:tc>
          <w:tcPr>
            <w:tcW w:w="9460" w:type="dxa"/>
            <w:vAlign w:val="bottom"/>
            <w:gridSpan w:val="20"/>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Voting and Support Agreement, dated as of January 16, 2019, between Fiserv, Inc. and New Omaha Holdings L.P. (incorporated by</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4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reference to Exhibit 10.1 to the Current Report on Form 8-K of Fiserv, Inc. filed January 18, 2019).</w:t>
              </w:r>
            </w:hyperlink>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4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tcPr>
          <w:p>
            <w:pPr>
              <w:spacing w:after="0"/>
              <w:rPr>
                <w:sz w:val="24"/>
                <w:szCs w:val="24"/>
                <w:color w:val="auto"/>
              </w:rPr>
            </w:pPr>
          </w:p>
        </w:tc>
        <w:tc>
          <w:tcPr>
            <w:tcW w:w="9460" w:type="dxa"/>
            <w:vAlign w:val="bottom"/>
            <w:gridSpan w:val="20"/>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Bridge Facility Commitment Letter, dated as of January 16, 2019, between Fiserv, Inc. and JPMorgan Chase Bank, N.A.</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6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(incorporated by reference to Exhibit 10.2 to the Current Report on Form 8-K of Fiserv, Inc. filed January 18, 2019).</w:t>
              </w:r>
            </w:hyperlink>
          </w:p>
        </w:tc>
        <w:tc>
          <w:tcPr>
            <w:tcW w:w="800" w:type="dxa"/>
            <w:vAlign w:val="bottom"/>
            <w:gridSpan w:val="8"/>
          </w:tcPr>
          <w:p>
            <w:pPr>
              <w:spacing w:after="0"/>
              <w:rPr>
                <w:sz w:val="17"/>
                <w:szCs w:val="17"/>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260" w:type="dxa"/>
            <w:vAlign w:val="bottom"/>
          </w:tcPr>
          <w:p>
            <w:pPr>
              <w:spacing w:after="0"/>
              <w:rPr>
                <w:sz w:val="24"/>
                <w:szCs w:val="24"/>
                <w:color w:val="auto"/>
              </w:rPr>
            </w:pPr>
          </w:p>
        </w:tc>
        <w:tc>
          <w:tcPr>
            <w:tcW w:w="838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Certification of the Chief Executive Officer pursuant to Section 302 of the Sarbanes-Oxley Act of 2002</w:t>
              </w:r>
            </w:hyperlink>
          </w:p>
        </w:tc>
        <w:tc>
          <w:tcPr>
            <w:tcW w:w="1080" w:type="dxa"/>
            <w:vAlign w:val="bottom"/>
            <w:gridSpan w:val="10"/>
          </w:tcPr>
          <w:p>
            <w:pPr>
              <w:spacing w:after="0"/>
              <w:rPr>
                <w:sz w:val="24"/>
                <w:szCs w:val="24"/>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26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020" w:type="dxa"/>
            <w:vAlign w:val="bottom"/>
            <w:gridSpan w:val="12"/>
          </w:tcPr>
          <w:p>
            <w:pPr>
              <w:spacing w:after="0"/>
              <w:rPr>
                <w:sz w:val="24"/>
                <w:szCs w:val="24"/>
                <w:color w:val="auto"/>
              </w:rPr>
            </w:pPr>
          </w:p>
        </w:tc>
      </w:tr>
      <w:tr>
        <w:trPr>
          <w:trHeight w:val="439"/>
        </w:trPr>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260" w:type="dxa"/>
            <w:vAlign w:val="bottom"/>
          </w:tcPr>
          <w:p>
            <w:pPr>
              <w:spacing w:after="0"/>
              <w:rPr>
                <w:sz w:val="24"/>
                <w:szCs w:val="24"/>
                <w:color w:val="auto"/>
              </w:rPr>
            </w:pPr>
          </w:p>
        </w:tc>
        <w:tc>
          <w:tcPr>
            <w:tcW w:w="94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Certification of the Chief Executive Officer and Chief Financial Officer pursuant to Section 906 of the Sarbanes-Oxley Act of 2002</w:t>
              </w:r>
            </w:hyperlink>
          </w:p>
        </w:tc>
      </w:tr>
      <w:tr>
        <w:trPr>
          <w:trHeight w:val="480"/>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59"/>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59"/>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40" w:hanging="332"/>
        <w:spacing w:after="0" w:line="25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XBRL (Extensible Business Reporting Language): (i) the Consolidated Statements of Income for the three months ended March 31, 2019 and 2018, (ii) the Consolidated Statements of Comprehensive Income for the three months ended March 31, 2019 and 2018, (iii) the Consolidated Balance Sheets at March 31, 2019 and December 31, 2018, (iv) the Consolidated Statements of Cash Flows for the three months ended March 31, 2019 and 2018, and (v) Notes to Consolidated Financial Statements.</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6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59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 2019</w:t>
            </w: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7"/>
        </w:trPr>
        <w:tc>
          <w:tcPr>
            <w:tcW w:w="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70"/>
        </w:trPr>
        <w:tc>
          <w:tcPr>
            <w:tcW w:w="6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 2019</w:t>
            </w: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7"/>
        </w:trPr>
        <w:tc>
          <w:tcPr>
            <w:tcW w:w="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70"/>
        </w:trPr>
        <w:tc>
          <w:tcPr>
            <w:tcW w:w="6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Jeffery W. Yabuki,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spacing w:after="0"/>
        <w:tabs>
          <w:tab w:leader="none" w:pos="4560" w:val="left"/>
          <w:tab w:leader="none" w:pos="5060" w:val="left"/>
        </w:tabs>
        <w:rPr>
          <w:sz w:val="20"/>
          <w:szCs w:val="20"/>
          <w:color w:val="auto"/>
        </w:rPr>
      </w:pPr>
      <w:r>
        <w:rPr>
          <w:rFonts w:ascii="Times New Roman" w:cs="Times New Roman" w:eastAsia="Times New Roman" w:hAnsi="Times New Roman"/>
          <w:sz w:val="18"/>
          <w:szCs w:val="18"/>
          <w:color w:val="auto"/>
        </w:rPr>
        <w:t>Date: May 1,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34290</wp:posOffset>
            </wp:positionV>
            <wp:extent cx="24009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Jeffery W. Yabuki</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spacing w:after="0"/>
        <w:tabs>
          <w:tab w:leader="none" w:pos="4560" w:val="left"/>
          <w:tab w:leader="none" w:pos="5060" w:val="left"/>
        </w:tabs>
        <w:rPr>
          <w:sz w:val="20"/>
          <w:szCs w:val="20"/>
          <w:color w:val="auto"/>
        </w:rPr>
      </w:pPr>
      <w:r>
        <w:rPr>
          <w:rFonts w:ascii="Times New Roman" w:cs="Times New Roman" w:eastAsia="Times New Roman" w:hAnsi="Times New Roman"/>
          <w:sz w:val="18"/>
          <w:szCs w:val="18"/>
          <w:color w:val="auto"/>
        </w:rPr>
        <w:t>Date: May 1,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34290</wp:posOffset>
            </wp:positionV>
            <wp:extent cx="24009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Robert W. Hau</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March 31, 2019 as filed with the Securities and Exchange Commission on the date hereof (the “Report”), Jeffery W. Yabuki, as President and Chief Executive Officer of the Company, and Robert W. Hau, as Chief Financial Officer and Treasurer of the Company, each hereby certify, pursuant to 18 U.S.C. § 1350, as adopted pursuant to § 906 of the Sarbanes-Oxley Act of 2002, that to the best of his knowledge:</w:t>
      </w:r>
    </w:p>
    <w:p>
      <w:pPr>
        <w:spacing w:after="0" w:line="86" w:lineRule="exact"/>
        <w:rPr>
          <w:sz w:val="20"/>
          <w:szCs w:val="20"/>
          <w:color w:val="auto"/>
        </w:rPr>
      </w:pPr>
    </w:p>
    <w:p>
      <w:pPr>
        <w:ind w:left="540" w:hanging="316"/>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59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Jeffery W. Yabuki</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May 1,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W. Hau</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May 1,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Roman"/>
      <w:start w:val="5"/>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42" Type="http://schemas.openxmlformats.org/officeDocument/2006/relationships/hyperlink" Target="http://www.sec.gov/Archives/edgar/data/798354/000119312519011812/d688917dex21.htm" TargetMode="External"/><Relationship Id="rId43" Type="http://schemas.openxmlformats.org/officeDocument/2006/relationships/hyperlink" Target="http://www.sec.gov/Archives/edgar/data/798354/000119312519029907/d686781dex41.htm" TargetMode="External"/><Relationship Id="rId44" Type="http://schemas.openxmlformats.org/officeDocument/2006/relationships/hyperlink" Target="http://www.sec.gov/Archives/edgar/data/798354/000079835419000005/ex4312312018doc.htm" TargetMode="External"/><Relationship Id="rId45" Type="http://schemas.openxmlformats.org/officeDocument/2006/relationships/hyperlink" Target="http://www.sec.gov/Archives/edgar/data/798354/000119312519011812/d688917dex41.htm" TargetMode="External"/><Relationship Id="rId46" Type="http://schemas.openxmlformats.org/officeDocument/2006/relationships/hyperlink" Target="http://www.sec.gov/Archives/edgar/data/798354/000119312519011812/d688917dex42.htm" TargetMode="External"/><Relationship Id="rId47" Type="http://schemas.openxmlformats.org/officeDocument/2006/relationships/hyperlink" Target="http://www.sec.gov/Archives/edgar/data/798354/000079835419000005/ex41312312018.htm" TargetMode="External"/><Relationship Id="rId48" Type="http://schemas.openxmlformats.org/officeDocument/2006/relationships/hyperlink" Target="http://www.sec.gov/Archives/edgar/data/798354/000119312519011812/d688917dex101.htm" TargetMode="External"/><Relationship Id="rId49" Type="http://schemas.openxmlformats.org/officeDocument/2006/relationships/hyperlink" Target="http://www.sec.gov/Archives/edgar/data/798354/000119312519011812/d68891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2019-12-28T13:27:07Z</dcterms:created>
  <dcterms:modified xsi:type="dcterms:W3CDTF">2019-12-28T13:27:07Z</dcterms:modified>
</cp:coreProperties>
</file>