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6019165</wp:posOffset>
            </wp:positionH>
            <wp:positionV relativeFrom="page">
              <wp:posOffset>401955</wp:posOffset>
            </wp:positionV>
            <wp:extent cx="1397635" cy="866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866140"/>
                    </a:xfrm>
                    <a:prstGeom prst="rect">
                      <a:avLst/>
                    </a:prstGeom>
                    <a:noFill/>
                  </pic:spPr>
                </pic:pic>
              </a:graphicData>
            </a:graphic>
          </wp:anchor>
        </w:drawing>
        <w:t>OMB APPROVAL</w:t>
      </w:r>
    </w:p>
    <w:p>
      <w:pPr>
        <w:ind w:left="9260"/>
        <w:spacing w:after="0"/>
        <w:rPr>
          <w:sz w:val="20"/>
          <w:szCs w:val="20"/>
          <w:color w:val="auto"/>
        </w:rPr>
      </w:pPr>
      <w:r>
        <w:rPr>
          <w:sz w:val="1"/>
          <w:szCs w:val="1"/>
          <w:color w:val="auto"/>
        </w:rPr>
        <w:drawing>
          <wp:inline distT="0" distB="0" distL="0" distR="0">
            <wp:extent cx="34290" cy="1809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180975"/>
                    </a:xfrm>
                    <a:prstGeom prst="rect">
                      <a:avLst/>
                    </a:prstGeom>
                    <a:noFill/>
                    <a:ln>
                      <a:noFill/>
                    </a:ln>
                  </pic:spPr>
                </pic:pic>
              </a:graphicData>
            </a:graphic>
          </wp:inline>
        </w:drawing>
      </w:r>
      <w:r>
        <w:rPr>
          <w:rFonts w:ascii="Arial" w:cs="Arial" w:eastAsia="Arial" w:hAnsi="Arial"/>
          <w:sz w:val="16"/>
          <w:szCs w:val="16"/>
          <w:color w:val="auto"/>
        </w:rPr>
        <w:t>OMB Number: 3235-0145</w:t>
      </w:r>
    </w:p>
    <w:p>
      <w:pPr>
        <w:spacing w:after="0" w:line="16" w:lineRule="exact"/>
        <w:rPr>
          <w:sz w:val="20"/>
          <w:szCs w:val="20"/>
          <w:color w:val="auto"/>
        </w:rPr>
      </w:pPr>
    </w:p>
    <w:p>
      <w:pPr>
        <w:ind w:left="9300"/>
        <w:spacing w:after="0"/>
        <w:rPr>
          <w:sz w:val="20"/>
          <w:szCs w:val="20"/>
          <w:color w:val="auto"/>
        </w:rPr>
      </w:pPr>
      <w:r>
        <w:rPr>
          <w:rFonts w:ascii="Arial" w:cs="Arial" w:eastAsia="Arial" w:hAnsi="Arial"/>
          <w:sz w:val="15"/>
          <w:szCs w:val="15"/>
          <w:color w:val="auto"/>
        </w:rPr>
        <w:t>Expires: December 31, 2005</w:t>
      </w:r>
    </w:p>
    <w:p>
      <w:pPr>
        <w:spacing w:after="0" w:line="96" w:lineRule="exact"/>
        <w:rPr>
          <w:sz w:val="20"/>
          <w:szCs w:val="20"/>
          <w:color w:val="auto"/>
        </w:rPr>
      </w:pPr>
    </w:p>
    <w:p>
      <w:pPr>
        <w:ind w:left="9300"/>
        <w:spacing w:after="0"/>
        <w:rPr>
          <w:sz w:val="20"/>
          <w:szCs w:val="20"/>
          <w:color w:val="auto"/>
        </w:rPr>
      </w:pPr>
      <w:r>
        <w:rPr>
          <w:rFonts w:ascii="Arial" w:cs="Arial" w:eastAsia="Arial" w:hAnsi="Arial"/>
          <w:sz w:val="16"/>
          <w:szCs w:val="16"/>
          <w:color w:val="auto"/>
        </w:rPr>
        <w:t>Estimated average burden</w:t>
      </w:r>
    </w:p>
    <w:p>
      <w:pPr>
        <w:spacing w:after="0" w:line="38" w:lineRule="exact"/>
        <w:rPr>
          <w:sz w:val="20"/>
          <w:szCs w:val="20"/>
          <w:color w:val="auto"/>
        </w:rPr>
      </w:pPr>
    </w:p>
    <w:p>
      <w:pPr>
        <w:ind w:left="9300"/>
        <w:spacing w:after="0"/>
        <w:rPr>
          <w:sz w:val="20"/>
          <w:szCs w:val="20"/>
          <w:color w:val="auto"/>
        </w:rPr>
      </w:pPr>
      <w:r>
        <w:rPr>
          <w:rFonts w:ascii="Arial" w:cs="Arial" w:eastAsia="Arial" w:hAnsi="Arial"/>
          <w:sz w:val="18"/>
          <w:szCs w:val="18"/>
          <w:color w:val="auto"/>
        </w:rPr>
        <w:t>hours per response...11</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UNITED STATES</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24"/>
          <w:szCs w:val="24"/>
          <w:color w:val="auto"/>
        </w:rPr>
        <w:t>SECURITIES AND EXCHANGE COMMISSION</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32"/>
          <w:szCs w:val="32"/>
          <w:color w:val="auto"/>
        </w:rPr>
        <w:t>SCHEDULE 13G</w:t>
      </w:r>
    </w:p>
    <w:p>
      <w:pPr>
        <w:spacing w:after="0" w:line="2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(Amendment No. 8)*</w:t>
      </w:r>
    </w:p>
    <w:p>
      <w:pPr>
        <w:spacing w:after="0" w:line="2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CheckFree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Common Stock, $.01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162816 10 2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December 31,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(b)</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Rule 13d-1 (c)</w:t>
      </w:r>
    </w:p>
    <w:p>
      <w:pPr>
        <w:spacing w:after="0" w:line="255" w:lineRule="exact"/>
        <w:rPr>
          <w:sz w:val="20"/>
          <w:szCs w:val="20"/>
          <w:color w:val="auto"/>
        </w:rPr>
      </w:pPr>
    </w:p>
    <w:p>
      <w:pPr>
        <w:ind w:left="600" w:hanging="241"/>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Rule 13d-1 (d)</w:t>
      </w:r>
    </w:p>
    <w:p>
      <w:pPr>
        <w:spacing w:after="0" w:line="21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68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19"/>
                <w:szCs w:val="19"/>
                <w:color w:val="auto"/>
              </w:rPr>
            </w:pPr>
          </w:p>
        </w:tc>
        <w:tc>
          <w:tcPr>
            <w:tcW w:w="7580" w:type="dxa"/>
            <w:vAlign w:val="bottom"/>
          </w:tcPr>
          <w:p>
            <w:pPr>
              <w:ind w:left="1780"/>
              <w:spacing w:after="0"/>
              <w:rPr>
                <w:sz w:val="20"/>
                <w:szCs w:val="20"/>
                <w:color w:val="auto"/>
              </w:rPr>
            </w:pPr>
            <w:r>
              <w:rPr>
                <w:rFonts w:ascii="Arial" w:cs="Arial" w:eastAsia="Arial" w:hAnsi="Arial"/>
                <w:sz w:val="18"/>
                <w:szCs w:val="18"/>
                <w:color w:val="auto"/>
              </w:rPr>
              <w:t>13G</w:t>
            </w:r>
          </w:p>
        </w:tc>
      </w:tr>
      <w:tr>
        <w:trPr>
          <w:trHeight w:val="324"/>
        </w:trPr>
        <w:tc>
          <w:tcPr>
            <w:tcW w:w="3720" w:type="dxa"/>
            <w:vAlign w:val="bottom"/>
          </w:tcPr>
          <w:p>
            <w:pPr>
              <w:spacing w:after="0"/>
              <w:rPr>
                <w:sz w:val="20"/>
                <w:szCs w:val="20"/>
                <w:color w:val="auto"/>
              </w:rPr>
            </w:pPr>
            <w:r>
              <w:rPr>
                <w:rFonts w:ascii="Arial" w:cs="Arial" w:eastAsia="Arial" w:hAnsi="Arial"/>
                <w:sz w:val="18"/>
                <w:szCs w:val="18"/>
                <w:color w:val="auto"/>
              </w:rPr>
              <w:t>CUSIP No. 162816 10 2</w:t>
            </w:r>
          </w:p>
        </w:tc>
        <w:tc>
          <w:tcPr>
            <w:tcW w:w="7580" w:type="dxa"/>
            <w:vAlign w:val="bottom"/>
          </w:tcPr>
          <w:p>
            <w:pPr>
              <w:ind w:left="6800"/>
              <w:spacing w:after="0"/>
              <w:rPr>
                <w:sz w:val="20"/>
                <w:szCs w:val="20"/>
                <w:color w:val="auto"/>
              </w:rPr>
            </w:pPr>
            <w:r>
              <w:rPr>
                <w:rFonts w:ascii="Arial" w:cs="Arial" w:eastAsia="Arial" w:hAnsi="Arial"/>
                <w:sz w:val="18"/>
                <w:szCs w:val="18"/>
                <w:color w:val="auto"/>
                <w:w w:val="82"/>
              </w:rPr>
              <w:t>Page 2 of 4</w:t>
            </w:r>
          </w:p>
        </w:tc>
      </w:tr>
      <w:tr>
        <w:trPr>
          <w:trHeight w:val="228"/>
        </w:trPr>
        <w:tc>
          <w:tcPr>
            <w:tcW w:w="372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r>
        <w:trPr>
          <w:trHeight w:val="421"/>
        </w:trPr>
        <w:tc>
          <w:tcPr>
            <w:tcW w:w="3720" w:type="dxa"/>
            <w:vAlign w:val="bottom"/>
          </w:tcPr>
          <w:p>
            <w:pPr>
              <w:ind w:left="460"/>
              <w:spacing w:after="0"/>
              <w:rPr>
                <w:sz w:val="20"/>
                <w:szCs w:val="20"/>
                <w:color w:val="auto"/>
              </w:rPr>
            </w:pPr>
            <w:r>
              <w:rPr>
                <w:rFonts w:ascii="Arial" w:cs="Arial" w:eastAsia="Arial" w:hAnsi="Arial"/>
                <w:sz w:val="18"/>
                <w:szCs w:val="18"/>
                <w:color w:val="auto"/>
              </w:rPr>
              <w:t>1.   Name of Reporting Person:</w:t>
            </w:r>
          </w:p>
        </w:tc>
        <w:tc>
          <w:tcPr>
            <w:tcW w:w="7580" w:type="dxa"/>
            <w:vAlign w:val="bottom"/>
          </w:tcPr>
          <w:p>
            <w:pPr>
              <w:ind w:left="960"/>
              <w:spacing w:after="0"/>
              <w:rPr>
                <w:sz w:val="20"/>
                <w:szCs w:val="20"/>
                <w:color w:val="auto"/>
              </w:rPr>
            </w:pPr>
            <w:r>
              <w:rPr>
                <w:rFonts w:ascii="Arial" w:cs="Arial" w:eastAsia="Arial" w:hAnsi="Arial"/>
                <w:sz w:val="18"/>
                <w:szCs w:val="18"/>
                <w:color w:val="auto"/>
              </w:rPr>
              <w:t>I.R.S. Identification Nos. of above persons (entities only):</w:t>
            </w:r>
          </w:p>
        </w:tc>
      </w:tr>
      <w:tr>
        <w:trPr>
          <w:trHeight w:val="222"/>
        </w:trPr>
        <w:tc>
          <w:tcPr>
            <w:tcW w:w="3720" w:type="dxa"/>
            <w:vAlign w:val="bottom"/>
          </w:tcPr>
          <w:p>
            <w:pPr>
              <w:ind w:left="820"/>
              <w:spacing w:after="0"/>
              <w:rPr>
                <w:sz w:val="20"/>
                <w:szCs w:val="20"/>
                <w:color w:val="auto"/>
              </w:rPr>
            </w:pPr>
            <w:r>
              <w:rPr>
                <w:rFonts w:ascii="Arial" w:cs="Arial" w:eastAsia="Arial" w:hAnsi="Arial"/>
                <w:sz w:val="18"/>
                <w:szCs w:val="18"/>
                <w:color w:val="auto"/>
              </w:rPr>
              <w:t>Peter J. Kight</w:t>
            </w:r>
          </w:p>
        </w:tc>
        <w:tc>
          <w:tcPr>
            <w:tcW w:w="7580" w:type="dxa"/>
            <w:vAlign w:val="bottom"/>
          </w:tcPr>
          <w:p>
            <w:pPr>
              <w:ind w:left="96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-422275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-422275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136525</wp:posOffset>
            </wp:positionV>
            <wp:extent cx="71818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04"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98" w:lineRule="exact"/>
        <w:rPr>
          <w:rFonts w:ascii="Arial" w:cs="Arial" w:eastAsia="Arial" w:hAnsi="Arial"/>
          <w:sz w:val="18"/>
          <w:szCs w:val="18"/>
          <w:color w:val="auto"/>
        </w:rPr>
      </w:pPr>
    </w:p>
    <w:p>
      <w:pPr>
        <w:ind w:left="1160" w:hanging="348"/>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22"/>
          <w:szCs w:val="22"/>
          <w:color w:val="auto"/>
        </w:rPr>
        <w:t>o</w:t>
      </w:r>
    </w:p>
    <w:p>
      <w:pPr>
        <w:spacing w:after="0" w:line="200" w:lineRule="exact"/>
        <w:rPr>
          <w:rFonts w:ascii="Arial" w:cs="Arial" w:eastAsia="Arial" w:hAnsi="Arial"/>
          <w:sz w:val="18"/>
          <w:szCs w:val="18"/>
          <w:color w:val="auto"/>
        </w:rPr>
      </w:pPr>
    </w:p>
    <w:p>
      <w:pPr>
        <w:spacing w:after="0" w:line="262" w:lineRule="exact"/>
        <w:rPr>
          <w:rFonts w:ascii="Arial" w:cs="Arial" w:eastAsia="Arial" w:hAnsi="Arial"/>
          <w:sz w:val="18"/>
          <w:szCs w:val="18"/>
          <w:color w:val="auto"/>
        </w:rPr>
      </w:pPr>
    </w:p>
    <w:p>
      <w:pPr>
        <w:ind w:left="820" w:hanging="359"/>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20" w:right="7880" w:hanging="359"/>
        <w:spacing w:after="0" w:line="268" w:lineRule="auto"/>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-872490</wp:posOffset>
            </wp:positionV>
            <wp:extent cx="71818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-443865</wp:posOffset>
            </wp:positionV>
            <wp:extent cx="718185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121285</wp:posOffset>
            </wp:positionV>
            <wp:extent cx="718185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5.</w:t>
            </w:r>
          </w:p>
        </w:tc>
        <w:tc>
          <w:tcPr>
            <w:tcW w:w="990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22"/>
        </w:trPr>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00" w:type="dxa"/>
            <w:vAlign w:val="bottom"/>
          </w:tcPr>
          <w:p>
            <w:pPr>
              <w:ind w:left="100"/>
              <w:spacing w:after="0"/>
              <w:rPr>
                <w:sz w:val="20"/>
                <w:szCs w:val="20"/>
                <w:color w:val="auto"/>
              </w:rPr>
            </w:pPr>
            <w:r>
              <w:rPr>
                <w:rFonts w:ascii="Arial" w:cs="Arial" w:eastAsia="Arial" w:hAnsi="Arial"/>
                <w:sz w:val="18"/>
                <w:szCs w:val="18"/>
                <w:color w:val="auto"/>
              </w:rPr>
              <w:t>5,933,069</w:t>
            </w:r>
          </w:p>
        </w:tc>
        <w:tc>
          <w:tcPr>
            <w:tcW w:w="0" w:type="dxa"/>
            <w:vAlign w:val="bottom"/>
          </w:tcPr>
          <w:p>
            <w:pPr>
              <w:spacing w:after="0"/>
              <w:rPr>
                <w:sz w:val="1"/>
                <w:szCs w:val="1"/>
                <w:color w:val="auto"/>
              </w:rPr>
            </w:pPr>
          </w:p>
        </w:tc>
      </w:tr>
      <w:tr>
        <w:trPr>
          <w:trHeight w:val="228"/>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808080"/>
            </w:tcBorders>
          </w:tcPr>
          <w:p>
            <w:pPr>
              <w:spacing w:after="0"/>
              <w:rPr>
                <w:sz w:val="19"/>
                <w:szCs w:val="19"/>
                <w:color w:val="auto"/>
              </w:rPr>
            </w:pPr>
          </w:p>
        </w:tc>
        <w:tc>
          <w:tcPr>
            <w:tcW w:w="9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1060" w:type="dxa"/>
            <w:vAlign w:val="bottom"/>
            <w:vMerge w:val="continue"/>
          </w:tcPr>
          <w:p>
            <w:pPr>
              <w:spacing w:after="0"/>
              <w:rPr>
                <w:sz w:val="24"/>
                <w:szCs w:val="24"/>
                <w:color w:val="auto"/>
              </w:rPr>
            </w:pP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6.</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80"/>
              </w:rPr>
              <w:t>Shares</w:t>
            </w:r>
          </w:p>
        </w:tc>
        <w:tc>
          <w:tcPr>
            <w:tcW w:w="240" w:type="dxa"/>
            <w:vAlign w:val="bottom"/>
            <w:vMerge w:val="continue"/>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1"/>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4"/>
              </w:rPr>
              <w:t>Beneficially</w:t>
            </w:r>
          </w:p>
        </w:tc>
        <w:tc>
          <w:tcPr>
            <w:tcW w:w="240" w:type="dxa"/>
            <w:vAlign w:val="bottom"/>
          </w:tcPr>
          <w:p>
            <w:pPr>
              <w:spacing w:after="0"/>
              <w:rPr>
                <w:sz w:val="8"/>
                <w:szCs w:val="8"/>
                <w:color w:val="auto"/>
              </w:rPr>
            </w:pPr>
          </w:p>
        </w:tc>
        <w:tc>
          <w:tcPr>
            <w:tcW w:w="9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60" w:type="dxa"/>
            <w:vAlign w:val="bottom"/>
            <w:vMerge w:val="restart"/>
          </w:tcPr>
          <w:p>
            <w:pPr>
              <w:jc w:val="center"/>
              <w:ind w:right="114"/>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808080"/>
            </w:tcBorders>
          </w:tcPr>
          <w:p>
            <w:pPr>
              <w:spacing w:after="0"/>
              <w:rPr>
                <w:sz w:val="9"/>
                <w:szCs w:val="9"/>
                <w:color w:val="auto"/>
              </w:rPr>
            </w:pPr>
          </w:p>
        </w:tc>
        <w:tc>
          <w:tcPr>
            <w:tcW w:w="99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0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60" w:type="dxa"/>
            <w:vAlign w:val="bottom"/>
          </w:tcPr>
          <w:p>
            <w:pPr>
              <w:jc w:val="center"/>
              <w:ind w:right="114"/>
              <w:spacing w:after="0"/>
              <w:rPr>
                <w:sz w:val="20"/>
                <w:szCs w:val="20"/>
                <w:color w:val="auto"/>
              </w:rPr>
            </w:pPr>
            <w:r>
              <w:rPr>
                <w:rFonts w:ascii="Arial" w:cs="Arial" w:eastAsia="Arial" w:hAnsi="Arial"/>
                <w:sz w:val="18"/>
                <w:szCs w:val="18"/>
                <w:color w:val="auto"/>
                <w:w w:val="82"/>
              </w:rPr>
              <w:t>Each</w:t>
            </w:r>
          </w:p>
        </w:tc>
        <w:tc>
          <w:tcPr>
            <w:tcW w:w="240" w:type="dxa"/>
            <w:vAlign w:val="bottom"/>
            <w:vMerge w:val="restart"/>
          </w:tcPr>
          <w:p>
            <w:pPr>
              <w:jc w:val="right"/>
              <w:ind w:right="12"/>
              <w:spacing w:after="0"/>
              <w:rPr>
                <w:sz w:val="20"/>
                <w:szCs w:val="20"/>
                <w:color w:val="auto"/>
              </w:rPr>
            </w:pPr>
            <w:r>
              <w:rPr>
                <w:rFonts w:ascii="Arial" w:cs="Arial" w:eastAsia="Arial" w:hAnsi="Arial"/>
                <w:sz w:val="18"/>
                <w:szCs w:val="18"/>
                <w:color w:val="auto"/>
                <w:w w:val="79"/>
              </w:rPr>
              <w:t>7.</w:t>
            </w:r>
          </w:p>
        </w:tc>
        <w:tc>
          <w:tcPr>
            <w:tcW w:w="9900" w:type="dxa"/>
            <w:vAlign w:val="bottom"/>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36"/>
        </w:trPr>
        <w:tc>
          <w:tcPr>
            <w:tcW w:w="1060" w:type="dxa"/>
            <w:vAlign w:val="bottom"/>
          </w:tcPr>
          <w:p>
            <w:pPr>
              <w:jc w:val="center"/>
              <w:ind w:right="114"/>
              <w:spacing w:after="0" w:line="136" w:lineRule="exact"/>
              <w:rPr>
                <w:sz w:val="20"/>
                <w:szCs w:val="20"/>
                <w:color w:val="auto"/>
              </w:rPr>
            </w:pPr>
            <w:r>
              <w:rPr>
                <w:rFonts w:ascii="Arial" w:cs="Arial" w:eastAsia="Arial" w:hAnsi="Arial"/>
                <w:sz w:val="15"/>
                <w:szCs w:val="15"/>
                <w:color w:val="auto"/>
              </w:rPr>
              <w:t>Reporting</w:t>
            </w:r>
          </w:p>
        </w:tc>
        <w:tc>
          <w:tcPr>
            <w:tcW w:w="240" w:type="dxa"/>
            <w:vAlign w:val="bottom"/>
            <w:vMerge w:val="continue"/>
          </w:tcPr>
          <w:p>
            <w:pPr>
              <w:spacing w:after="0"/>
              <w:rPr>
                <w:sz w:val="11"/>
                <w:szCs w:val="11"/>
                <w:color w:val="auto"/>
              </w:rPr>
            </w:pPr>
          </w:p>
        </w:tc>
        <w:tc>
          <w:tcPr>
            <w:tcW w:w="9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-855980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-855980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7168515</wp:posOffset>
            </wp:positionH>
            <wp:positionV relativeFrom="paragraph">
              <wp:posOffset>-290195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-290195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2"/>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140" w:type="dxa"/>
            <w:vAlign w:val="bottom"/>
          </w:tcPr>
          <w:p>
            <w:pPr>
              <w:jc w:val="right"/>
              <w:ind w:right="9012"/>
              <w:spacing w:after="0"/>
              <w:rPr>
                <w:sz w:val="20"/>
                <w:szCs w:val="20"/>
                <w:color w:val="auto"/>
              </w:rPr>
            </w:pPr>
            <w:r>
              <w:rPr>
                <w:rFonts w:ascii="Arial" w:cs="Arial" w:eastAsia="Arial" w:hAnsi="Arial"/>
                <w:sz w:val="18"/>
                <w:szCs w:val="18"/>
                <w:color w:val="auto"/>
              </w:rPr>
              <w:t>5,933,069</w:t>
            </w:r>
          </w:p>
        </w:tc>
        <w:tc>
          <w:tcPr>
            <w:tcW w:w="0" w:type="dxa"/>
            <w:vAlign w:val="bottom"/>
          </w:tcPr>
          <w:p>
            <w:pPr>
              <w:spacing w:after="0"/>
              <w:rPr>
                <w:sz w:val="1"/>
                <w:szCs w:val="1"/>
                <w:color w:val="auto"/>
              </w:rPr>
            </w:pPr>
          </w:p>
        </w:tc>
      </w:tr>
      <w:tr>
        <w:trPr>
          <w:trHeight w:val="81"/>
        </w:trPr>
        <w:tc>
          <w:tcPr>
            <w:tcW w:w="1060" w:type="dxa"/>
            <w:vAlign w:val="bottom"/>
            <w:vMerge w:val="continue"/>
          </w:tcPr>
          <w:p>
            <w:pPr>
              <w:spacing w:after="0"/>
              <w:rPr>
                <w:sz w:val="7"/>
                <w:szCs w:val="7"/>
                <w:color w:val="auto"/>
              </w:rPr>
            </w:pPr>
          </w:p>
        </w:tc>
        <w:tc>
          <w:tcPr>
            <w:tcW w:w="10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060" w:type="dxa"/>
            <w:vAlign w:val="bottom"/>
          </w:tcPr>
          <w:p>
            <w:pPr>
              <w:spacing w:after="0"/>
              <w:rPr>
                <w:sz w:val="11"/>
                <w:szCs w:val="11"/>
                <w:color w:val="auto"/>
              </w:rPr>
            </w:pPr>
          </w:p>
        </w:tc>
        <w:tc>
          <w:tcPr>
            <w:tcW w:w="10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7168515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736600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ind w:left="1500" w:right="7920" w:hanging="336"/>
        <w:spacing w:after="0" w:line="268" w:lineRule="auto"/>
        <w:tabs>
          <w:tab w:leader="none" w:pos="150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76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5,933,069</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562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o</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right="6740" w:hanging="359"/>
        <w:spacing w:after="0" w:line="268"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6.54%</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820" w:hanging="35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1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-2120900</wp:posOffset>
            </wp:positionV>
            <wp:extent cx="718185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-1555115</wp:posOffset>
            </wp:positionV>
            <wp:extent cx="718185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-989330</wp:posOffset>
            </wp:positionV>
            <wp:extent cx="718185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-422910</wp:posOffset>
            </wp:positionV>
            <wp:extent cx="718185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18185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185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1320"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162816 10 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620" w:hanging="680"/>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Issuer: CheckFree Corporation</w:t>
      </w:r>
    </w:p>
    <w:p>
      <w:pPr>
        <w:spacing w:after="0" w:line="225" w:lineRule="exact"/>
        <w:rPr>
          <w:rFonts w:ascii="Arial" w:cs="Arial" w:eastAsia="Arial" w:hAnsi="Arial"/>
          <w:sz w:val="18"/>
          <w:szCs w:val="18"/>
          <w:color w:val="auto"/>
        </w:rPr>
      </w:pPr>
    </w:p>
    <w:p>
      <w:pPr>
        <w:ind w:left="1620" w:right="6100" w:hanging="680"/>
        <w:spacing w:after="0" w:line="342" w:lineRule="auto"/>
        <w:tabs>
          <w:tab w:leader="none" w:pos="1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Address of Issuer’s Principal Executive Offices: 4411 East Jones Bridge Road, Norcross, GA 30092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620" w:hanging="68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Persons Filing: Peter J. Kight</w:t>
      </w:r>
    </w:p>
    <w:p>
      <w:pPr>
        <w:spacing w:after="0" w:line="225" w:lineRule="exact"/>
        <w:rPr>
          <w:rFonts w:ascii="Arial" w:cs="Arial" w:eastAsia="Arial" w:hAnsi="Arial"/>
          <w:sz w:val="18"/>
          <w:szCs w:val="18"/>
          <w:color w:val="auto"/>
        </w:rPr>
      </w:pPr>
    </w:p>
    <w:p>
      <w:pPr>
        <w:ind w:left="1620" w:right="5440" w:hanging="680"/>
        <w:spacing w:after="0" w:line="342" w:lineRule="auto"/>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Principal Business Office, or, if none, Residence: 4411 East Jones Bridge Road, Norcross, GA 30092</w:t>
      </w:r>
    </w:p>
    <w:p>
      <w:pPr>
        <w:spacing w:after="0" w:line="123" w:lineRule="exact"/>
        <w:rPr>
          <w:rFonts w:ascii="Arial" w:cs="Arial" w:eastAsia="Arial" w:hAnsi="Arial"/>
          <w:sz w:val="16"/>
          <w:szCs w:val="16"/>
          <w:color w:val="auto"/>
        </w:rPr>
      </w:pPr>
    </w:p>
    <w:p>
      <w:pPr>
        <w:ind w:left="1620" w:hanging="68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Mr. Kight is a United States Citizen</w:t>
      </w:r>
    </w:p>
    <w:p>
      <w:pPr>
        <w:spacing w:after="0" w:line="225" w:lineRule="exact"/>
        <w:rPr>
          <w:rFonts w:ascii="Arial" w:cs="Arial" w:eastAsia="Arial" w:hAnsi="Arial"/>
          <w:sz w:val="18"/>
          <w:szCs w:val="18"/>
          <w:color w:val="auto"/>
        </w:rPr>
      </w:pPr>
    </w:p>
    <w:p>
      <w:pPr>
        <w:ind w:left="1620" w:hanging="68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Title of Class of Securities: Common Stock, $.01 par value.</w:t>
      </w:r>
    </w:p>
    <w:p>
      <w:pPr>
        <w:spacing w:after="0" w:line="225" w:lineRule="exact"/>
        <w:rPr>
          <w:rFonts w:ascii="Arial" w:cs="Arial" w:eastAsia="Arial" w:hAnsi="Arial"/>
          <w:sz w:val="18"/>
          <w:szCs w:val="18"/>
          <w:color w:val="auto"/>
        </w:rPr>
      </w:pPr>
    </w:p>
    <w:p>
      <w:pPr>
        <w:ind w:left="1620" w:hanging="680"/>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CUSIP Number: 162816 10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620" w:hanging="68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 5,933,069 shares*</w:t>
      </w:r>
    </w:p>
    <w:p>
      <w:pPr>
        <w:spacing w:after="0" w:line="225" w:lineRule="exact"/>
        <w:rPr>
          <w:rFonts w:ascii="Arial" w:cs="Arial" w:eastAsia="Arial" w:hAnsi="Arial"/>
          <w:sz w:val="18"/>
          <w:szCs w:val="18"/>
          <w:color w:val="auto"/>
        </w:rPr>
      </w:pPr>
    </w:p>
    <w:p>
      <w:pPr>
        <w:ind w:left="1620" w:hanging="68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6.54 %</w:t>
      </w:r>
    </w:p>
    <w:p>
      <w:pPr>
        <w:spacing w:after="0" w:line="225" w:lineRule="exact"/>
        <w:rPr>
          <w:rFonts w:ascii="Arial" w:cs="Arial" w:eastAsia="Arial" w:hAnsi="Arial"/>
          <w:sz w:val="18"/>
          <w:szCs w:val="18"/>
          <w:color w:val="auto"/>
        </w:rPr>
      </w:pPr>
    </w:p>
    <w:p>
      <w:pPr>
        <w:ind w:left="1620" w:hanging="680"/>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840" w:hanging="225"/>
        <w:spacing w:after="0"/>
        <w:tabs>
          <w:tab w:leader="none" w:pos="18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to direct the vote: 5,933,069 shares*</w:t>
      </w:r>
    </w:p>
    <w:p>
      <w:pPr>
        <w:spacing w:after="0" w:line="23" w:lineRule="exact"/>
        <w:rPr>
          <w:rFonts w:ascii="Arial" w:cs="Arial" w:eastAsia="Arial" w:hAnsi="Arial"/>
          <w:sz w:val="18"/>
          <w:szCs w:val="18"/>
          <w:color w:val="auto"/>
        </w:rPr>
      </w:pPr>
    </w:p>
    <w:p>
      <w:pPr>
        <w:ind w:left="1880" w:hanging="265"/>
        <w:spacing w:after="0"/>
        <w:tabs>
          <w:tab w:leader="none" w:pos="18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9" w:lineRule="exact"/>
        <w:rPr>
          <w:rFonts w:ascii="Arial" w:cs="Arial" w:eastAsia="Arial" w:hAnsi="Arial"/>
          <w:sz w:val="18"/>
          <w:szCs w:val="18"/>
          <w:color w:val="auto"/>
        </w:rPr>
      </w:pPr>
    </w:p>
    <w:p>
      <w:pPr>
        <w:ind w:left="1940" w:hanging="325"/>
        <w:spacing w:after="0"/>
        <w:tabs>
          <w:tab w:leader="none" w:pos="19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5,933,069 shares*</w:t>
      </w:r>
    </w:p>
    <w:p>
      <w:pPr>
        <w:spacing w:after="0" w:line="9" w:lineRule="exact"/>
        <w:rPr>
          <w:rFonts w:ascii="Arial" w:cs="Arial" w:eastAsia="Arial" w:hAnsi="Arial"/>
          <w:sz w:val="18"/>
          <w:szCs w:val="18"/>
          <w:color w:val="auto"/>
        </w:rPr>
      </w:pPr>
    </w:p>
    <w:p>
      <w:pPr>
        <w:ind w:left="1920" w:hanging="305"/>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11" w:lineRule="exact"/>
        <w:rPr>
          <w:sz w:val="20"/>
          <w:szCs w:val="20"/>
          <w:color w:val="auto"/>
        </w:rPr>
      </w:pPr>
    </w:p>
    <w:p>
      <w:pPr>
        <w:ind w:left="460" w:hanging="420"/>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983,332 options to purchase shares exercisable within 60 days of December 31, 2003. Excludes 8,600 shares held by the Peter J. Kight and Teresa J. Kight 1995 Children’s Trust, 260,222 shares held by the Kight Family Trust II, and 2,286 shares held by the Tiso Trust of which Mr. Kight has no beneficial ownership.</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162816 10 2</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1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Dated: February 11, 2004</w:t>
            </w:r>
          </w:p>
        </w:tc>
        <w:tc>
          <w:tcPr>
            <w:tcW w:w="2040" w:type="dxa"/>
            <w:vAlign w:val="bottom"/>
          </w:tcPr>
          <w:p>
            <w:pPr>
              <w:spacing w:after="0"/>
              <w:rPr>
                <w:sz w:val="20"/>
                <w:szCs w:val="20"/>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J. Kight</w:t>
            </w:r>
          </w:p>
        </w:tc>
      </w:tr>
      <w:tr>
        <w:trPr>
          <w:trHeight w:val="224"/>
        </w:trPr>
        <w:tc>
          <w:tcPr>
            <w:tcW w:w="34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Peter J. Kight</w:t>
            </w:r>
          </w:p>
        </w:tc>
      </w:tr>
      <w:tr>
        <w:trPr>
          <w:trHeight w:val="823"/>
        </w:trPr>
        <w:tc>
          <w:tcPr>
            <w:tcW w:w="3460" w:type="dxa"/>
            <w:vAlign w:val="bottom"/>
          </w:tcPr>
          <w:p>
            <w:pPr>
              <w:spacing w:after="0"/>
              <w:rPr>
                <w:sz w:val="24"/>
                <w:szCs w:val="24"/>
                <w:color w:val="auto"/>
              </w:rPr>
            </w:pPr>
          </w:p>
        </w:tc>
        <w:tc>
          <w:tcPr>
            <w:tcW w:w="6260" w:type="dxa"/>
            <w:vAlign w:val="bottom"/>
            <w:gridSpan w:val="2"/>
          </w:tcPr>
          <w:p>
            <w:pPr>
              <w:ind w:left="1620"/>
              <w:spacing w:after="0"/>
              <w:rPr>
                <w:sz w:val="20"/>
                <w:szCs w:val="20"/>
                <w:color w:val="auto"/>
              </w:rPr>
            </w:pPr>
            <w:r>
              <w:rPr>
                <w:rFonts w:ascii="Arial" w:cs="Arial" w:eastAsia="Arial" w:hAnsi="Arial"/>
                <w:sz w:val="18"/>
                <w:szCs w:val="18"/>
                <w:color w:val="auto"/>
              </w:rPr>
              <w:t>Page 4 of 4 Pages</w:t>
            </w:r>
          </w:p>
        </w:tc>
      </w:tr>
    </w:tbl>
    <w:p>
      <w:pPr>
        <w:spacing w:after="0" w:line="1" w:lineRule="exact"/>
        <w:rPr>
          <w:sz w:val="20"/>
          <w:szCs w:val="20"/>
          <w:color w:val="auto"/>
        </w:rPr>
      </w:pPr>
    </w:p>
    <w:sectPr>
      <w:pgSz w:w="11900" w:h="16838" w:orient="portrait"/>
      <w:cols w:equalWidth="0" w:num="1">
        <w:col w:w="11280"/>
      </w:cols>
      <w:pgMar w:left="240" w:top="93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1"/>
    </w:lvl>
    <w:lvl w:ilvl="1">
      <w:lvlJc w:val="left"/>
      <w:lvlText w:val="%2."/>
      <w:numFmt w:val="decimal"/>
      <w:start w:val="8"/>
    </w:lvl>
  </w:abstractNum>
  <w:abstractNum w:abstractNumId="3">
    <w:nsid w:val="507ED7AB"/>
    <w:multiLevelType w:val="hybridMultilevel"/>
    <w:lvl w:ilvl="0">
      <w:lvlJc w:val="left"/>
      <w:lvlText w:val="%1."/>
      <w:numFmt w:val="decimal"/>
      <w:start w:val="9"/>
    </w:lvl>
    <w:lvl w:ilvl="1">
      <w:lvlJc w:val="left"/>
      <w:lvlText w:val="%2"/>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2019-12-14T06:05:12Z</dcterms:created>
  <dcterms:modified xsi:type="dcterms:W3CDTF">2019-12-14T06:05:12Z</dcterms:modified>
</cp:coreProperties>
</file>