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Checkfree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162813109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7,212,190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8,950,530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8,950,530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5,184,710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sectPr>
          <w:pgSz w:w="11900" w:h="16838" w:orient="portrait"/>
          <w:cols w:equalWidth="0" w:num="1">
            <w:col w:w="10219"/>
          </w:cols>
          <w:pgMar w:left="240" w:top="339" w:right="1440" w:bottom="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BENEFICIALL</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6,923,060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6,923,060</w:t>
      </w:r>
      <w:r>
        <w:rPr>
          <w:rFonts w:ascii="Courier New" w:cs="Courier New" w:eastAsia="Courier New" w:hAnsi="Courier New"/>
          <w:sz w:val="16"/>
          <w:szCs w:val="16"/>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 BK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Checkfree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740"/>
        <w:spacing w:after="0"/>
        <w:rPr>
          <w:sz w:val="20"/>
          <w:szCs w:val="20"/>
          <w:color w:val="auto"/>
        </w:rPr>
      </w:pPr>
      <w:r>
        <w:rPr>
          <w:rFonts w:ascii="Courier New" w:cs="Courier New" w:eastAsia="Courier New" w:hAnsi="Courier New"/>
          <w:sz w:val="18"/>
          <w:szCs w:val="18"/>
          <w:color w:val="auto"/>
        </w:rPr>
        <w:t>Norcross, GA 30092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162813109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039" w:hanging="535"/>
        <w:spacing w:after="0" w:line="235" w:lineRule="auto"/>
        <w:tabs>
          <w:tab w:leader="none" w:pos="15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spacing w:after="0" w:line="6" w:lineRule="exact"/>
        <w:rPr>
          <w:sz w:val="20"/>
          <w:szCs w:val="20"/>
          <w:color w:val="auto"/>
        </w:rPr>
      </w:pPr>
    </w:p>
    <w:p>
      <w:pPr>
        <w:ind w:left="1280" w:right="3479" w:hanging="535"/>
        <w:spacing w:after="0" w:line="235" w:lineRule="auto"/>
        <w:tabs>
          <w:tab w:leader="none" w:pos="170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ind w:left="740"/>
        <w:spacing w:after="0"/>
        <w:tabs>
          <w:tab w:leader="none" w:pos="1560" w:val="left"/>
          <w:tab w:leader="none" w:pos="242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A parent holding company or control person in</w:t>
      </w:r>
    </w:p>
    <w:p>
      <w:pPr>
        <w:sectPr>
          <w:pgSz w:w="11900" w:h="16838" w:orient="portrait"/>
          <w:cols w:equalWidth="0" w:num="1">
            <w:col w:w="10219"/>
          </w:cols>
          <w:pgMar w:left="240" w:top="136" w:right="1440" w:bottom="0" w:gutter="0" w:footer="0" w:header="0"/>
        </w:sectPr>
      </w:pPr>
    </w:p>
    <w:bookmarkStart w:id="3" w:name="page4"/>
    <w:bookmarkEnd w:id="3"/>
    <w:p>
      <w:pPr>
        <w:ind w:left="1280"/>
        <w:spacing w:after="0"/>
        <w:rPr>
          <w:sz w:val="20"/>
          <w:szCs w:val="20"/>
          <w:color w:val="auto"/>
        </w:rPr>
      </w:pPr>
      <w:r>
        <w:rPr>
          <w:rFonts w:ascii="Courier New" w:cs="Courier New" w:eastAsia="Courier New" w:hAnsi="Courier New"/>
          <w:sz w:val="18"/>
          <w:szCs w:val="18"/>
          <w:color w:val="auto"/>
        </w:rPr>
        <w:t>accordance with section 240.13d-1(b)(1)(ii)(G).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right="2939"/>
        <w:spacing w:after="0" w:line="269"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"beneficially own" 8,950,530 shares or 10.0% of the 89,624,000 shares of Class A Common Stock believed to be outstanding.</w:t>
      </w:r>
    </w:p>
    <w:p>
      <w:pPr>
        <w:spacing w:after="0" w:line="397" w:lineRule="exact"/>
        <w:rPr>
          <w:sz w:val="20"/>
          <w:szCs w:val="20"/>
          <w:color w:val="auto"/>
        </w:rPr>
      </w:pPr>
    </w:p>
    <w:p>
      <w:pPr>
        <w:ind w:left="740" w:right="315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6,923,060 shares or 7.7% of the 89,624,000 shares of Class A Common Stock believed to be outstanding as a result of its serving as the investment manager of various institutional accounts.</w:t>
      </w:r>
    </w:p>
    <w:p>
      <w:pPr>
        <w:spacing w:after="0" w:line="210"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060" w:right="2739" w:hanging="31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an investment adviser registered under Section 203 of the Investment Adviser Act of 1940, and a wholly owned subsidiary of Capital Group International, Inc.</w:t>
      </w:r>
    </w:p>
    <w:p>
      <w:pPr>
        <w:spacing w:after="0" w:line="208" w:lineRule="exact"/>
        <w:rPr>
          <w:rFonts w:ascii="Courier New" w:cs="Courier New" w:eastAsia="Courier New" w:hAnsi="Courier New"/>
          <w:sz w:val="18"/>
          <w:szCs w:val="18"/>
          <w:color w:val="auto"/>
        </w:rPr>
      </w:pPr>
    </w:p>
    <w:p>
      <w:pPr>
        <w:ind w:left="1060" w:right="2939" w:hanging="31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8" w:lineRule="exact"/>
        <w:rPr>
          <w:rFonts w:ascii="Courier New" w:cs="Courier New" w:eastAsia="Courier New" w:hAnsi="Courier New"/>
          <w:sz w:val="18"/>
          <w:szCs w:val="18"/>
          <w:color w:val="auto"/>
        </w:rPr>
      </w:pPr>
    </w:p>
    <w:p>
      <w:pPr>
        <w:ind w:left="1060" w:right="2739" w:hanging="315"/>
        <w:spacing w:after="0" w:line="271"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219"/>
          </w:cols>
          <w:pgMar w:left="240" w:top="136" w:right="1440" w:bottom="0" w:gutter="0" w:footer="0" w:header="0"/>
        </w:sectPr>
      </w:pP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162813109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7</w:t>
      </w:r>
    </w:p>
    <w:p>
      <w:pPr>
        <w:spacing w:after="0" w:line="200" w:lineRule="exact"/>
        <w:rPr>
          <w:sz w:val="20"/>
          <w:szCs w:val="20"/>
          <w:color w:val="auto"/>
        </w:rPr>
      </w:pPr>
    </w:p>
    <w:p>
      <w:pPr>
        <w:sectPr>
          <w:pgSz w:w="11900" w:h="16838" w:orient="portrait"/>
          <w:cols w:equalWidth="0" w:num="2">
            <w:col w:w="6020" w:space="720"/>
            <w:col w:w="347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2004</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2004</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Guardian Trust Company</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Kristine M. Nishiyama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Kristine M. Nishiyama</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10, 2004</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and Capital Guardian Trust Company ("CGTC") hereby agree to file a joint statement on Schedule 13G under the Securities Exchange Act of 1934 (the "Act") in connection with their beneficial ownership of Class A Common Stock issued by Checkfree Corporation.</w:t>
      </w:r>
    </w:p>
    <w:p>
      <w:pPr>
        <w:spacing w:after="0" w:line="209"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8" w:lineRule="exact"/>
        <w:rPr>
          <w:sz w:val="20"/>
          <w:szCs w:val="20"/>
          <w:color w:val="auto"/>
        </w:rPr>
      </w:pPr>
    </w:p>
    <w:p>
      <w:pPr>
        <w:ind w:right="3259" w:firstLine="211"/>
        <w:spacing w:after="0" w:line="290" w:lineRule="auto"/>
        <w:rPr>
          <w:sz w:val="20"/>
          <w:szCs w:val="20"/>
          <w:color w:val="auto"/>
        </w:rPr>
      </w:pPr>
      <w:r>
        <w:rPr>
          <w:rFonts w:ascii="Courier New" w:cs="Courier New" w:eastAsia="Courier New" w:hAnsi="Courier New"/>
          <w:sz w:val="16"/>
          <w:szCs w:val="16"/>
          <w:color w:val="auto"/>
        </w:rPr>
        <w:t>CGII and CGTC are each responsible for the timely filing of the statement and any amendments thereto, and for the completeness and</w:t>
      </w:r>
    </w:p>
    <w:p>
      <w:pPr>
        <w:sectPr>
          <w:pgSz w:w="11900" w:h="16838" w:orient="portrait"/>
          <w:cols w:equalWidth="0" w:num="1">
            <w:col w:w="10219"/>
          </w:cols>
          <w:pgMar w:left="240" w:top="136" w:right="1440" w:bottom="0" w:gutter="0" w:footer="0" w:header="0"/>
          <w:type w:val="continuous"/>
        </w:sectPr>
      </w:pPr>
    </w:p>
    <w:bookmarkStart w:id="5" w:name="page6"/>
    <w:bookmarkEnd w:id="5"/>
    <w:p>
      <w:pPr>
        <w:ind w:right="2939"/>
        <w:spacing w:after="0" w:line="236" w:lineRule="auto"/>
        <w:rPr>
          <w:sz w:val="20"/>
          <w:szCs w:val="20"/>
          <w:color w:val="auto"/>
        </w:rPr>
      </w:pPr>
      <w:r>
        <w:rPr>
          <w:rFonts w:ascii="Courier New" w:cs="Courier New" w:eastAsia="Courier New" w:hAnsi="Courier New"/>
          <w:sz w:val="18"/>
          <w:szCs w:val="18"/>
          <w:color w:val="auto"/>
        </w:rPr>
        <w:t>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238" w:lineRule="auto"/>
        <w:rPr>
          <w:sz w:val="20"/>
          <w:szCs w:val="20"/>
          <w:color w:val="auto"/>
        </w:rPr>
      </w:pPr>
      <w:r>
        <w:rPr>
          <w:rFonts w:ascii="Courier New" w:cs="Courier New" w:eastAsia="Courier New" w:hAnsi="Courier New"/>
          <w:sz w:val="18"/>
          <w:szCs w:val="18"/>
          <w:color w:val="auto"/>
        </w:rPr>
        <w:t>David I. Fisher, Chairman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Capital Group International,</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142" w:right="1440" w:bottom="1440" w:gutter="0" w:footer="0" w:header="0"/>
          <w:type w:val="continuous"/>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CAPITAL GUARDIAN TRUST COMPANY</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I. Fisher, Chairman</w:t>
      </w:r>
    </w:p>
    <w:p>
      <w:pPr>
        <w:spacing w:after="0" w:line="16" w:lineRule="exact"/>
        <w:rPr>
          <w:sz w:val="20"/>
          <w:szCs w:val="20"/>
          <w:color w:val="auto"/>
        </w:rPr>
      </w:pPr>
    </w:p>
    <w:p>
      <w:pPr>
        <w:sectPr>
          <w:pgSz w:w="11900" w:h="16838" w:orient="portrait"/>
          <w:cols w:equalWidth="0" w:num="2">
            <w:col w:w="2860" w:space="720"/>
            <w:col w:w="6639"/>
          </w:cols>
          <w:pgMar w:left="240" w:top="142" w:right="1440" w:bottom="1440" w:gutter="0" w:footer="0" w:header="0"/>
          <w:type w:val="continuous"/>
        </w:sectPr>
      </w:pPr>
    </w:p>
    <w:p>
      <w:pPr>
        <w:jc w:val="center"/>
        <w:ind w:right="-3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Kristine M. Nishiyama</w:t>
      </w:r>
    </w:p>
    <w:p>
      <w:pPr>
        <w:ind w:left="540"/>
        <w:spacing w:after="0" w:line="238" w:lineRule="auto"/>
        <w:rPr>
          <w:sz w:val="20"/>
          <w:szCs w:val="20"/>
          <w:color w:val="auto"/>
        </w:rPr>
      </w:pPr>
      <w:r>
        <w:rPr>
          <w:rFonts w:ascii="Courier New" w:cs="Courier New" w:eastAsia="Courier New" w:hAnsi="Courier New"/>
          <w:sz w:val="18"/>
          <w:szCs w:val="18"/>
          <w:color w:val="auto"/>
        </w:rPr>
        <w:t>Kristine M. Nishiyama</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5"/>
      <w:numFmt w:val="bullet"/>
      <w:start w:val="1"/>
    </w:lvl>
  </w:abstractNum>
  <w:abstractNum w:abstractNumId="5">
    <w:nsid w:val="3352255A"/>
    <w:multiLevelType w:val="hybridMultilevel"/>
    <w:lvl w:ilvl="0">
      <w:lvlJc w:val="left"/>
      <w:lvlText w:val="8"/>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8"/>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2019-12-14T06:02:35Z</dcterms:created>
  <dcterms:modified xsi:type="dcterms:W3CDTF">2019-12-14T06:02:35Z</dcterms:modified>
</cp:coreProperties>
</file>