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322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Chiarello Guy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255 FISERV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FISERV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FISV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01/29/2023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326"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6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BROOKFIELD</w:t>
            </w:r>
          </w:p>
        </w:tc>
        <w:tc>
          <w:tcPr>
            <w:tcW w:w="8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WI</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53045</w:t>
            </w:r>
          </w:p>
        </w:tc>
      </w:tr>
      <w:tr>
        <w:trPr>
          <w:trHeight w:val="155"/>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88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01/29/2023</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5,331</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106.49</w:t>
            </w:r>
          </w:p>
        </w:tc>
        <w:tc>
          <w:tcPr>
            <w:tcW w:w="120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196,292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26,118</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37,381</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payment of tax liability by withholding securities incident to vesting of restricted stock units.</w:t>
      </w:r>
    </w:p>
    <w:p>
      <w:pPr>
        <w:spacing w:after="0" w:line="50" w:lineRule="exact"/>
        <w:rPr>
          <w:rFonts w:ascii="Times New Roman" w:cs="Times New Roman" w:eastAsia="Times New Roman" w:hAnsi="Times New Roman"/>
          <w:sz w:val="13"/>
          <w:szCs w:val="13"/>
          <w:color w:val="008000"/>
        </w:rPr>
      </w:pPr>
    </w:p>
    <w:p>
      <w:pPr>
        <w:ind w:left="40" w:right="5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by The Guy Chiarello 2020 Trust for the benefit of the reporting person's spouse and children and of which the reporting person's spouse serves as trustee and the reporting person serves as investment advisor.</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by The Denise Chiarello 2021 Trust for the benefit of the reporting person and the reporting person's children and of which the reporting person serves as trustee.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Eric C. Nelson (attorney-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01/30/2023</w:t>
            </w:r>
          </w:p>
        </w:tc>
        <w:tc>
          <w:tcPr>
            <w:tcW w:w="0" w:type="dxa"/>
            <w:vAlign w:val="bottom"/>
          </w:tcPr>
          <w:p>
            <w:pPr>
              <w:spacing w:after="0"/>
              <w:rPr>
                <w:sz w:val="1"/>
                <w:szCs w:val="1"/>
                <w:color w:val="auto"/>
              </w:rPr>
            </w:pPr>
          </w:p>
        </w:tc>
      </w:tr>
      <w:tr>
        <w:trPr>
          <w:trHeight w:val="87"/>
        </w:trPr>
        <w:tc>
          <w:tcPr>
            <w:tcW w:w="52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w w:val="99"/>
              </w:rPr>
              <w:t>in-fact)</w:t>
            </w:r>
          </w:p>
        </w:tc>
        <w:tc>
          <w:tcPr>
            <w:tcW w:w="144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20" w:type="dxa"/>
            <w:vAlign w:val="bottom"/>
            <w:tcBorders>
              <w:top w:val="single" w:sz="8" w:color="auto"/>
              <w:bottom w:val="single" w:sz="8" w:color="auto"/>
            </w:tcBorders>
            <w:vMerge w:val="continue"/>
          </w:tcPr>
          <w:p>
            <w:pPr>
              <w:spacing w:after="0"/>
              <w:rPr>
                <w:sz w:val="7"/>
                <w:szCs w:val="7"/>
                <w:color w:val="auto"/>
              </w:rPr>
            </w:pPr>
          </w:p>
        </w:tc>
        <w:tc>
          <w:tcPr>
            <w:tcW w:w="144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54667" TargetMode="External"/><Relationship Id="rId13" Type="http://schemas.openxmlformats.org/officeDocument/2006/relationships/hyperlink" Target="http://www.sec.gov/cgi-bin/browse-edgar?action=getcompany&amp;CIK=00007983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2023-01-30T15:54:50Z</dcterms:created>
  <dcterms:modified xsi:type="dcterms:W3CDTF">2023-01-30T15:54:50Z</dcterms:modified>
</cp:coreProperties>
</file>