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4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Washington, D. C. 20549</w:t>
      </w:r>
    </w:p>
    <w:p>
      <w:pPr>
        <w:spacing w:after="0" w:line="201" w:lineRule="exact"/>
        <w:rPr>
          <w:sz w:val="24"/>
          <w:szCs w:val="24"/>
          <w:color w:val="auto"/>
        </w:rPr>
      </w:pPr>
    </w:p>
    <w:p>
      <w:pPr>
        <w:jc w:val="center"/>
        <w:ind w:right="1559"/>
        <w:spacing w:after="0"/>
        <w:rPr>
          <w:sz w:val="20"/>
          <w:szCs w:val="20"/>
          <w:color w:val="auto"/>
        </w:rPr>
      </w:pPr>
      <w:r>
        <w:rPr>
          <w:rFonts w:ascii="Courier New" w:cs="Courier New" w:eastAsia="Courier New" w:hAnsi="Courier New"/>
          <w:sz w:val="18"/>
          <w:szCs w:val="18"/>
          <w:color w:val="auto"/>
        </w:rPr>
        <w:t>FORM 8</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AMMENDMENT TO APPLICATION OR REPORT</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Pursuant to Section 12, 13 or 15(d) of</w:t>
      </w:r>
    </w:p>
    <w:p>
      <w:pPr>
        <w:ind w:left="2640"/>
        <w:spacing w:after="0" w:line="238" w:lineRule="auto"/>
        <w:rPr>
          <w:sz w:val="20"/>
          <w:szCs w:val="20"/>
          <w:color w:val="auto"/>
        </w:rPr>
      </w:pPr>
      <w:r>
        <w:rPr>
          <w:rFonts w:ascii="Courier New" w:cs="Courier New" w:eastAsia="Courier New" w:hAnsi="Courier New"/>
          <w:sz w:val="18"/>
          <w:szCs w:val="18"/>
          <w:color w:val="auto"/>
        </w:rPr>
        <w:t>the Securities Exchange Act of 1934</w:t>
      </w:r>
    </w:p>
    <w:p>
      <w:pPr>
        <w:spacing w:after="0" w:line="202" w:lineRule="exact"/>
        <w:rPr>
          <w:sz w:val="24"/>
          <w:szCs w:val="24"/>
          <w:color w:val="auto"/>
        </w:rPr>
      </w:pPr>
    </w:p>
    <w:p>
      <w:pPr>
        <w:jc w:val="center"/>
        <w:ind w:right="1359"/>
        <w:spacing w:after="0"/>
        <w:rPr>
          <w:sz w:val="20"/>
          <w:szCs w:val="20"/>
          <w:color w:val="auto"/>
        </w:rPr>
      </w:pPr>
      <w:r>
        <w:rPr>
          <w:rFonts w:ascii="Courier New" w:cs="Courier New" w:eastAsia="Courier New" w:hAnsi="Courier New"/>
          <w:sz w:val="18"/>
          <w:szCs w:val="18"/>
          <w:color w:val="auto"/>
        </w:rPr>
        <w:t>FISERV, INC.</w:t>
      </w:r>
    </w:p>
    <w:p>
      <w:pPr>
        <w:jc w:val="center"/>
        <w:ind w:right="135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p>
      <w:pPr>
        <w:jc w:val="center"/>
        <w:ind w:right="1239"/>
        <w:spacing w:after="0"/>
        <w:rPr>
          <w:sz w:val="20"/>
          <w:szCs w:val="20"/>
          <w:color w:val="auto"/>
        </w:rPr>
      </w:pPr>
      <w:r>
        <w:rPr>
          <w:rFonts w:ascii="Courier New" w:cs="Courier New" w:eastAsia="Courier New" w:hAnsi="Courier New"/>
          <w:sz w:val="18"/>
          <w:szCs w:val="18"/>
          <w:color w:val="auto"/>
        </w:rPr>
        <w:t>AMENDMENT NO. 1</w:t>
      </w:r>
    </w:p>
    <w:p>
      <w:pPr>
        <w:spacing w:after="0" w:line="207" w:lineRule="exact"/>
        <w:rPr>
          <w:sz w:val="24"/>
          <w:szCs w:val="24"/>
          <w:color w:val="auto"/>
        </w:rPr>
      </w:pPr>
    </w:p>
    <w:p>
      <w:pPr>
        <w:jc w:val="both"/>
        <w:ind w:right="1779" w:firstLine="211"/>
        <w:spacing w:after="0" w:line="236" w:lineRule="auto"/>
        <w:rPr>
          <w:sz w:val="20"/>
          <w:szCs w:val="20"/>
          <w:color w:val="auto"/>
        </w:rPr>
      </w:pPr>
      <w:r>
        <w:rPr>
          <w:rFonts w:ascii="Courier New" w:cs="Courier New" w:eastAsia="Courier New" w:hAnsi="Courier New"/>
          <w:sz w:val="18"/>
          <w:szCs w:val="18"/>
          <w:color w:val="auto"/>
        </w:rPr>
        <w:t>The undersigned registrant hereby amends the following items, financial statements, exhibits or other portions of its Current Report on Form 8-K dated June 13, 1997 as set forth in the pages attached hereto:</w:t>
      </w:r>
    </w:p>
    <w:p>
      <w:pPr>
        <w:spacing w:after="0" w:line="209" w:lineRule="exact"/>
        <w:rPr>
          <w:sz w:val="24"/>
          <w:szCs w:val="24"/>
          <w:color w:val="auto"/>
        </w:rPr>
      </w:pPr>
    </w:p>
    <w:p>
      <w:pPr>
        <w:ind w:left="1480" w:right="1999" w:hanging="1263"/>
        <w:spacing w:after="0" w:line="235" w:lineRule="auto"/>
        <w:tabs>
          <w:tab w:leader="none" w:pos="1460" w:val="left"/>
        </w:tabs>
        <w:rPr>
          <w:sz w:val="20"/>
          <w:szCs w:val="20"/>
          <w:color w:val="auto"/>
        </w:rPr>
      </w:pPr>
      <w:r>
        <w:rPr>
          <w:rFonts w:ascii="Courier New" w:cs="Courier New" w:eastAsia="Courier New" w:hAnsi="Courier New"/>
          <w:sz w:val="18"/>
          <w:szCs w:val="18"/>
          <w:color w:val="auto"/>
        </w:rPr>
        <w:t>Item 7 (b)</w:t>
        <w:tab/>
        <w:t>Pro forma condensed consolidated financial statements of Fiserv, Inc. and BHC Financial, Inc.:</w:t>
      </w:r>
    </w:p>
    <w:p>
      <w:pPr>
        <w:spacing w:after="0" w:line="208" w:lineRule="exact"/>
        <w:rPr>
          <w:sz w:val="24"/>
          <w:szCs w:val="24"/>
          <w:color w:val="auto"/>
        </w:rPr>
      </w:pPr>
    </w:p>
    <w:p>
      <w:pPr>
        <w:ind w:left="1480"/>
        <w:spacing w:after="0"/>
        <w:rPr>
          <w:sz w:val="20"/>
          <w:szCs w:val="20"/>
          <w:color w:val="auto"/>
        </w:rPr>
      </w:pPr>
      <w:r>
        <w:rPr>
          <w:rFonts w:ascii="Courier New" w:cs="Courier New" w:eastAsia="Courier New" w:hAnsi="Courier New"/>
          <w:sz w:val="16"/>
          <w:szCs w:val="16"/>
          <w:color w:val="auto"/>
        </w:rPr>
        <w:t>Pro Forma Condensed Consolidated Balance Sheets as of December 31,</w:t>
      </w:r>
    </w:p>
    <w:p>
      <w:pPr>
        <w:spacing w:after="0" w:line="16" w:lineRule="exact"/>
        <w:rPr>
          <w:sz w:val="24"/>
          <w:szCs w:val="24"/>
          <w:color w:val="auto"/>
        </w:rPr>
      </w:pPr>
    </w:p>
    <w:p>
      <w:pPr>
        <w:ind w:left="1480"/>
        <w:spacing w:after="0"/>
        <w:tabs>
          <w:tab w:leader="none" w:pos="2100" w:val="left"/>
          <w:tab w:leader="none" w:pos="2620" w:val="left"/>
          <w:tab w:leader="none" w:pos="3360" w:val="left"/>
          <w:tab w:leader="none" w:pos="3880" w:val="left"/>
        </w:tabs>
        <w:rPr>
          <w:sz w:val="20"/>
          <w:szCs w:val="20"/>
          <w:color w:val="auto"/>
        </w:rPr>
      </w:pPr>
      <w:r>
        <w:rPr>
          <w:rFonts w:ascii="Courier New" w:cs="Courier New" w:eastAsia="Courier New" w:hAnsi="Courier New"/>
          <w:sz w:val="18"/>
          <w:szCs w:val="18"/>
          <w:color w:val="auto"/>
        </w:rPr>
        <w:t>1996</w:t>
        <w:tab/>
        <w:t>and</w:t>
        <w:tab/>
        <w:t>March</w:t>
        <w:tab/>
        <w:t>31,</w:t>
      </w:r>
      <w:r>
        <w:rPr>
          <w:sz w:val="20"/>
          <w:szCs w:val="20"/>
          <w:color w:val="auto"/>
        </w:rPr>
        <w:tab/>
      </w:r>
      <w:r>
        <w:rPr>
          <w:rFonts w:ascii="Courier New" w:cs="Courier New" w:eastAsia="Courier New" w:hAnsi="Courier New"/>
          <w:sz w:val="16"/>
          <w:szCs w:val="16"/>
          <w:color w:val="auto"/>
        </w:rPr>
        <w:t>1997</w:t>
      </w:r>
    </w:p>
    <w:p>
      <w:pPr>
        <w:ind w:left="1480"/>
        <w:spacing w:after="0"/>
        <w:tabs>
          <w:tab w:leader="none" w:pos="1980" w:val="left"/>
          <w:tab w:leader="none" w:pos="2840" w:val="left"/>
          <w:tab w:leader="none" w:pos="4100" w:val="left"/>
        </w:tabs>
        <w:rPr>
          <w:sz w:val="20"/>
          <w:szCs w:val="20"/>
          <w:color w:val="auto"/>
        </w:rPr>
      </w:pPr>
      <w:r>
        <w:rPr>
          <w:rFonts w:ascii="Courier New" w:cs="Courier New" w:eastAsia="Courier New" w:hAnsi="Courier New"/>
          <w:sz w:val="18"/>
          <w:szCs w:val="18"/>
          <w:color w:val="auto"/>
        </w:rPr>
        <w:t>Pro</w:t>
        <w:tab/>
        <w:t>Forma</w:t>
      </w:r>
      <w:r>
        <w:rPr>
          <w:sz w:val="20"/>
          <w:szCs w:val="20"/>
          <w:color w:val="auto"/>
        </w:rPr>
        <w:tab/>
      </w:r>
      <w:r>
        <w:rPr>
          <w:rFonts w:ascii="Courier New" w:cs="Courier New" w:eastAsia="Courier New" w:hAnsi="Courier New"/>
          <w:sz w:val="18"/>
          <w:szCs w:val="18"/>
          <w:color w:val="auto"/>
        </w:rPr>
        <w:t>Condensed</w:t>
      </w:r>
      <w:r>
        <w:rPr>
          <w:sz w:val="20"/>
          <w:szCs w:val="20"/>
          <w:color w:val="auto"/>
        </w:rPr>
        <w:tab/>
      </w:r>
      <w:r>
        <w:rPr>
          <w:rFonts w:ascii="Courier New" w:cs="Courier New" w:eastAsia="Courier New" w:hAnsi="Courier New"/>
          <w:sz w:val="16"/>
          <w:szCs w:val="16"/>
          <w:color w:val="auto"/>
        </w:rPr>
        <w:t>Consolidated Statements of Income for the</w:t>
      </w:r>
    </w:p>
    <w:p>
      <w:pPr>
        <w:spacing w:after="0" w:line="5" w:lineRule="exact"/>
        <w:rPr>
          <w:sz w:val="24"/>
          <w:szCs w:val="24"/>
          <w:color w:val="auto"/>
        </w:rPr>
      </w:pPr>
    </w:p>
    <w:p>
      <w:pPr>
        <w:ind w:left="1480" w:right="2099"/>
        <w:spacing w:after="0" w:line="235" w:lineRule="auto"/>
        <w:rPr>
          <w:sz w:val="20"/>
          <w:szCs w:val="20"/>
          <w:color w:val="auto"/>
        </w:rPr>
      </w:pPr>
      <w:r>
        <w:rPr>
          <w:rFonts w:ascii="Courier New" w:cs="Courier New" w:eastAsia="Courier New" w:hAnsi="Courier New"/>
          <w:sz w:val="18"/>
          <w:szCs w:val="18"/>
          <w:color w:val="auto"/>
        </w:rPr>
        <w:t>year ended December 31, 1996 and the three month periods ended March 31, 1997 and 1996</w:t>
      </w:r>
    </w:p>
    <w:p>
      <w:pPr>
        <w:ind w:left="1480"/>
        <w:spacing w:after="0"/>
        <w:rPr>
          <w:sz w:val="20"/>
          <w:szCs w:val="20"/>
          <w:color w:val="auto"/>
        </w:rPr>
      </w:pPr>
      <w:r>
        <w:rPr>
          <w:rFonts w:ascii="Courier New" w:cs="Courier New" w:eastAsia="Courier New" w:hAnsi="Courier New"/>
          <w:sz w:val="18"/>
          <w:szCs w:val="18"/>
          <w:color w:val="auto"/>
        </w:rPr>
        <w:t>Notes to Pro Forma Condensed Consolidated Financial Statements</w:t>
      </w:r>
    </w:p>
    <w:p>
      <w:pPr>
        <w:spacing w:after="0" w:line="200" w:lineRule="exact"/>
        <w:rPr>
          <w:sz w:val="24"/>
          <w:szCs w:val="24"/>
          <w:color w:val="auto"/>
        </w:rPr>
      </w:pPr>
    </w:p>
    <w:p>
      <w:pPr>
        <w:spacing w:after="0" w:line="209" w:lineRule="exact"/>
        <w:rPr>
          <w:sz w:val="24"/>
          <w:szCs w:val="24"/>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FISERV, INC.</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(Registrant)</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By /S/ EDWARD P. ALBERTS</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EDWARD P. ALBERTS</w:t>
      </w:r>
    </w:p>
    <w:p>
      <w:pPr>
        <w:ind w:left="3380"/>
        <w:spacing w:after="0" w:line="237" w:lineRule="auto"/>
        <w:rPr>
          <w:sz w:val="20"/>
          <w:szCs w:val="20"/>
          <w:color w:val="auto"/>
        </w:rPr>
      </w:pPr>
      <w:r>
        <w:rPr>
          <w:rFonts w:ascii="Courier New" w:cs="Courier New" w:eastAsia="Courier New" w:hAnsi="Courier New"/>
          <w:sz w:val="18"/>
          <w:szCs w:val="18"/>
          <w:color w:val="auto"/>
        </w:rPr>
        <w:t>Senior Vice President - Finance</w:t>
      </w:r>
    </w:p>
    <w:p>
      <w:pPr>
        <w:spacing w:after="0" w:line="202" w:lineRule="exact"/>
        <w:rPr>
          <w:sz w:val="24"/>
          <w:szCs w:val="24"/>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June 25, 1997</w:t>
      </w:r>
    </w:p>
    <w:p>
      <w:pPr>
        <w:spacing w:after="0" w:line="200" w:lineRule="exact"/>
        <w:rPr>
          <w:sz w:val="24"/>
          <w:szCs w:val="24"/>
          <w:color w:val="auto"/>
        </w:rPr>
      </w:pPr>
    </w:p>
    <w:p>
      <w:pPr>
        <w:spacing w:after="0" w:line="379"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Description of Pro Forma Condensed Consolidated</w:t>
      </w:r>
    </w:p>
    <w:p>
      <w:pPr>
        <w:ind w:left="2740"/>
        <w:spacing w:after="0" w:line="238" w:lineRule="auto"/>
        <w:rPr>
          <w:sz w:val="20"/>
          <w:szCs w:val="20"/>
          <w:color w:val="auto"/>
        </w:rPr>
      </w:pPr>
      <w:r>
        <w:rPr>
          <w:rFonts w:ascii="Courier New" w:cs="Courier New" w:eastAsia="Courier New" w:hAnsi="Courier New"/>
          <w:sz w:val="18"/>
          <w:szCs w:val="18"/>
          <w:color w:val="auto"/>
        </w:rPr>
        <w:t>Financial Statements (Unaudited)</w:t>
      </w:r>
    </w:p>
    <w:p>
      <w:pPr>
        <w:spacing w:after="0" w:line="207" w:lineRule="exact"/>
        <w:rPr>
          <w:sz w:val="24"/>
          <w:szCs w:val="24"/>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On May 30, 1997, the Registrant (Fiserv) acquired all of the outstanding common stock of BHC Financial, Inc., a Delaware corporation (BHC), in exchange for 5,683,769 shares of Common Stock, $.01 par value, of the Registrant.</w:t>
      </w:r>
    </w:p>
    <w:p>
      <w:pPr>
        <w:spacing w:after="0" w:line="209"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following unaudited pro forma condensed consolidated balance sheets combine the condensed consolidated balance sheets of Fiserv and BHC as of December 31, 1996 and March 31, 1997. The following unaudited condensed consolidated statements of income combine the condensed consolidated statements of income of Fiserv and BHC for the year ended December 31, 1996 and the three month periods ended March 31, 1997 and 1996. The pro forma information is based on the historical financial statements of Fiserv and BHC, giving effect to the transaction under the pooling of interests method of accounting, and the assumptions and adjustments in the accompanying notes to the pro forma condensed consolidated financial statements.</w:t>
      </w:r>
    </w:p>
    <w:p>
      <w:pPr>
        <w:spacing w:after="0" w:line="215"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pro forma condensed consolidated balance sheet as of December 31, 1996 and the pro forma condensed consolidated statement of income for the year then ended have been prepared by Fiserv management based upon the audited financial statements of Fiserv and BHC for that year.</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pro forma condensed consolidated statements of income are not necessarily indicative of the results that actually would have occurred if the acquisition had occurred at the beginning of the period indicated or which may be obtained in the future. The pro forma financial statements should be read in conjuction with the audited financial statements of Fiserv for the year ended December 31, 1996, as included in its Form 10-K for that year, and in conjunction with the audited financial statements of BHC for the year ended December 31, 1996, included in its Form 10-K for that year.</w:t>
      </w:r>
    </w:p>
    <w:p>
      <w:pPr>
        <w:sectPr>
          <w:pgSz w:w="11900" w:h="16838" w:orient="portrait"/>
          <w:cols w:equalWidth="0" w:num="1">
            <w:col w:w="10219"/>
          </w:cols>
          <w:pgMar w:left="240" w:top="649"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5060" w:type="dxa"/>
            <w:vAlign w:val="bottom"/>
          </w:tcPr>
          <w:p>
            <w:pPr>
              <w:spacing w:after="0"/>
              <w:rPr>
                <w:sz w:val="20"/>
                <w:szCs w:val="20"/>
                <w:color w:val="auto"/>
              </w:rPr>
            </w:pPr>
            <w:r>
              <w:rPr>
                <w:rFonts w:ascii="Courier New" w:cs="Courier New" w:eastAsia="Courier New" w:hAnsi="Courier New"/>
                <w:sz w:val="18"/>
                <w:szCs w:val="18"/>
                <w:color w:val="auto"/>
                <w:w w:val="99"/>
              </w:rPr>
              <w:t>Pro Forma Condensed Consolidated Balance Sheets</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(Unaudited)</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December 31, 1996</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Fiserv</w:t>
            </w:r>
          </w:p>
        </w:tc>
        <w:tc>
          <w:tcPr>
            <w:tcW w:w="14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BHC</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Adjustments</w:t>
            </w:r>
          </w:p>
        </w:tc>
        <w:tc>
          <w:tcPr>
            <w:tcW w:w="64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Combined</w:t>
            </w:r>
          </w:p>
        </w:tc>
      </w:tr>
      <w:tr>
        <w:trPr>
          <w:trHeight w:val="608"/>
        </w:trPr>
        <w:tc>
          <w:tcPr>
            <w:tcW w:w="506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1420" w:type="dxa"/>
            <w:vAlign w:val="bottom"/>
          </w:tcPr>
          <w:p>
            <w:pPr>
              <w:spacing w:after="0"/>
              <w:rPr>
                <w:sz w:val="24"/>
                <w:szCs w:val="24"/>
                <w:color w:val="auto"/>
              </w:rPr>
            </w:pPr>
          </w:p>
        </w:tc>
        <w:tc>
          <w:tcPr>
            <w:tcW w:w="280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(In thousands)</w:t>
            </w:r>
          </w:p>
        </w:tc>
        <w:tc>
          <w:tcPr>
            <w:tcW w:w="6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Cash and cash equivalents</w:t>
            </w: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$80,833</w:t>
            </w:r>
          </w:p>
        </w:tc>
        <w:tc>
          <w:tcPr>
            <w:tcW w:w="142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$15,288</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$5,435</w:t>
            </w:r>
          </w:p>
        </w:tc>
        <w:tc>
          <w:tcPr>
            <w:tcW w:w="64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1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$101,556</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160,747</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493,635</w:t>
            </w:r>
          </w:p>
        </w:tc>
        <w:tc>
          <w:tcPr>
            <w:tcW w:w="1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654,382</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Receivable from brokers or dealers</w:t>
            </w:r>
          </w:p>
        </w:tc>
        <w:tc>
          <w:tcPr>
            <w:tcW w:w="1420" w:type="dxa"/>
            <w:vAlign w:val="bottom"/>
          </w:tcPr>
          <w:p>
            <w:pPr>
              <w:spacing w:after="0"/>
              <w:rPr>
                <w:sz w:val="17"/>
                <w:szCs w:val="17"/>
                <w:color w:val="auto"/>
              </w:rPr>
            </w:pP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227,199</w:t>
            </w:r>
          </w:p>
        </w:tc>
        <w:tc>
          <w:tcPr>
            <w:tcW w:w="1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227,199</w:t>
            </w: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clearing organizations</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 and other assets</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54,354</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23,045</w:t>
            </w:r>
          </w:p>
        </w:tc>
        <w:tc>
          <w:tcPr>
            <w:tcW w:w="1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77,399</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Trust account investments</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970,553</w:t>
            </w: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970,553</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investments</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53,556</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16,988</w:t>
            </w:r>
          </w:p>
        </w:tc>
        <w:tc>
          <w:tcPr>
            <w:tcW w:w="1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70,544</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32,083</w:t>
            </w: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32,083</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and equipment-Net</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143,661</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4,752</w:t>
            </w:r>
          </w:p>
        </w:tc>
        <w:tc>
          <w:tcPr>
            <w:tcW w:w="1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148,413</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Internally generated computer software-Net</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70,487</w:t>
            </w: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70,487</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Identifiable intangible assets relating</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5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 acquisitions-Net</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50,156</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4,392</w:t>
            </w:r>
          </w:p>
        </w:tc>
        <w:tc>
          <w:tcPr>
            <w:tcW w:w="1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54,548</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Goodwill-Net</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292,089</w:t>
            </w: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292,089</w:t>
            </w:r>
          </w:p>
        </w:tc>
      </w:tr>
      <w:tr>
        <w:trPr>
          <w:trHeight w:val="203"/>
        </w:trPr>
        <w:tc>
          <w:tcPr>
            <w:tcW w:w="5060" w:type="dxa"/>
            <w:vAlign w:val="bottom"/>
          </w:tcPr>
          <w:p>
            <w:pPr>
              <w:spacing w:after="0"/>
              <w:rPr>
                <w:sz w:val="17"/>
                <w:szCs w:val="17"/>
                <w:color w:val="auto"/>
              </w:rPr>
            </w:pPr>
          </w:p>
        </w:tc>
        <w:tc>
          <w:tcPr>
            <w:tcW w:w="6220" w:type="dxa"/>
            <w:vAlign w:val="bottom"/>
            <w:gridSpan w:val="5"/>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$1,908,519</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$785,299</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$5,435</w:t>
            </w:r>
          </w:p>
        </w:tc>
        <w:tc>
          <w:tcPr>
            <w:tcW w:w="64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$2,699,253</w:t>
            </w:r>
          </w:p>
        </w:tc>
      </w:tr>
      <w:tr>
        <w:trPr>
          <w:trHeight w:val="203"/>
        </w:trPr>
        <w:tc>
          <w:tcPr>
            <w:tcW w:w="5060" w:type="dxa"/>
            <w:vAlign w:val="bottom"/>
          </w:tcPr>
          <w:p>
            <w:pPr>
              <w:spacing w:after="0"/>
              <w:rPr>
                <w:sz w:val="17"/>
                <w:szCs w:val="17"/>
                <w:color w:val="auto"/>
              </w:rPr>
            </w:pPr>
          </w:p>
        </w:tc>
        <w:tc>
          <w:tcPr>
            <w:tcW w:w="6220" w:type="dxa"/>
            <w:vAlign w:val="bottom"/>
            <w:gridSpan w:val="5"/>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Liabilities and shareholders' equity</w:t>
            </w: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Short-term bank loans payable</w:t>
            </w:r>
          </w:p>
        </w:tc>
        <w:tc>
          <w:tcPr>
            <w:tcW w:w="1420" w:type="dxa"/>
            <w:vAlign w:val="bottom"/>
          </w:tcPr>
          <w:p>
            <w:pPr>
              <w:spacing w:after="0"/>
              <w:rPr>
                <w:sz w:val="24"/>
                <w:szCs w:val="24"/>
                <w:color w:val="auto"/>
              </w:rPr>
            </w:pPr>
          </w:p>
        </w:tc>
        <w:tc>
          <w:tcPr>
            <w:tcW w:w="142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$33,200</w:t>
            </w:r>
          </w:p>
        </w:tc>
        <w:tc>
          <w:tcPr>
            <w:tcW w:w="1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$33,200</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Payable to brokers or dealers</w:t>
            </w:r>
          </w:p>
        </w:tc>
        <w:tc>
          <w:tcPr>
            <w:tcW w:w="1420" w:type="dxa"/>
            <w:vAlign w:val="bottom"/>
          </w:tcPr>
          <w:p>
            <w:pPr>
              <w:spacing w:after="0"/>
              <w:rPr>
                <w:sz w:val="17"/>
                <w:szCs w:val="17"/>
                <w:color w:val="auto"/>
              </w:rPr>
            </w:pP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230,975</w:t>
            </w:r>
          </w:p>
        </w:tc>
        <w:tc>
          <w:tcPr>
            <w:tcW w:w="1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230,975</w:t>
            </w: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clearing organizations</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Payable to customers</w:t>
            </w:r>
          </w:p>
        </w:tc>
        <w:tc>
          <w:tcPr>
            <w:tcW w:w="1420" w:type="dxa"/>
            <w:vAlign w:val="bottom"/>
          </w:tcPr>
          <w:p>
            <w:pPr>
              <w:spacing w:after="0"/>
              <w:rPr>
                <w:sz w:val="17"/>
                <w:szCs w:val="17"/>
                <w:color w:val="auto"/>
              </w:rPr>
            </w:pP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366,421</w:t>
            </w:r>
          </w:p>
        </w:tc>
        <w:tc>
          <w:tcPr>
            <w:tcW w:w="1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366,421</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payable</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$43,486</w:t>
            </w: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43,486</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expenses</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60,747</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61,236</w:t>
            </w:r>
          </w:p>
        </w:tc>
        <w:tc>
          <w:tcPr>
            <w:tcW w:w="1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121,983</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income taxes</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7,510</w:t>
            </w: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7,510</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revenues</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46,089</w:t>
            </w: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46,089</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Trust account deposits</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970,553</w:t>
            </w: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970,553</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271,502</w:t>
            </w: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271,502</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obligations</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1,362</w:t>
            </w: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1,362</w:t>
            </w:r>
          </w:p>
        </w:tc>
      </w:tr>
      <w:tr>
        <w:trPr>
          <w:trHeight w:val="203"/>
        </w:trPr>
        <w:tc>
          <w:tcPr>
            <w:tcW w:w="5060" w:type="dxa"/>
            <w:vAlign w:val="bottom"/>
          </w:tcPr>
          <w:p>
            <w:pPr>
              <w:spacing w:after="0"/>
              <w:rPr>
                <w:sz w:val="17"/>
                <w:szCs w:val="17"/>
                <w:color w:val="auto"/>
              </w:rPr>
            </w:pPr>
          </w:p>
        </w:tc>
        <w:tc>
          <w:tcPr>
            <w:tcW w:w="6220" w:type="dxa"/>
            <w:vAlign w:val="bottom"/>
            <w:gridSpan w:val="5"/>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1,401,249</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691,832</w:t>
            </w:r>
          </w:p>
        </w:tc>
        <w:tc>
          <w:tcPr>
            <w:tcW w:w="1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2,093,081</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 outstanding</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453</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49</w:t>
            </w:r>
          </w:p>
        </w:tc>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(A)</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510</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323,268</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39,582</w:t>
            </w:r>
          </w:p>
        </w:tc>
        <w:tc>
          <w:tcPr>
            <w:tcW w:w="20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(10,040) (A,B)</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352,810</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Unrealized gain on investments</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18,621</w:t>
            </w: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18,621</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earnings</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164,928</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69,303</w:t>
            </w:r>
          </w:p>
        </w:tc>
        <w:tc>
          <w:tcPr>
            <w:tcW w:w="1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234,231</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Treasury stock at cost</w:t>
            </w:r>
          </w:p>
        </w:tc>
        <w:tc>
          <w:tcPr>
            <w:tcW w:w="1420" w:type="dxa"/>
            <w:vAlign w:val="bottom"/>
          </w:tcPr>
          <w:p>
            <w:pPr>
              <w:spacing w:after="0"/>
              <w:rPr>
                <w:sz w:val="17"/>
                <w:szCs w:val="17"/>
                <w:color w:val="auto"/>
              </w:rPr>
            </w:pP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(15,426)</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15,426</w:t>
            </w:r>
          </w:p>
        </w:tc>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(B)</w:t>
            </w:r>
          </w:p>
        </w:tc>
        <w:tc>
          <w:tcPr>
            <w:tcW w:w="1360" w:type="dxa"/>
            <w:vAlign w:val="bottom"/>
          </w:tcPr>
          <w:p>
            <w:pPr>
              <w:spacing w:after="0"/>
              <w:rPr>
                <w:sz w:val="17"/>
                <w:szCs w:val="17"/>
                <w:color w:val="auto"/>
              </w:rPr>
            </w:pPr>
          </w:p>
        </w:tc>
      </w:tr>
      <w:tr>
        <w:trPr>
          <w:trHeight w:val="203"/>
        </w:trPr>
        <w:tc>
          <w:tcPr>
            <w:tcW w:w="5060" w:type="dxa"/>
            <w:vAlign w:val="bottom"/>
          </w:tcPr>
          <w:p>
            <w:pPr>
              <w:spacing w:after="0"/>
              <w:rPr>
                <w:sz w:val="17"/>
                <w:szCs w:val="17"/>
                <w:color w:val="auto"/>
              </w:rPr>
            </w:pPr>
          </w:p>
        </w:tc>
        <w:tc>
          <w:tcPr>
            <w:tcW w:w="6220" w:type="dxa"/>
            <w:vAlign w:val="bottom"/>
            <w:gridSpan w:val="5"/>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shareholders' equity</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507,270</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93,467</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5,435</w:t>
            </w:r>
          </w:p>
        </w:tc>
        <w:tc>
          <w:tcPr>
            <w:tcW w:w="64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606,172</w:t>
            </w:r>
          </w:p>
        </w:tc>
      </w:tr>
      <w:tr>
        <w:trPr>
          <w:trHeight w:val="203"/>
        </w:trPr>
        <w:tc>
          <w:tcPr>
            <w:tcW w:w="5060" w:type="dxa"/>
            <w:vAlign w:val="bottom"/>
          </w:tcPr>
          <w:p>
            <w:pPr>
              <w:spacing w:after="0"/>
              <w:rPr>
                <w:sz w:val="17"/>
                <w:szCs w:val="17"/>
                <w:color w:val="auto"/>
              </w:rPr>
            </w:pPr>
          </w:p>
        </w:tc>
        <w:tc>
          <w:tcPr>
            <w:tcW w:w="6220" w:type="dxa"/>
            <w:vAlign w:val="bottom"/>
            <w:gridSpan w:val="5"/>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$1,908,519</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$785,299</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$5,435</w:t>
            </w:r>
          </w:p>
        </w:tc>
        <w:tc>
          <w:tcPr>
            <w:tcW w:w="64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$2,699,253</w:t>
            </w:r>
          </w:p>
        </w:tc>
      </w:tr>
      <w:tr>
        <w:trPr>
          <w:trHeight w:val="203"/>
        </w:trPr>
        <w:tc>
          <w:tcPr>
            <w:tcW w:w="5060" w:type="dxa"/>
            <w:vAlign w:val="bottom"/>
          </w:tcPr>
          <w:p>
            <w:pPr>
              <w:spacing w:after="0"/>
              <w:rPr>
                <w:sz w:val="17"/>
                <w:szCs w:val="17"/>
                <w:color w:val="auto"/>
              </w:rPr>
            </w:pPr>
          </w:p>
        </w:tc>
        <w:tc>
          <w:tcPr>
            <w:tcW w:w="6220" w:type="dxa"/>
            <w:vAlign w:val="bottom"/>
            <w:gridSpan w:val="5"/>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notes to pro forma condensed consolidated financial statements</w:t>
      </w:r>
    </w:p>
    <w:p>
      <w:pPr>
        <w:sectPr>
          <w:pgSz w:w="11900" w:h="16838" w:orient="portrait"/>
          <w:cols w:equalWidth="0" w:num="1">
            <w:col w:w="11280"/>
          </w:cols>
          <w:pgMar w:left="240" w:top="717"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5060" w:type="dxa"/>
            <w:vAlign w:val="bottom"/>
          </w:tcPr>
          <w:p>
            <w:pPr>
              <w:spacing w:after="0"/>
              <w:rPr>
                <w:sz w:val="20"/>
                <w:szCs w:val="20"/>
                <w:color w:val="auto"/>
              </w:rPr>
            </w:pPr>
            <w:r>
              <w:rPr>
                <w:rFonts w:ascii="Courier New" w:cs="Courier New" w:eastAsia="Courier New" w:hAnsi="Courier New"/>
                <w:sz w:val="18"/>
                <w:szCs w:val="18"/>
                <w:color w:val="auto"/>
                <w:w w:val="99"/>
              </w:rPr>
              <w:t>Pro Forma Condensed Consolidated Balance Sheets</w:t>
            </w: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(Unaudited)</w:t>
            </w: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March 31, 1997</w:t>
            </w: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Fiserv</w:t>
            </w:r>
          </w:p>
        </w:tc>
        <w:tc>
          <w:tcPr>
            <w:tcW w:w="148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BHC</w:t>
            </w:r>
          </w:p>
        </w:tc>
        <w:tc>
          <w:tcPr>
            <w:tcW w:w="18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Adjustments</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Combined</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1420" w:type="dxa"/>
            <w:vAlign w:val="bottom"/>
          </w:tcPr>
          <w:p>
            <w:pPr>
              <w:spacing w:after="0"/>
              <w:rPr>
                <w:sz w:val="24"/>
                <w:szCs w:val="24"/>
                <w:color w:val="auto"/>
              </w:rPr>
            </w:pPr>
          </w:p>
        </w:tc>
        <w:tc>
          <w:tcPr>
            <w:tcW w:w="2640" w:type="dxa"/>
            <w:vAlign w:val="bottom"/>
            <w:gridSpan w:val="2"/>
          </w:tcPr>
          <w:p>
            <w:pPr>
              <w:jc w:val="right"/>
              <w:ind w:right="272"/>
              <w:spacing w:after="0"/>
              <w:rPr>
                <w:sz w:val="20"/>
                <w:szCs w:val="20"/>
                <w:color w:val="auto"/>
              </w:rPr>
            </w:pPr>
            <w:r>
              <w:rPr>
                <w:rFonts w:ascii="Courier New" w:cs="Courier New" w:eastAsia="Courier New" w:hAnsi="Courier New"/>
                <w:sz w:val="18"/>
                <w:szCs w:val="18"/>
                <w:color w:val="auto"/>
              </w:rPr>
              <w:t>(In thousands)</w:t>
            </w: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Cash and cash equivalents</w:t>
            </w: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$41,762</w:t>
            </w:r>
          </w:p>
        </w:tc>
        <w:tc>
          <w:tcPr>
            <w:tcW w:w="14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$21,880</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$5,435</w:t>
            </w:r>
          </w:p>
        </w:tc>
        <w:tc>
          <w:tcPr>
            <w:tcW w:w="680" w:type="dxa"/>
            <w:vAlign w:val="bottom"/>
          </w:tcPr>
          <w:p>
            <w:pPr>
              <w:ind w:left="160"/>
              <w:spacing w:after="0"/>
              <w:rPr>
                <w:sz w:val="20"/>
                <w:szCs w:val="20"/>
                <w:color w:val="auto"/>
              </w:rPr>
            </w:pPr>
            <w:r>
              <w:rPr>
                <w:rFonts w:ascii="Courier New" w:cs="Courier New" w:eastAsia="Courier New" w:hAnsi="Courier New"/>
                <w:sz w:val="18"/>
                <w:szCs w:val="18"/>
                <w:color w:val="auto"/>
              </w:rPr>
              <w:t>(B)</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$69,077</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180,236</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502,671</w:t>
            </w: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682,907</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Receivable from brokers or dealers</w:t>
            </w:r>
          </w:p>
        </w:tc>
        <w:tc>
          <w:tcPr>
            <w:tcW w:w="1420" w:type="dxa"/>
            <w:vAlign w:val="bottom"/>
          </w:tcPr>
          <w:p>
            <w:pPr>
              <w:spacing w:after="0"/>
              <w:rPr>
                <w:sz w:val="17"/>
                <w:szCs w:val="17"/>
                <w:color w:val="auto"/>
              </w:rPr>
            </w:pP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295,324</w:t>
            </w: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295,324</w:t>
            </w: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clearing organizations</w:t>
            </w: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 and other assets</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57,510</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18,376</w:t>
            </w: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75,886</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Trust account investments</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1,135,577</w:t>
            </w:r>
          </w:p>
        </w:tc>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1,135,577</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investments</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108,462</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24,285</w:t>
            </w: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132,747</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30,391</w:t>
            </w:r>
          </w:p>
        </w:tc>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30,391</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and equipment-Net</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146,843</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4,431</w:t>
            </w: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151,274</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Internally generated computer software-Net</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71,438</w:t>
            </w:r>
          </w:p>
        </w:tc>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71,438</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Identifiable intangible assets relating</w:t>
            </w: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 acquisitions-Net</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48,145</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4,290</w:t>
            </w: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52,435</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Goodwill-Net</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290,195</w:t>
            </w:r>
          </w:p>
        </w:tc>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290,195</w:t>
            </w:r>
          </w:p>
        </w:tc>
      </w:tr>
      <w:tr>
        <w:trPr>
          <w:trHeight w:val="203"/>
        </w:trPr>
        <w:tc>
          <w:tcPr>
            <w:tcW w:w="5060" w:type="dxa"/>
            <w:vAlign w:val="bottom"/>
          </w:tcPr>
          <w:p>
            <w:pPr>
              <w:spacing w:after="0"/>
              <w:rPr>
                <w:sz w:val="17"/>
                <w:szCs w:val="17"/>
                <w:color w:val="auto"/>
              </w:rPr>
            </w:pPr>
          </w:p>
        </w:tc>
        <w:tc>
          <w:tcPr>
            <w:tcW w:w="59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$2,110,559</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$871,257</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$5,435</w:t>
            </w:r>
          </w:p>
        </w:tc>
        <w:tc>
          <w:tcPr>
            <w:tcW w:w="68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$2,987,251</w:t>
            </w:r>
          </w:p>
        </w:tc>
      </w:tr>
      <w:tr>
        <w:trPr>
          <w:trHeight w:val="203"/>
        </w:trPr>
        <w:tc>
          <w:tcPr>
            <w:tcW w:w="5060" w:type="dxa"/>
            <w:vAlign w:val="bottom"/>
          </w:tcPr>
          <w:p>
            <w:pPr>
              <w:spacing w:after="0"/>
              <w:rPr>
                <w:sz w:val="17"/>
                <w:szCs w:val="17"/>
                <w:color w:val="auto"/>
              </w:rPr>
            </w:pPr>
          </w:p>
        </w:tc>
        <w:tc>
          <w:tcPr>
            <w:tcW w:w="59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Liabilities and shareholders' equity</w:t>
            </w:r>
          </w:p>
        </w:tc>
        <w:tc>
          <w:tcPr>
            <w:tcW w:w="1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Short-term bank loans payable</w:t>
            </w:r>
          </w:p>
        </w:tc>
        <w:tc>
          <w:tcPr>
            <w:tcW w:w="1420" w:type="dxa"/>
            <w:vAlign w:val="bottom"/>
          </w:tcPr>
          <w:p>
            <w:pPr>
              <w:spacing w:after="0"/>
              <w:rPr>
                <w:sz w:val="24"/>
                <w:szCs w:val="24"/>
                <w:color w:val="auto"/>
              </w:rPr>
            </w:pPr>
          </w:p>
        </w:tc>
        <w:tc>
          <w:tcPr>
            <w:tcW w:w="14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$55,400</w:t>
            </w: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$55,400</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Payable to brokers or dealers</w:t>
            </w:r>
          </w:p>
        </w:tc>
        <w:tc>
          <w:tcPr>
            <w:tcW w:w="1420" w:type="dxa"/>
            <w:vAlign w:val="bottom"/>
          </w:tcPr>
          <w:p>
            <w:pPr>
              <w:spacing w:after="0"/>
              <w:rPr>
                <w:sz w:val="17"/>
                <w:szCs w:val="17"/>
                <w:color w:val="auto"/>
              </w:rPr>
            </w:pP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293,363</w:t>
            </w: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293,363</w:t>
            </w: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clearing organizations</w:t>
            </w: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Payable to customers</w:t>
            </w:r>
          </w:p>
        </w:tc>
        <w:tc>
          <w:tcPr>
            <w:tcW w:w="1420" w:type="dxa"/>
            <w:vAlign w:val="bottom"/>
          </w:tcPr>
          <w:p>
            <w:pPr>
              <w:spacing w:after="0"/>
              <w:rPr>
                <w:sz w:val="17"/>
                <w:szCs w:val="17"/>
                <w:color w:val="auto"/>
              </w:rPr>
            </w:pP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377,259</w:t>
            </w: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377,259</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payable</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$46,591</w:t>
            </w:r>
          </w:p>
        </w:tc>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46,591</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expenses</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61,246</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47,442</w:t>
            </w: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108,688</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income taxes</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7,531</w:t>
            </w:r>
          </w:p>
        </w:tc>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7,531</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revenues</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53,587</w:t>
            </w:r>
          </w:p>
        </w:tc>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53,587</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Trust account deposits</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1,133,690</w:t>
            </w:r>
          </w:p>
        </w:tc>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1,133,690</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278,598</w:t>
            </w:r>
          </w:p>
        </w:tc>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278,598</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obligations</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2,252</w:t>
            </w:r>
          </w:p>
        </w:tc>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2,252</w:t>
            </w:r>
          </w:p>
        </w:tc>
      </w:tr>
      <w:tr>
        <w:trPr>
          <w:trHeight w:val="203"/>
        </w:trPr>
        <w:tc>
          <w:tcPr>
            <w:tcW w:w="5060" w:type="dxa"/>
            <w:vAlign w:val="bottom"/>
          </w:tcPr>
          <w:p>
            <w:pPr>
              <w:spacing w:after="0"/>
              <w:rPr>
                <w:sz w:val="17"/>
                <w:szCs w:val="17"/>
                <w:color w:val="auto"/>
              </w:rPr>
            </w:pPr>
          </w:p>
        </w:tc>
        <w:tc>
          <w:tcPr>
            <w:tcW w:w="59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1,583,495</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773,464</w:t>
            </w: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2,356,959</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1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 outstanding</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454</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49</w:t>
            </w:r>
          </w:p>
        </w:tc>
        <w:tc>
          <w:tcPr>
            <w:tcW w:w="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511</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325,194</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39,582</w:t>
            </w:r>
          </w:p>
        </w:tc>
        <w:tc>
          <w:tcPr>
            <w:tcW w:w="18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(10,040) (A,B)</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354,736</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Unrealized gain on investments</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18,576</w:t>
            </w:r>
          </w:p>
        </w:tc>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18,576</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earnings</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182,840</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73,629</w:t>
            </w: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256,469</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Treasury stock at cost</w:t>
            </w:r>
          </w:p>
        </w:tc>
        <w:tc>
          <w:tcPr>
            <w:tcW w:w="1420" w:type="dxa"/>
            <w:vAlign w:val="bottom"/>
          </w:tcPr>
          <w:p>
            <w:pPr>
              <w:spacing w:after="0"/>
              <w:rPr>
                <w:sz w:val="17"/>
                <w:szCs w:val="17"/>
                <w:color w:val="auto"/>
              </w:rPr>
            </w:pP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(15,426)</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15,426</w:t>
            </w:r>
          </w:p>
        </w:tc>
        <w:tc>
          <w:tcPr>
            <w:tcW w:w="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(B)</w:t>
            </w:r>
          </w:p>
        </w:tc>
        <w:tc>
          <w:tcPr>
            <w:tcW w:w="1160" w:type="dxa"/>
            <w:vAlign w:val="bottom"/>
          </w:tcPr>
          <w:p>
            <w:pPr>
              <w:spacing w:after="0"/>
              <w:rPr>
                <w:sz w:val="17"/>
                <w:szCs w:val="17"/>
                <w:color w:val="auto"/>
              </w:rPr>
            </w:pPr>
          </w:p>
        </w:tc>
      </w:tr>
      <w:tr>
        <w:trPr>
          <w:trHeight w:val="203"/>
        </w:trPr>
        <w:tc>
          <w:tcPr>
            <w:tcW w:w="5060" w:type="dxa"/>
            <w:vAlign w:val="bottom"/>
          </w:tcPr>
          <w:p>
            <w:pPr>
              <w:spacing w:after="0"/>
              <w:rPr>
                <w:sz w:val="17"/>
                <w:szCs w:val="17"/>
                <w:color w:val="auto"/>
              </w:rPr>
            </w:pPr>
          </w:p>
        </w:tc>
        <w:tc>
          <w:tcPr>
            <w:tcW w:w="59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shareholders' equity</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527,064</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97,793</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5,435</w:t>
            </w:r>
          </w:p>
        </w:tc>
        <w:tc>
          <w:tcPr>
            <w:tcW w:w="68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630,292</w:t>
            </w:r>
          </w:p>
        </w:tc>
      </w:tr>
      <w:tr>
        <w:trPr>
          <w:trHeight w:val="203"/>
        </w:trPr>
        <w:tc>
          <w:tcPr>
            <w:tcW w:w="5060" w:type="dxa"/>
            <w:vAlign w:val="bottom"/>
          </w:tcPr>
          <w:p>
            <w:pPr>
              <w:spacing w:after="0"/>
              <w:rPr>
                <w:sz w:val="17"/>
                <w:szCs w:val="17"/>
                <w:color w:val="auto"/>
              </w:rPr>
            </w:pPr>
          </w:p>
        </w:tc>
        <w:tc>
          <w:tcPr>
            <w:tcW w:w="59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$2,110,559</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$871,257</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$5,435</w:t>
            </w:r>
          </w:p>
        </w:tc>
        <w:tc>
          <w:tcPr>
            <w:tcW w:w="68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$2,987,251</w:t>
            </w:r>
          </w:p>
        </w:tc>
      </w:tr>
      <w:tr>
        <w:trPr>
          <w:trHeight w:val="203"/>
        </w:trPr>
        <w:tc>
          <w:tcPr>
            <w:tcW w:w="5060" w:type="dxa"/>
            <w:vAlign w:val="bottom"/>
          </w:tcPr>
          <w:p>
            <w:pPr>
              <w:spacing w:after="0"/>
              <w:rPr>
                <w:sz w:val="17"/>
                <w:szCs w:val="17"/>
                <w:color w:val="auto"/>
              </w:rPr>
            </w:pPr>
          </w:p>
        </w:tc>
        <w:tc>
          <w:tcPr>
            <w:tcW w:w="59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notes to pro forma condensed consolidated financial statements</w:t>
      </w:r>
    </w:p>
    <w:p>
      <w:pPr>
        <w:sectPr>
          <w:pgSz w:w="11900" w:h="16838" w:orient="portrait"/>
          <w:cols w:equalWidth="0" w:num="1">
            <w:col w:w="10960"/>
          </w:cols>
          <w:pgMar w:left="240" w:top="717" w:right="6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4740" w:type="dxa"/>
            <w:vAlign w:val="bottom"/>
          </w:tcPr>
          <w:p>
            <w:pPr>
              <w:spacing w:after="0"/>
              <w:rPr>
                <w:sz w:val="20"/>
                <w:szCs w:val="20"/>
                <w:color w:val="auto"/>
              </w:rPr>
            </w:pPr>
            <w:r>
              <w:rPr>
                <w:rFonts w:ascii="Courier New" w:cs="Courier New" w:eastAsia="Courier New" w:hAnsi="Courier New"/>
                <w:sz w:val="18"/>
                <w:szCs w:val="18"/>
                <w:color w:val="auto"/>
                <w:w w:val="97"/>
              </w:rPr>
              <w:t>Proforma Condensed Consolidated Statements of</w:t>
            </w:r>
          </w:p>
        </w:tc>
        <w:tc>
          <w:tcPr>
            <w:tcW w:w="1220" w:type="dxa"/>
            <w:vAlign w:val="bottom"/>
          </w:tcPr>
          <w:p>
            <w:pPr>
              <w:ind w:left="120"/>
              <w:spacing w:after="0"/>
              <w:rPr>
                <w:sz w:val="20"/>
                <w:szCs w:val="20"/>
                <w:color w:val="auto"/>
              </w:rPr>
            </w:pPr>
            <w:r>
              <w:rPr>
                <w:rFonts w:ascii="Courier New" w:cs="Courier New" w:eastAsia="Courier New" w:hAnsi="Courier New"/>
                <w:sz w:val="18"/>
                <w:szCs w:val="18"/>
                <w:color w:val="auto"/>
              </w:rPr>
              <w:t>Income</w:t>
            </w:r>
          </w:p>
        </w:tc>
        <w:tc>
          <w:tcPr>
            <w:tcW w:w="1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Unaudited)</w:t>
            </w: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Year ended December 31, 1996</w:t>
            </w: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608"/>
        </w:trPr>
        <w:tc>
          <w:tcPr>
            <w:tcW w:w="4740" w:type="dxa"/>
            <w:vAlign w:val="bottom"/>
          </w:tcPr>
          <w:p>
            <w:pPr>
              <w:spacing w:after="0"/>
              <w:rPr>
                <w:sz w:val="24"/>
                <w:szCs w:val="24"/>
                <w:color w:val="auto"/>
              </w:rPr>
            </w:pPr>
          </w:p>
        </w:tc>
        <w:tc>
          <w:tcPr>
            <w:tcW w:w="1220" w:type="dxa"/>
            <w:vAlign w:val="bottom"/>
          </w:tcPr>
          <w:p>
            <w:pPr>
              <w:ind w:left="120"/>
              <w:spacing w:after="0"/>
              <w:rPr>
                <w:sz w:val="20"/>
                <w:szCs w:val="20"/>
                <w:color w:val="auto"/>
              </w:rPr>
            </w:pPr>
            <w:r>
              <w:rPr>
                <w:rFonts w:ascii="Courier New" w:cs="Courier New" w:eastAsia="Courier New" w:hAnsi="Courier New"/>
                <w:sz w:val="18"/>
                <w:szCs w:val="18"/>
                <w:color w:val="auto"/>
              </w:rPr>
              <w:t>FISERV</w:t>
            </w:r>
          </w:p>
        </w:tc>
        <w:tc>
          <w:tcPr>
            <w:tcW w:w="136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BHC</w:t>
            </w:r>
          </w:p>
        </w:tc>
        <w:tc>
          <w:tcPr>
            <w:tcW w:w="1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Adjustment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Combined</w:t>
            </w:r>
          </w:p>
        </w:tc>
      </w:tr>
      <w:tr>
        <w:trPr>
          <w:trHeight w:val="608"/>
        </w:trPr>
        <w:tc>
          <w:tcPr>
            <w:tcW w:w="4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40" w:type="dxa"/>
            <w:vAlign w:val="bottom"/>
            <w:gridSpan w:val="2"/>
          </w:tcPr>
          <w:p>
            <w:pPr>
              <w:jc w:val="right"/>
              <w:ind w:right="372"/>
              <w:spacing w:after="0"/>
              <w:rPr>
                <w:sz w:val="20"/>
                <w:szCs w:val="20"/>
                <w:color w:val="auto"/>
              </w:rPr>
            </w:pPr>
            <w:r>
              <w:rPr>
                <w:rFonts w:ascii="Courier New" w:cs="Courier New" w:eastAsia="Courier New" w:hAnsi="Courier New"/>
                <w:sz w:val="18"/>
                <w:szCs w:val="18"/>
                <w:color w:val="auto"/>
              </w:rPr>
              <w:t>(in thousands)</w:t>
            </w:r>
          </w:p>
        </w:tc>
        <w:tc>
          <w:tcPr>
            <w:tcW w:w="1000" w:type="dxa"/>
            <w:vAlign w:val="bottom"/>
          </w:tcPr>
          <w:p>
            <w:pPr>
              <w:spacing w:after="0"/>
              <w:rPr>
                <w:sz w:val="24"/>
                <w:szCs w:val="24"/>
                <w:color w:val="auto"/>
              </w:rPr>
            </w:pP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Revenues</w:t>
            </w:r>
          </w:p>
        </w:tc>
        <w:tc>
          <w:tcPr>
            <w:tcW w:w="122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7"/>
              </w:rPr>
              <w:t>$798,268</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$81,181</w:t>
            </w:r>
          </w:p>
        </w:tc>
        <w:tc>
          <w:tcPr>
            <w:tcW w:w="14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$879,449</w:t>
            </w:r>
          </w:p>
        </w:tc>
      </w:tr>
      <w:tr>
        <w:trPr>
          <w:trHeight w:val="203"/>
        </w:trPr>
        <w:tc>
          <w:tcPr>
            <w:tcW w:w="4740" w:type="dxa"/>
            <w:vAlign w:val="bottom"/>
          </w:tcPr>
          <w:p>
            <w:pPr>
              <w:spacing w:after="0"/>
              <w:rPr>
                <w:sz w:val="17"/>
                <w:szCs w:val="17"/>
                <w:color w:val="auto"/>
              </w:rPr>
            </w:pPr>
          </w:p>
        </w:tc>
        <w:tc>
          <w:tcPr>
            <w:tcW w:w="50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Cost of revenues:</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Salaries, commissions and payroll</w:t>
            </w: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related costs</w:t>
            </w:r>
          </w:p>
        </w:tc>
        <w:tc>
          <w:tcPr>
            <w:tcW w:w="12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371,526</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23,406</w:t>
            </w:r>
          </w:p>
        </w:tc>
        <w:tc>
          <w:tcPr>
            <w:tcW w:w="14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394,932</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Data processing expenses, rentals and</w:t>
            </w: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telecommunication costs</w:t>
            </w:r>
          </w:p>
        </w:tc>
        <w:tc>
          <w:tcPr>
            <w:tcW w:w="12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90,919</w:t>
            </w:r>
          </w:p>
        </w:tc>
        <w:tc>
          <w:tcPr>
            <w:tcW w:w="1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90,919</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operating expenses</w:t>
            </w:r>
          </w:p>
        </w:tc>
        <w:tc>
          <w:tcPr>
            <w:tcW w:w="12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145,230</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25,650</w:t>
            </w:r>
          </w:p>
        </w:tc>
        <w:tc>
          <w:tcPr>
            <w:tcW w:w="14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170,880</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and amortization of</w:t>
            </w: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property and equipment</w:t>
            </w:r>
          </w:p>
        </w:tc>
        <w:tc>
          <w:tcPr>
            <w:tcW w:w="12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42,241</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2,212</w:t>
            </w:r>
          </w:p>
        </w:tc>
        <w:tc>
          <w:tcPr>
            <w:tcW w:w="14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44,453</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Purchased incomplete technology</w:t>
            </w: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Amortization of intangible assets</w:t>
            </w:r>
          </w:p>
        </w:tc>
        <w:tc>
          <w:tcPr>
            <w:tcW w:w="12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20,983</w:t>
            </w:r>
          </w:p>
        </w:tc>
        <w:tc>
          <w:tcPr>
            <w:tcW w:w="1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20,983</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Amortization of internally generated</w:t>
            </w: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computer software-net</w:t>
            </w:r>
          </w:p>
        </w:tc>
        <w:tc>
          <w:tcPr>
            <w:tcW w:w="12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3,732</w:t>
            </w:r>
          </w:p>
        </w:tc>
        <w:tc>
          <w:tcPr>
            <w:tcW w:w="1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3,732</w:t>
            </w:r>
          </w:p>
        </w:tc>
      </w:tr>
      <w:tr>
        <w:trPr>
          <w:trHeight w:val="203"/>
        </w:trPr>
        <w:tc>
          <w:tcPr>
            <w:tcW w:w="4740" w:type="dxa"/>
            <w:vAlign w:val="bottom"/>
          </w:tcPr>
          <w:p>
            <w:pPr>
              <w:spacing w:after="0"/>
              <w:rPr>
                <w:sz w:val="17"/>
                <w:szCs w:val="17"/>
                <w:color w:val="auto"/>
              </w:rPr>
            </w:pPr>
          </w:p>
        </w:tc>
        <w:tc>
          <w:tcPr>
            <w:tcW w:w="50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w:t>
            </w:r>
          </w:p>
        </w:tc>
        <w:tc>
          <w:tcPr>
            <w:tcW w:w="12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674,631</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51,268</w:t>
            </w:r>
          </w:p>
        </w:tc>
        <w:tc>
          <w:tcPr>
            <w:tcW w:w="14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725,899</w:t>
            </w:r>
          </w:p>
        </w:tc>
      </w:tr>
      <w:tr>
        <w:trPr>
          <w:trHeight w:val="203"/>
        </w:trPr>
        <w:tc>
          <w:tcPr>
            <w:tcW w:w="4740" w:type="dxa"/>
            <w:vAlign w:val="bottom"/>
          </w:tcPr>
          <w:p>
            <w:pPr>
              <w:spacing w:after="0"/>
              <w:rPr>
                <w:sz w:val="17"/>
                <w:szCs w:val="17"/>
                <w:color w:val="auto"/>
              </w:rPr>
            </w:pPr>
          </w:p>
        </w:tc>
        <w:tc>
          <w:tcPr>
            <w:tcW w:w="50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12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123,637</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29,913</w:t>
            </w:r>
          </w:p>
        </w:tc>
        <w:tc>
          <w:tcPr>
            <w:tcW w:w="14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153,550</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expense - net</w:t>
            </w:r>
          </w:p>
        </w:tc>
        <w:tc>
          <w:tcPr>
            <w:tcW w:w="12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19,088</w:t>
            </w:r>
          </w:p>
        </w:tc>
        <w:tc>
          <w:tcPr>
            <w:tcW w:w="1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19,088</w:t>
            </w:r>
          </w:p>
        </w:tc>
      </w:tr>
      <w:tr>
        <w:trPr>
          <w:trHeight w:val="203"/>
        </w:trPr>
        <w:tc>
          <w:tcPr>
            <w:tcW w:w="4740" w:type="dxa"/>
            <w:vAlign w:val="bottom"/>
          </w:tcPr>
          <w:p>
            <w:pPr>
              <w:spacing w:after="0"/>
              <w:rPr>
                <w:sz w:val="17"/>
                <w:szCs w:val="17"/>
                <w:color w:val="auto"/>
              </w:rPr>
            </w:pPr>
          </w:p>
        </w:tc>
        <w:tc>
          <w:tcPr>
            <w:tcW w:w="50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12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104,549</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29,913</w:t>
            </w:r>
          </w:p>
        </w:tc>
        <w:tc>
          <w:tcPr>
            <w:tcW w:w="14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134,462</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provision</w:t>
            </w:r>
          </w:p>
        </w:tc>
        <w:tc>
          <w:tcPr>
            <w:tcW w:w="12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42,865</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11,889</w:t>
            </w:r>
          </w:p>
        </w:tc>
        <w:tc>
          <w:tcPr>
            <w:tcW w:w="14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54,754</w:t>
            </w:r>
          </w:p>
        </w:tc>
      </w:tr>
      <w:tr>
        <w:trPr>
          <w:trHeight w:val="203"/>
        </w:trPr>
        <w:tc>
          <w:tcPr>
            <w:tcW w:w="4740" w:type="dxa"/>
            <w:vAlign w:val="bottom"/>
          </w:tcPr>
          <w:p>
            <w:pPr>
              <w:spacing w:after="0"/>
              <w:rPr>
                <w:sz w:val="17"/>
                <w:szCs w:val="17"/>
                <w:color w:val="auto"/>
              </w:rPr>
            </w:pPr>
          </w:p>
        </w:tc>
        <w:tc>
          <w:tcPr>
            <w:tcW w:w="50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2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$61,684</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$18,024</w:t>
            </w:r>
          </w:p>
        </w:tc>
        <w:tc>
          <w:tcPr>
            <w:tcW w:w="14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$79,708</w:t>
            </w:r>
          </w:p>
        </w:tc>
      </w:tr>
      <w:tr>
        <w:trPr>
          <w:trHeight w:val="203"/>
        </w:trPr>
        <w:tc>
          <w:tcPr>
            <w:tcW w:w="4740" w:type="dxa"/>
            <w:vAlign w:val="bottom"/>
          </w:tcPr>
          <w:p>
            <w:pPr>
              <w:spacing w:after="0"/>
              <w:rPr>
                <w:sz w:val="17"/>
                <w:szCs w:val="17"/>
                <w:color w:val="auto"/>
              </w:rPr>
            </w:pPr>
          </w:p>
        </w:tc>
        <w:tc>
          <w:tcPr>
            <w:tcW w:w="50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per common and</w:t>
            </w: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equivalent share</w:t>
            </w:r>
          </w:p>
        </w:tc>
        <w:tc>
          <w:tcPr>
            <w:tcW w:w="12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$1.34</w:t>
            </w:r>
          </w:p>
        </w:tc>
        <w:tc>
          <w:tcPr>
            <w:tcW w:w="1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$1.53</w:t>
            </w:r>
          </w:p>
        </w:tc>
      </w:tr>
      <w:tr>
        <w:trPr>
          <w:trHeight w:val="203"/>
        </w:trPr>
        <w:tc>
          <w:tcPr>
            <w:tcW w:w="4740" w:type="dxa"/>
            <w:vAlign w:val="bottom"/>
          </w:tcPr>
          <w:p>
            <w:pPr>
              <w:spacing w:after="0"/>
              <w:rPr>
                <w:sz w:val="17"/>
                <w:szCs w:val="17"/>
                <w:color w:val="auto"/>
              </w:rPr>
            </w:pPr>
          </w:p>
        </w:tc>
        <w:tc>
          <w:tcPr>
            <w:tcW w:w="50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used in computing net</w:t>
            </w: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per share</w:t>
            </w:r>
          </w:p>
        </w:tc>
        <w:tc>
          <w:tcPr>
            <w:tcW w:w="12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46,198</w:t>
            </w:r>
          </w:p>
        </w:tc>
        <w:tc>
          <w:tcPr>
            <w:tcW w:w="136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5,848 (C)</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52,046</w:t>
            </w:r>
          </w:p>
        </w:tc>
      </w:tr>
      <w:tr>
        <w:trPr>
          <w:trHeight w:val="203"/>
        </w:trPr>
        <w:tc>
          <w:tcPr>
            <w:tcW w:w="4740" w:type="dxa"/>
            <w:vAlign w:val="bottom"/>
          </w:tcPr>
          <w:p>
            <w:pPr>
              <w:spacing w:after="0"/>
              <w:rPr>
                <w:sz w:val="17"/>
                <w:szCs w:val="17"/>
                <w:color w:val="auto"/>
              </w:rPr>
            </w:pPr>
          </w:p>
        </w:tc>
        <w:tc>
          <w:tcPr>
            <w:tcW w:w="50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w w:val="97"/>
              </w:rPr>
              <w:t>See notes to pro forma condensed consolidated</w:t>
            </w:r>
          </w:p>
        </w:tc>
        <w:tc>
          <w:tcPr>
            <w:tcW w:w="258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financial statements</w:t>
            </w:r>
          </w:p>
        </w:tc>
        <w:tc>
          <w:tcPr>
            <w:tcW w:w="148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219"/>
          </w:cols>
          <w:pgMar w:left="240" w:top="514" w:right="1440" w:bottom="1440" w:gutter="0" w:footer="0" w:header="0"/>
        </w:sectPr>
      </w:pPr>
    </w:p>
    <w:bookmarkStart w:id="4" w:name="page5"/>
    <w:bookmarkEnd w:id="4"/>
    <w:p>
      <w:pPr>
        <w:ind w:right="4739"/>
        <w:spacing w:after="0" w:line="235" w:lineRule="auto"/>
        <w:rPr>
          <w:sz w:val="20"/>
          <w:szCs w:val="20"/>
          <w:color w:val="auto"/>
        </w:rPr>
      </w:pPr>
      <w:r>
        <w:rPr>
          <w:rFonts w:ascii="Courier New" w:cs="Courier New" w:eastAsia="Courier New" w:hAnsi="Courier New"/>
          <w:sz w:val="18"/>
          <w:szCs w:val="18"/>
          <w:color w:val="auto"/>
        </w:rPr>
        <w:t>Proforma Condensed Consolidated Statements of Income (Unaudited)</w:t>
      </w:r>
    </w:p>
    <w:p>
      <w:pPr>
        <w:spacing w:after="0"/>
        <w:rPr>
          <w:sz w:val="20"/>
          <w:szCs w:val="20"/>
          <w:color w:val="auto"/>
        </w:rPr>
      </w:pPr>
      <w:r>
        <w:rPr>
          <w:rFonts w:ascii="Courier New" w:cs="Courier New" w:eastAsia="Courier New" w:hAnsi="Courier New"/>
          <w:sz w:val="18"/>
          <w:szCs w:val="18"/>
          <w:color w:val="auto"/>
        </w:rPr>
        <w:t>Three months ended March 31, 1996</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tcPr>
          <w:p>
            <w:pPr>
              <w:spacing w:after="0"/>
              <w:rPr>
                <w:sz w:val="17"/>
                <w:szCs w:val="17"/>
                <w:color w:val="auto"/>
              </w:rPr>
            </w:pPr>
          </w:p>
        </w:tc>
        <w:tc>
          <w:tcPr>
            <w:tcW w:w="17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FISERV</w:t>
            </w:r>
          </w:p>
        </w:tc>
        <w:tc>
          <w:tcPr>
            <w:tcW w:w="16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BHC</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Adjustment</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Combined</w:t>
            </w:r>
          </w:p>
        </w:tc>
      </w:tr>
      <w:tr>
        <w:trPr>
          <w:trHeight w:val="405"/>
        </w:trPr>
        <w:tc>
          <w:tcPr>
            <w:tcW w:w="39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160" w:type="dxa"/>
            <w:vAlign w:val="bottom"/>
            <w:gridSpan w:val="2"/>
          </w:tcPr>
          <w:p>
            <w:pPr>
              <w:jc w:val="right"/>
              <w:ind w:right="472"/>
              <w:spacing w:after="0"/>
              <w:rPr>
                <w:sz w:val="20"/>
                <w:szCs w:val="20"/>
                <w:color w:val="auto"/>
              </w:rPr>
            </w:pPr>
            <w:r>
              <w:rPr>
                <w:rFonts w:ascii="Courier New" w:cs="Courier New" w:eastAsia="Courier New" w:hAnsi="Courier New"/>
                <w:sz w:val="18"/>
                <w:szCs w:val="18"/>
                <w:color w:val="auto"/>
              </w:rPr>
              <w:t>(in thousands)</w:t>
            </w:r>
          </w:p>
        </w:tc>
        <w:tc>
          <w:tcPr>
            <w:tcW w:w="1120" w:type="dxa"/>
            <w:vAlign w:val="bottom"/>
          </w:tcPr>
          <w:p>
            <w:pPr>
              <w:spacing w:after="0"/>
              <w:rPr>
                <w:sz w:val="24"/>
                <w:szCs w:val="24"/>
                <w:color w:val="auto"/>
              </w:rPr>
            </w:pPr>
          </w:p>
        </w:tc>
      </w:tr>
      <w:tr>
        <w:trPr>
          <w:trHeight w:val="608"/>
        </w:trPr>
        <w:tc>
          <w:tcPr>
            <w:tcW w:w="3960" w:type="dxa"/>
            <w:vAlign w:val="bottom"/>
          </w:tcPr>
          <w:p>
            <w:pPr>
              <w:spacing w:after="0"/>
              <w:rPr>
                <w:sz w:val="20"/>
                <w:szCs w:val="20"/>
                <w:color w:val="auto"/>
              </w:rPr>
            </w:pPr>
            <w:r>
              <w:rPr>
                <w:rFonts w:ascii="Courier New" w:cs="Courier New" w:eastAsia="Courier New" w:hAnsi="Courier New"/>
                <w:sz w:val="18"/>
                <w:szCs w:val="18"/>
                <w:color w:val="auto"/>
              </w:rPr>
              <w:t>Revenues</w:t>
            </w:r>
          </w:p>
        </w:tc>
        <w:tc>
          <w:tcPr>
            <w:tcW w:w="1780" w:type="dxa"/>
            <w:vAlign w:val="bottom"/>
          </w:tcPr>
          <w:p>
            <w:pPr>
              <w:jc w:val="right"/>
              <w:ind w:right="52"/>
              <w:spacing w:after="0"/>
              <w:rPr>
                <w:sz w:val="20"/>
                <w:szCs w:val="20"/>
                <w:color w:val="auto"/>
              </w:rPr>
            </w:pPr>
            <w:r>
              <w:rPr>
                <w:rFonts w:ascii="Courier New" w:cs="Courier New" w:eastAsia="Courier New" w:hAnsi="Courier New"/>
                <w:sz w:val="18"/>
                <w:szCs w:val="18"/>
                <w:color w:val="auto"/>
              </w:rPr>
              <w:t>$194,710</w:t>
            </w:r>
          </w:p>
        </w:tc>
        <w:tc>
          <w:tcPr>
            <w:tcW w:w="16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$20,349</w:t>
            </w:r>
          </w:p>
        </w:tc>
        <w:tc>
          <w:tcPr>
            <w:tcW w:w="1520" w:type="dxa"/>
            <w:vAlign w:val="bottom"/>
          </w:tcPr>
          <w:p>
            <w:pPr>
              <w:spacing w:after="0"/>
              <w:rPr>
                <w:sz w:val="24"/>
                <w:szCs w:val="24"/>
                <w:color w:val="auto"/>
              </w:rPr>
            </w:pPr>
          </w:p>
        </w:tc>
        <w:tc>
          <w:tcPr>
            <w:tcW w:w="11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$215,059</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Cost of revenues</w:t>
            </w:r>
          </w:p>
        </w:tc>
        <w:tc>
          <w:tcPr>
            <w:tcW w:w="1780" w:type="dxa"/>
            <w:vAlign w:val="bottom"/>
          </w:tcPr>
          <w:p>
            <w:pPr>
              <w:jc w:val="right"/>
              <w:ind w:right="52"/>
              <w:spacing w:after="0"/>
              <w:rPr>
                <w:sz w:val="20"/>
                <w:szCs w:val="20"/>
                <w:color w:val="auto"/>
              </w:rPr>
            </w:pPr>
            <w:r>
              <w:rPr>
                <w:rFonts w:ascii="Courier New" w:cs="Courier New" w:eastAsia="Courier New" w:hAnsi="Courier New"/>
                <w:sz w:val="18"/>
                <w:szCs w:val="18"/>
                <w:color w:val="auto"/>
              </w:rPr>
              <w:t>164,205</w:t>
            </w:r>
          </w:p>
        </w:tc>
        <w:tc>
          <w:tcPr>
            <w:tcW w:w="16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12,121</w:t>
            </w:r>
          </w:p>
        </w:tc>
        <w:tc>
          <w:tcPr>
            <w:tcW w:w="1520" w:type="dxa"/>
            <w:vAlign w:val="bottom"/>
          </w:tcPr>
          <w:p>
            <w:pPr>
              <w:spacing w:after="0"/>
              <w:rPr>
                <w:sz w:val="24"/>
                <w:szCs w:val="24"/>
                <w:color w:val="auto"/>
              </w:rPr>
            </w:pPr>
          </w:p>
        </w:tc>
        <w:tc>
          <w:tcPr>
            <w:tcW w:w="11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176,326</w:t>
            </w:r>
          </w:p>
        </w:tc>
      </w:tr>
      <w:tr>
        <w:trPr>
          <w:trHeight w:val="203"/>
        </w:trPr>
        <w:tc>
          <w:tcPr>
            <w:tcW w:w="3960" w:type="dxa"/>
            <w:vAlign w:val="bottom"/>
          </w:tcPr>
          <w:p>
            <w:pPr>
              <w:spacing w:after="0"/>
              <w:rPr>
                <w:sz w:val="17"/>
                <w:szCs w:val="17"/>
                <w:color w:val="auto"/>
              </w:rPr>
            </w:pPr>
          </w:p>
        </w:tc>
        <w:tc>
          <w:tcPr>
            <w:tcW w:w="60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1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30,505</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8,228</w:t>
            </w:r>
          </w:p>
        </w:tc>
        <w:tc>
          <w:tcPr>
            <w:tcW w:w="1520" w:type="dxa"/>
            <w:vAlign w:val="bottom"/>
          </w:tcPr>
          <w:p>
            <w:pPr>
              <w:spacing w:after="0"/>
              <w:rPr>
                <w:sz w:val="17"/>
                <w:szCs w:val="17"/>
                <w:color w:val="auto"/>
              </w:rPr>
            </w:pP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38,733</w:t>
            </w:r>
          </w:p>
        </w:tc>
      </w:tr>
      <w:tr>
        <w:trPr>
          <w:trHeight w:val="203"/>
        </w:trPr>
        <w:tc>
          <w:tcPr>
            <w:tcW w:w="3960" w:type="dxa"/>
            <w:vAlign w:val="bottom"/>
          </w:tcPr>
          <w:p>
            <w:pPr>
              <w:spacing w:after="0"/>
              <w:rPr>
                <w:sz w:val="17"/>
                <w:szCs w:val="17"/>
                <w:color w:val="auto"/>
              </w:rPr>
            </w:pPr>
          </w:p>
        </w:tc>
        <w:tc>
          <w:tcPr>
            <w:tcW w:w="60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1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24,850</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8,228</w:t>
            </w:r>
          </w:p>
        </w:tc>
        <w:tc>
          <w:tcPr>
            <w:tcW w:w="1520" w:type="dxa"/>
            <w:vAlign w:val="bottom"/>
          </w:tcPr>
          <w:p>
            <w:pPr>
              <w:spacing w:after="0"/>
              <w:rPr>
                <w:sz w:val="17"/>
                <w:szCs w:val="17"/>
                <w:color w:val="auto"/>
              </w:rPr>
            </w:pP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33,078</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provision</w:t>
            </w:r>
          </w:p>
        </w:tc>
        <w:tc>
          <w:tcPr>
            <w:tcW w:w="1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10,189</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3,256</w:t>
            </w:r>
          </w:p>
        </w:tc>
        <w:tc>
          <w:tcPr>
            <w:tcW w:w="1520" w:type="dxa"/>
            <w:vAlign w:val="bottom"/>
          </w:tcPr>
          <w:p>
            <w:pPr>
              <w:spacing w:after="0"/>
              <w:rPr>
                <w:sz w:val="17"/>
                <w:szCs w:val="17"/>
                <w:color w:val="auto"/>
              </w:rPr>
            </w:pP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13,445</w:t>
            </w:r>
          </w:p>
        </w:tc>
      </w:tr>
      <w:tr>
        <w:trPr>
          <w:trHeight w:val="203"/>
        </w:trPr>
        <w:tc>
          <w:tcPr>
            <w:tcW w:w="3960" w:type="dxa"/>
            <w:vAlign w:val="bottom"/>
          </w:tcPr>
          <w:p>
            <w:pPr>
              <w:spacing w:after="0"/>
              <w:rPr>
                <w:sz w:val="17"/>
                <w:szCs w:val="17"/>
                <w:color w:val="auto"/>
              </w:rPr>
            </w:pPr>
          </w:p>
        </w:tc>
        <w:tc>
          <w:tcPr>
            <w:tcW w:w="606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$14,661</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$4,972</w:t>
            </w:r>
          </w:p>
        </w:tc>
        <w:tc>
          <w:tcPr>
            <w:tcW w:w="1520" w:type="dxa"/>
            <w:vAlign w:val="bottom"/>
          </w:tcPr>
          <w:p>
            <w:pPr>
              <w:spacing w:after="0"/>
              <w:rPr>
                <w:sz w:val="17"/>
                <w:szCs w:val="17"/>
                <w:color w:val="auto"/>
              </w:rPr>
            </w:pP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$19,633</w:t>
            </w:r>
          </w:p>
        </w:tc>
      </w:tr>
      <w:tr>
        <w:trPr>
          <w:trHeight w:val="203"/>
        </w:trPr>
        <w:tc>
          <w:tcPr>
            <w:tcW w:w="3960" w:type="dxa"/>
            <w:vAlign w:val="bottom"/>
          </w:tcPr>
          <w:p>
            <w:pPr>
              <w:spacing w:after="0"/>
              <w:rPr>
                <w:sz w:val="17"/>
                <w:szCs w:val="17"/>
                <w:color w:val="auto"/>
              </w:rPr>
            </w:pPr>
          </w:p>
        </w:tc>
        <w:tc>
          <w:tcPr>
            <w:tcW w:w="606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per common and</w:t>
            </w:r>
          </w:p>
        </w:tc>
        <w:tc>
          <w:tcPr>
            <w:tcW w:w="1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equivalent share</w:t>
            </w:r>
          </w:p>
        </w:tc>
        <w:tc>
          <w:tcPr>
            <w:tcW w:w="1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$0.32</w:t>
            </w:r>
          </w:p>
        </w:tc>
        <w:tc>
          <w:tcPr>
            <w:tcW w:w="16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$0.38</w:t>
            </w:r>
          </w:p>
        </w:tc>
      </w:tr>
      <w:tr>
        <w:trPr>
          <w:trHeight w:val="203"/>
        </w:trPr>
        <w:tc>
          <w:tcPr>
            <w:tcW w:w="3960" w:type="dxa"/>
            <w:vAlign w:val="bottom"/>
          </w:tcPr>
          <w:p>
            <w:pPr>
              <w:spacing w:after="0"/>
              <w:rPr>
                <w:sz w:val="17"/>
                <w:szCs w:val="17"/>
                <w:color w:val="auto"/>
              </w:rPr>
            </w:pPr>
          </w:p>
        </w:tc>
        <w:tc>
          <w:tcPr>
            <w:tcW w:w="606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used in computing net</w:t>
            </w:r>
          </w:p>
        </w:tc>
        <w:tc>
          <w:tcPr>
            <w:tcW w:w="1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per share</w:t>
            </w:r>
          </w:p>
        </w:tc>
        <w:tc>
          <w:tcPr>
            <w:tcW w:w="1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45,919</w:t>
            </w:r>
          </w:p>
        </w:tc>
        <w:tc>
          <w:tcPr>
            <w:tcW w:w="1640" w:type="dxa"/>
            <w:vAlign w:val="bottom"/>
          </w:tcPr>
          <w:p>
            <w:pPr>
              <w:spacing w:after="0"/>
              <w:rPr>
                <w:sz w:val="17"/>
                <w:szCs w:val="17"/>
                <w:color w:val="auto"/>
              </w:rPr>
            </w:pP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6,212 (C)</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52,131</w:t>
            </w:r>
          </w:p>
        </w:tc>
      </w:tr>
      <w:tr>
        <w:trPr>
          <w:trHeight w:val="203"/>
        </w:trPr>
        <w:tc>
          <w:tcPr>
            <w:tcW w:w="3960" w:type="dxa"/>
            <w:vAlign w:val="bottom"/>
          </w:tcPr>
          <w:p>
            <w:pPr>
              <w:spacing w:after="0"/>
              <w:rPr>
                <w:sz w:val="17"/>
                <w:szCs w:val="17"/>
                <w:color w:val="auto"/>
              </w:rPr>
            </w:pPr>
          </w:p>
        </w:tc>
        <w:tc>
          <w:tcPr>
            <w:tcW w:w="606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380" w:type="dxa"/>
            <w:vAlign w:val="bottom"/>
            <w:gridSpan w:val="3"/>
          </w:tcPr>
          <w:p>
            <w:pPr>
              <w:spacing w:after="0"/>
              <w:rPr>
                <w:sz w:val="20"/>
                <w:szCs w:val="20"/>
                <w:color w:val="auto"/>
              </w:rPr>
            </w:pPr>
            <w:r>
              <w:rPr>
                <w:rFonts w:ascii="Courier New" w:cs="Courier New" w:eastAsia="Courier New" w:hAnsi="Courier New"/>
                <w:sz w:val="18"/>
                <w:szCs w:val="18"/>
                <w:color w:val="auto"/>
              </w:rPr>
              <w:t>See notes to pro forma condensed consolidated financial statements</w:t>
            </w:r>
          </w:p>
        </w:tc>
        <w:tc>
          <w:tcPr>
            <w:tcW w:w="15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608"/>
        </w:trPr>
        <w:tc>
          <w:tcPr>
            <w:tcW w:w="5740" w:type="dxa"/>
            <w:vAlign w:val="bottom"/>
            <w:gridSpan w:val="2"/>
          </w:tcPr>
          <w:p>
            <w:pPr>
              <w:spacing w:after="0"/>
              <w:rPr>
                <w:sz w:val="20"/>
                <w:szCs w:val="20"/>
                <w:color w:val="auto"/>
              </w:rPr>
            </w:pPr>
            <w:r>
              <w:rPr>
                <w:rFonts w:ascii="Courier New" w:cs="Courier New" w:eastAsia="Courier New" w:hAnsi="Courier New"/>
                <w:sz w:val="18"/>
                <w:szCs w:val="18"/>
                <w:color w:val="auto"/>
              </w:rPr>
              <w:t>Proforma Condensed Consolidated Statements of Income</w:t>
            </w:r>
          </w:p>
        </w:tc>
        <w:tc>
          <w:tcPr>
            <w:tcW w:w="16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(Unaudited)</w:t>
            </w:r>
          </w:p>
        </w:tc>
        <w:tc>
          <w:tcPr>
            <w:tcW w:w="1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Three months ended March 31, 1997</w:t>
            </w:r>
          </w:p>
        </w:tc>
        <w:tc>
          <w:tcPr>
            <w:tcW w:w="1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05"/>
        </w:trPr>
        <w:tc>
          <w:tcPr>
            <w:tcW w:w="3960" w:type="dxa"/>
            <w:vAlign w:val="bottom"/>
          </w:tcPr>
          <w:p>
            <w:pPr>
              <w:spacing w:after="0"/>
              <w:rPr>
                <w:sz w:val="24"/>
                <w:szCs w:val="24"/>
                <w:color w:val="auto"/>
              </w:rPr>
            </w:pPr>
          </w:p>
        </w:tc>
        <w:tc>
          <w:tcPr>
            <w:tcW w:w="178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FISERV</w:t>
            </w:r>
          </w:p>
        </w:tc>
        <w:tc>
          <w:tcPr>
            <w:tcW w:w="164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BHC</w:t>
            </w:r>
          </w:p>
        </w:tc>
        <w:tc>
          <w:tcPr>
            <w:tcW w:w="1520" w:type="dxa"/>
            <w:vAlign w:val="bottom"/>
          </w:tcPr>
          <w:p>
            <w:pPr>
              <w:jc w:val="right"/>
              <w:ind w:right="372"/>
              <w:spacing w:after="0"/>
              <w:rPr>
                <w:sz w:val="20"/>
                <w:szCs w:val="20"/>
                <w:color w:val="auto"/>
              </w:rPr>
            </w:pPr>
            <w:r>
              <w:rPr>
                <w:rFonts w:ascii="Courier New" w:cs="Courier New" w:eastAsia="Courier New" w:hAnsi="Courier New"/>
                <w:sz w:val="18"/>
                <w:szCs w:val="18"/>
                <w:color w:val="auto"/>
                <w:w w:val="96"/>
              </w:rPr>
              <w:t>Adjustment</w:t>
            </w:r>
          </w:p>
        </w:tc>
        <w:tc>
          <w:tcPr>
            <w:tcW w:w="11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Combined</w:t>
            </w:r>
          </w:p>
        </w:tc>
      </w:tr>
      <w:tr>
        <w:trPr>
          <w:trHeight w:val="203"/>
        </w:trPr>
        <w:tc>
          <w:tcPr>
            <w:tcW w:w="39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 thousands)</w:t>
            </w:r>
          </w:p>
        </w:tc>
        <w:tc>
          <w:tcPr>
            <w:tcW w:w="15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608"/>
        </w:trPr>
        <w:tc>
          <w:tcPr>
            <w:tcW w:w="3960" w:type="dxa"/>
            <w:vAlign w:val="bottom"/>
          </w:tcPr>
          <w:p>
            <w:pPr>
              <w:spacing w:after="0"/>
              <w:rPr>
                <w:sz w:val="20"/>
                <w:szCs w:val="20"/>
                <w:color w:val="auto"/>
              </w:rPr>
            </w:pPr>
            <w:r>
              <w:rPr>
                <w:rFonts w:ascii="Courier New" w:cs="Courier New" w:eastAsia="Courier New" w:hAnsi="Courier New"/>
                <w:sz w:val="18"/>
                <w:szCs w:val="18"/>
                <w:color w:val="auto"/>
              </w:rPr>
              <w:t>Revenues</w:t>
            </w:r>
          </w:p>
        </w:tc>
        <w:tc>
          <w:tcPr>
            <w:tcW w:w="17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$206,450</w:t>
            </w:r>
          </w:p>
        </w:tc>
        <w:tc>
          <w:tcPr>
            <w:tcW w:w="16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$21,869</w:t>
            </w:r>
          </w:p>
        </w:tc>
        <w:tc>
          <w:tcPr>
            <w:tcW w:w="1520" w:type="dxa"/>
            <w:vAlign w:val="bottom"/>
          </w:tcPr>
          <w:p>
            <w:pPr>
              <w:spacing w:after="0"/>
              <w:rPr>
                <w:sz w:val="24"/>
                <w:szCs w:val="24"/>
                <w:color w:val="auto"/>
              </w:rPr>
            </w:pPr>
          </w:p>
        </w:tc>
        <w:tc>
          <w:tcPr>
            <w:tcW w:w="11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$228,319</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Cost of revenues</w:t>
            </w:r>
          </w:p>
        </w:tc>
        <w:tc>
          <w:tcPr>
            <w:tcW w:w="17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172,214</w:t>
            </w:r>
          </w:p>
        </w:tc>
        <w:tc>
          <w:tcPr>
            <w:tcW w:w="16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14,308</w:t>
            </w:r>
          </w:p>
        </w:tc>
        <w:tc>
          <w:tcPr>
            <w:tcW w:w="1520" w:type="dxa"/>
            <w:vAlign w:val="bottom"/>
          </w:tcPr>
          <w:p>
            <w:pPr>
              <w:spacing w:after="0"/>
              <w:rPr>
                <w:sz w:val="24"/>
                <w:szCs w:val="24"/>
                <w:color w:val="auto"/>
              </w:rPr>
            </w:pPr>
          </w:p>
        </w:tc>
        <w:tc>
          <w:tcPr>
            <w:tcW w:w="11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186,522</w:t>
            </w:r>
          </w:p>
        </w:tc>
      </w:tr>
      <w:tr>
        <w:trPr>
          <w:trHeight w:val="203"/>
        </w:trPr>
        <w:tc>
          <w:tcPr>
            <w:tcW w:w="3960" w:type="dxa"/>
            <w:vAlign w:val="bottom"/>
          </w:tcPr>
          <w:p>
            <w:pPr>
              <w:spacing w:after="0"/>
              <w:rPr>
                <w:sz w:val="17"/>
                <w:szCs w:val="17"/>
                <w:color w:val="auto"/>
              </w:rPr>
            </w:pPr>
          </w:p>
        </w:tc>
        <w:tc>
          <w:tcPr>
            <w:tcW w:w="6060" w:type="dxa"/>
            <w:vAlign w:val="bottom"/>
            <w:gridSpan w:val="4"/>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1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34,236</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7,561</w:t>
            </w:r>
          </w:p>
        </w:tc>
        <w:tc>
          <w:tcPr>
            <w:tcW w:w="1520" w:type="dxa"/>
            <w:vAlign w:val="bottom"/>
          </w:tcPr>
          <w:p>
            <w:pPr>
              <w:spacing w:after="0"/>
              <w:rPr>
                <w:sz w:val="17"/>
                <w:szCs w:val="17"/>
                <w:color w:val="auto"/>
              </w:rPr>
            </w:pP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41,797</w:t>
            </w:r>
          </w:p>
        </w:tc>
      </w:tr>
      <w:tr>
        <w:trPr>
          <w:trHeight w:val="203"/>
        </w:trPr>
        <w:tc>
          <w:tcPr>
            <w:tcW w:w="3960" w:type="dxa"/>
            <w:vAlign w:val="bottom"/>
          </w:tcPr>
          <w:p>
            <w:pPr>
              <w:spacing w:after="0"/>
              <w:rPr>
                <w:sz w:val="17"/>
                <w:szCs w:val="17"/>
                <w:color w:val="auto"/>
              </w:rPr>
            </w:pPr>
          </w:p>
        </w:tc>
        <w:tc>
          <w:tcPr>
            <w:tcW w:w="6060" w:type="dxa"/>
            <w:vAlign w:val="bottom"/>
            <w:gridSpan w:val="4"/>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1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30,749</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7,561</w:t>
            </w:r>
          </w:p>
        </w:tc>
        <w:tc>
          <w:tcPr>
            <w:tcW w:w="1520" w:type="dxa"/>
            <w:vAlign w:val="bottom"/>
          </w:tcPr>
          <w:p>
            <w:pPr>
              <w:spacing w:after="0"/>
              <w:rPr>
                <w:sz w:val="17"/>
                <w:szCs w:val="17"/>
                <w:color w:val="auto"/>
              </w:rPr>
            </w:pP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38,310</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provision</w:t>
            </w:r>
          </w:p>
        </w:tc>
        <w:tc>
          <w:tcPr>
            <w:tcW w:w="1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12,607</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3,046</w:t>
            </w:r>
          </w:p>
        </w:tc>
        <w:tc>
          <w:tcPr>
            <w:tcW w:w="1520" w:type="dxa"/>
            <w:vAlign w:val="bottom"/>
          </w:tcPr>
          <w:p>
            <w:pPr>
              <w:spacing w:after="0"/>
              <w:rPr>
                <w:sz w:val="17"/>
                <w:szCs w:val="17"/>
                <w:color w:val="auto"/>
              </w:rPr>
            </w:pP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15,653</w:t>
            </w:r>
          </w:p>
        </w:tc>
      </w:tr>
      <w:tr>
        <w:trPr>
          <w:trHeight w:val="203"/>
        </w:trPr>
        <w:tc>
          <w:tcPr>
            <w:tcW w:w="3960" w:type="dxa"/>
            <w:vAlign w:val="bottom"/>
          </w:tcPr>
          <w:p>
            <w:pPr>
              <w:spacing w:after="0"/>
              <w:rPr>
                <w:sz w:val="17"/>
                <w:szCs w:val="17"/>
                <w:color w:val="auto"/>
              </w:rPr>
            </w:pPr>
          </w:p>
        </w:tc>
        <w:tc>
          <w:tcPr>
            <w:tcW w:w="6060" w:type="dxa"/>
            <w:vAlign w:val="bottom"/>
            <w:gridSpan w:val="4"/>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$18,142</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$4,515</w:t>
            </w:r>
          </w:p>
        </w:tc>
        <w:tc>
          <w:tcPr>
            <w:tcW w:w="1520" w:type="dxa"/>
            <w:vAlign w:val="bottom"/>
          </w:tcPr>
          <w:p>
            <w:pPr>
              <w:spacing w:after="0"/>
              <w:rPr>
                <w:sz w:val="17"/>
                <w:szCs w:val="17"/>
                <w:color w:val="auto"/>
              </w:rPr>
            </w:pP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$22,657</w:t>
            </w:r>
          </w:p>
        </w:tc>
      </w:tr>
      <w:tr>
        <w:trPr>
          <w:trHeight w:val="203"/>
        </w:trPr>
        <w:tc>
          <w:tcPr>
            <w:tcW w:w="3960" w:type="dxa"/>
            <w:vAlign w:val="bottom"/>
          </w:tcPr>
          <w:p>
            <w:pPr>
              <w:spacing w:after="0"/>
              <w:rPr>
                <w:sz w:val="17"/>
                <w:szCs w:val="17"/>
                <w:color w:val="auto"/>
              </w:rPr>
            </w:pPr>
          </w:p>
        </w:tc>
        <w:tc>
          <w:tcPr>
            <w:tcW w:w="6060" w:type="dxa"/>
            <w:vAlign w:val="bottom"/>
            <w:gridSpan w:val="4"/>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per common and</w:t>
            </w:r>
          </w:p>
        </w:tc>
        <w:tc>
          <w:tcPr>
            <w:tcW w:w="1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equivalent share</w:t>
            </w:r>
          </w:p>
        </w:tc>
        <w:tc>
          <w:tcPr>
            <w:tcW w:w="1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$0.39</w:t>
            </w:r>
          </w:p>
        </w:tc>
        <w:tc>
          <w:tcPr>
            <w:tcW w:w="16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$0.43</w:t>
            </w:r>
          </w:p>
        </w:tc>
      </w:tr>
      <w:tr>
        <w:trPr>
          <w:trHeight w:val="203"/>
        </w:trPr>
        <w:tc>
          <w:tcPr>
            <w:tcW w:w="3960" w:type="dxa"/>
            <w:vAlign w:val="bottom"/>
          </w:tcPr>
          <w:p>
            <w:pPr>
              <w:spacing w:after="0"/>
              <w:rPr>
                <w:sz w:val="17"/>
                <w:szCs w:val="17"/>
                <w:color w:val="auto"/>
              </w:rPr>
            </w:pPr>
          </w:p>
        </w:tc>
        <w:tc>
          <w:tcPr>
            <w:tcW w:w="6060" w:type="dxa"/>
            <w:vAlign w:val="bottom"/>
            <w:gridSpan w:val="4"/>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used in computing net</w:t>
            </w:r>
          </w:p>
        </w:tc>
        <w:tc>
          <w:tcPr>
            <w:tcW w:w="1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per share</w:t>
            </w:r>
          </w:p>
        </w:tc>
        <w:tc>
          <w:tcPr>
            <w:tcW w:w="1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46,544</w:t>
            </w:r>
          </w:p>
        </w:tc>
        <w:tc>
          <w:tcPr>
            <w:tcW w:w="1640" w:type="dxa"/>
            <w:vAlign w:val="bottom"/>
          </w:tcPr>
          <w:p>
            <w:pPr>
              <w:spacing w:after="0"/>
              <w:rPr>
                <w:sz w:val="17"/>
                <w:szCs w:val="17"/>
                <w:color w:val="auto"/>
              </w:rPr>
            </w:pP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5,827  (C)</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52,371</w:t>
            </w:r>
          </w:p>
        </w:tc>
      </w:tr>
      <w:tr>
        <w:trPr>
          <w:trHeight w:val="203"/>
        </w:trPr>
        <w:tc>
          <w:tcPr>
            <w:tcW w:w="3960" w:type="dxa"/>
            <w:vAlign w:val="bottom"/>
          </w:tcPr>
          <w:p>
            <w:pPr>
              <w:spacing w:after="0"/>
              <w:rPr>
                <w:sz w:val="17"/>
                <w:szCs w:val="17"/>
                <w:color w:val="auto"/>
              </w:rPr>
            </w:pPr>
          </w:p>
        </w:tc>
        <w:tc>
          <w:tcPr>
            <w:tcW w:w="6060" w:type="dxa"/>
            <w:vAlign w:val="bottom"/>
            <w:gridSpan w:val="4"/>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notes to pro forma condensed consolidated financial statements</w:t>
      </w:r>
    </w:p>
    <w:p>
      <w:pPr>
        <w:sectPr>
          <w:pgSz w:w="11900" w:h="16838" w:orient="portrait"/>
          <w:cols w:equalWidth="0" w:num="1">
            <w:col w:w="10219"/>
          </w:cols>
          <w:pgMar w:left="240" w:top="723" w:right="1440" w:bottom="1440" w:gutter="0" w:footer="0" w:header="0"/>
        </w:sectPr>
      </w:pPr>
    </w:p>
    <w:bookmarkStart w:id="5" w:name="page6"/>
    <w:bookmarkEnd w:id="5"/>
    <w:p>
      <w:pPr>
        <w:ind w:left="3280" w:right="2839" w:hanging="2422"/>
        <w:spacing w:after="0" w:line="235" w:lineRule="auto"/>
        <w:rPr>
          <w:sz w:val="20"/>
          <w:szCs w:val="20"/>
          <w:color w:val="auto"/>
        </w:rPr>
      </w:pPr>
      <w:r>
        <w:rPr>
          <w:rFonts w:ascii="Courier New" w:cs="Courier New" w:eastAsia="Courier New" w:hAnsi="Courier New"/>
          <w:sz w:val="18"/>
          <w:szCs w:val="18"/>
          <w:color w:val="auto"/>
        </w:rPr>
        <w:t>Notes to Pro Forma Condensed Consolidated Financial Statements (Unaudited)</w:t>
      </w:r>
    </w:p>
    <w:p>
      <w:pPr>
        <w:ind w:left="3060"/>
        <w:spacing w:after="0"/>
        <w:rPr>
          <w:sz w:val="20"/>
          <w:szCs w:val="20"/>
          <w:color w:val="auto"/>
        </w:rPr>
      </w:pPr>
      <w:r>
        <w:rPr>
          <w:rFonts w:ascii="Courier New" w:cs="Courier New" w:eastAsia="Courier New" w:hAnsi="Courier New"/>
          <w:sz w:val="18"/>
          <w:szCs w:val="18"/>
          <w:color w:val="auto"/>
        </w:rPr>
        <w:t>(In thousands)</w:t>
      </w:r>
    </w:p>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The following pro forma adjustments have been made for purposes of determining the pro forma effects of the acquisition of BHC by Fiserv on a pooling of interests accounting basis: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20" w:type="dxa"/>
            <w:vAlign w:val="bottom"/>
          </w:tcPr>
          <w:p>
            <w:pPr>
              <w:spacing w:after="0"/>
              <w:rPr>
                <w:sz w:val="20"/>
                <w:szCs w:val="20"/>
                <w:color w:val="auto"/>
              </w:rPr>
            </w:pPr>
            <w:r>
              <w:rPr>
                <w:rFonts w:ascii="Courier New" w:cs="Courier New" w:eastAsia="Courier New" w:hAnsi="Courier New"/>
                <w:sz w:val="18"/>
                <w:szCs w:val="18"/>
                <w:color w:val="auto"/>
              </w:rPr>
              <w:t>(A) Common stock</w:t>
            </w:r>
          </w:p>
        </w:tc>
        <w:tc>
          <w:tcPr>
            <w:tcW w:w="4120" w:type="dxa"/>
            <w:vAlign w:val="bottom"/>
          </w:tcPr>
          <w:p>
            <w:pPr>
              <w:jc w:val="right"/>
              <w:spacing w:after="0"/>
              <w:rPr>
                <w:sz w:val="20"/>
                <w:szCs w:val="20"/>
                <w:color w:val="auto"/>
              </w:rPr>
            </w:pPr>
            <w:r>
              <w:rPr>
                <w:rFonts w:ascii="Courier New" w:cs="Courier New" w:eastAsia="Courier New" w:hAnsi="Courier New"/>
                <w:sz w:val="18"/>
                <w:szCs w:val="18"/>
                <w:color w:val="auto"/>
              </w:rPr>
              <w:t>$57</w:t>
            </w:r>
          </w:p>
        </w:tc>
      </w:tr>
      <w:tr>
        <w:trPr>
          <w:trHeight w:val="203"/>
        </w:trPr>
        <w:tc>
          <w:tcPr>
            <w:tcW w:w="4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Common stock</w:t>
            </w:r>
          </w:p>
        </w:tc>
        <w:tc>
          <w:tcPr>
            <w:tcW w:w="412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4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412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49</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w w:val="99"/>
              </w:rPr>
              <w:t>To reflect  the  issuance  of  5,684,000</w:t>
            </w:r>
          </w:p>
        </w:tc>
        <w:tc>
          <w:tcPr>
            <w:tcW w:w="4120" w:type="dxa"/>
            <w:vAlign w:val="bottom"/>
          </w:tcPr>
          <w:p>
            <w:pPr>
              <w:ind w:left="120"/>
              <w:spacing w:after="0"/>
              <w:rPr>
                <w:sz w:val="20"/>
                <w:szCs w:val="20"/>
                <w:color w:val="auto"/>
              </w:rPr>
            </w:pPr>
            <w:r>
              <w:rPr>
                <w:rFonts w:ascii="Courier New" w:cs="Courier New" w:eastAsia="Courier New" w:hAnsi="Courier New"/>
                <w:sz w:val="18"/>
                <w:szCs w:val="18"/>
                <w:color w:val="auto"/>
              </w:rPr>
              <w:t>shares of Fiserv  common</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stock in exchange  for BHC common  stock</w:t>
            </w:r>
          </w:p>
        </w:tc>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outstanding  (see (C) below)</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(B) Cash and cash equivalents</w:t>
            </w:r>
          </w:p>
        </w:tc>
        <w:tc>
          <w:tcPr>
            <w:tcW w:w="4120" w:type="dxa"/>
            <w:vAlign w:val="bottom"/>
          </w:tcPr>
          <w:p>
            <w:pPr>
              <w:jc w:val="right"/>
              <w:ind w:right="1612"/>
              <w:spacing w:after="0"/>
              <w:rPr>
                <w:sz w:val="20"/>
                <w:szCs w:val="20"/>
                <w:color w:val="auto"/>
              </w:rPr>
            </w:pPr>
            <w:r>
              <w:rPr>
                <w:rFonts w:ascii="Courier New" w:cs="Courier New" w:eastAsia="Courier New" w:hAnsi="Courier New"/>
                <w:sz w:val="18"/>
                <w:szCs w:val="18"/>
                <w:color w:val="auto"/>
              </w:rPr>
              <w:t>$5,435</w:t>
            </w:r>
          </w:p>
        </w:tc>
      </w:tr>
      <w:tr>
        <w:trPr>
          <w:trHeight w:val="203"/>
        </w:trPr>
        <w:tc>
          <w:tcPr>
            <w:tcW w:w="4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412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9,991</w:t>
            </w:r>
          </w:p>
        </w:tc>
      </w:tr>
      <w:tr>
        <w:trPr>
          <w:trHeight w:val="203"/>
        </w:trPr>
        <w:tc>
          <w:tcPr>
            <w:tcW w:w="4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Treasury stock at cost</w:t>
            </w:r>
          </w:p>
        </w:tc>
        <w:tc>
          <w:tcPr>
            <w:tcW w:w="4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15,426</w:t>
            </w:r>
          </w:p>
        </w:tc>
      </w:tr>
    </w:tbl>
    <w:p>
      <w:pPr>
        <w:spacing w:after="0" w:line="207" w:lineRule="exact"/>
        <w:rPr>
          <w:sz w:val="20"/>
          <w:szCs w:val="20"/>
          <w:color w:val="auto"/>
        </w:rPr>
      </w:pPr>
    </w:p>
    <w:p>
      <w:pPr>
        <w:ind w:right="4199"/>
        <w:spacing w:after="0" w:line="290" w:lineRule="auto"/>
        <w:rPr>
          <w:sz w:val="20"/>
          <w:szCs w:val="20"/>
          <w:color w:val="auto"/>
        </w:rPr>
      </w:pPr>
      <w:r>
        <w:rPr>
          <w:rFonts w:ascii="Courier New" w:cs="Courier New" w:eastAsia="Courier New" w:hAnsi="Courier New"/>
          <w:sz w:val="16"/>
          <w:szCs w:val="16"/>
          <w:color w:val="auto"/>
        </w:rPr>
        <w:t>To reflect proceeds from sale of 165,000 treasury shares, and the retirement of the remaining treasury shares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jc w:val="right"/>
              <w:spacing w:after="0"/>
              <w:rPr>
                <w:sz w:val="20"/>
                <w:szCs w:val="20"/>
                <w:color w:val="auto"/>
              </w:rPr>
            </w:pPr>
            <w:r>
              <w:rPr>
                <w:rFonts w:ascii="Courier New" w:cs="Courier New" w:eastAsia="Courier New" w:hAnsi="Courier New"/>
                <w:sz w:val="18"/>
                <w:szCs w:val="18"/>
                <w:color w:val="auto"/>
                <w:w w:val="97"/>
              </w:rPr>
              <w:t>(C) Shares issuable have</w:t>
            </w:r>
          </w:p>
        </w:tc>
        <w:tc>
          <w:tcPr>
            <w:tcW w:w="170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9"/>
              </w:rPr>
              <w:t>been determined</w:t>
            </w:r>
          </w:p>
        </w:tc>
        <w:tc>
          <w:tcPr>
            <w:tcW w:w="2320" w:type="dxa"/>
            <w:vAlign w:val="bottom"/>
          </w:tcPr>
          <w:p>
            <w:pPr>
              <w:ind w:left="40"/>
              <w:spacing w:after="0"/>
              <w:rPr>
                <w:sz w:val="20"/>
                <w:szCs w:val="20"/>
                <w:color w:val="auto"/>
              </w:rPr>
            </w:pPr>
            <w:r>
              <w:rPr>
                <w:rFonts w:ascii="Courier New" w:cs="Courier New" w:eastAsia="Courier New" w:hAnsi="Courier New"/>
                <w:sz w:val="18"/>
                <w:szCs w:val="18"/>
                <w:color w:val="auto"/>
              </w:rPr>
              <w:t>as follows:</w:t>
            </w:r>
          </w:p>
        </w:tc>
        <w:tc>
          <w:tcPr>
            <w:tcW w:w="1840" w:type="dxa"/>
            <w:vAlign w:val="bottom"/>
          </w:tcPr>
          <w:p>
            <w:pPr>
              <w:spacing w:after="0"/>
              <w:rPr>
                <w:sz w:val="17"/>
                <w:szCs w:val="17"/>
                <w:color w:val="auto"/>
              </w:rPr>
            </w:pPr>
          </w:p>
        </w:tc>
      </w:tr>
      <w:tr>
        <w:trPr>
          <w:trHeight w:val="405"/>
        </w:trPr>
        <w:tc>
          <w:tcPr>
            <w:tcW w:w="3020" w:type="dxa"/>
            <w:vAlign w:val="bottom"/>
            <w:gridSpan w:val="3"/>
          </w:tcPr>
          <w:p>
            <w:pPr>
              <w:ind w:left="1160"/>
              <w:spacing w:after="0"/>
              <w:rPr>
                <w:sz w:val="20"/>
                <w:szCs w:val="20"/>
                <w:color w:val="auto"/>
              </w:rPr>
            </w:pPr>
            <w:r>
              <w:rPr>
                <w:rFonts w:ascii="Courier New" w:cs="Courier New" w:eastAsia="Courier New" w:hAnsi="Courier New"/>
                <w:sz w:val="18"/>
                <w:szCs w:val="18"/>
                <w:color w:val="auto"/>
              </w:rPr>
              <w:t>BHC common shares</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w w:val="99"/>
              </w:rPr>
              <w:t>outstanding</w:t>
            </w:r>
          </w:p>
        </w:tc>
        <w:tc>
          <w:tcPr>
            <w:tcW w:w="232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6,500</w:t>
            </w:r>
          </w:p>
        </w:tc>
      </w:tr>
      <w:tr>
        <w:trPr>
          <w:trHeight w:val="405"/>
        </w:trPr>
        <w:tc>
          <w:tcPr>
            <w:tcW w:w="3020" w:type="dxa"/>
            <w:vAlign w:val="bottom"/>
            <w:gridSpan w:val="3"/>
          </w:tcPr>
          <w:p>
            <w:pPr>
              <w:ind w:left="1160"/>
              <w:spacing w:after="0"/>
              <w:rPr>
                <w:sz w:val="20"/>
                <w:szCs w:val="20"/>
                <w:color w:val="auto"/>
              </w:rPr>
            </w:pPr>
            <w:r>
              <w:rPr>
                <w:rFonts w:ascii="Courier New" w:cs="Courier New" w:eastAsia="Courier New" w:hAnsi="Courier New"/>
                <w:sz w:val="18"/>
                <w:szCs w:val="18"/>
                <w:color w:val="auto"/>
              </w:rPr>
              <w:t>Value at $33.50 a</w:t>
            </w:r>
          </w:p>
        </w:tc>
        <w:tc>
          <w:tcPr>
            <w:tcW w:w="1260" w:type="dxa"/>
            <w:vAlign w:val="bottom"/>
          </w:tcPr>
          <w:p>
            <w:pPr>
              <w:jc w:val="right"/>
              <w:ind w:right="612"/>
              <w:spacing w:after="0"/>
              <w:rPr>
                <w:sz w:val="20"/>
                <w:szCs w:val="20"/>
                <w:color w:val="auto"/>
              </w:rPr>
            </w:pPr>
            <w:r>
              <w:rPr>
                <w:rFonts w:ascii="Courier New" w:cs="Courier New" w:eastAsia="Courier New" w:hAnsi="Courier New"/>
                <w:sz w:val="18"/>
                <w:szCs w:val="18"/>
                <w:color w:val="auto"/>
                <w:w w:val="99"/>
              </w:rPr>
              <w:t>share</w:t>
            </w:r>
          </w:p>
        </w:tc>
        <w:tc>
          <w:tcPr>
            <w:tcW w:w="232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217,742</w:t>
            </w:r>
          </w:p>
        </w:tc>
      </w:tr>
      <w:tr>
        <w:trPr>
          <w:trHeight w:val="405"/>
        </w:trPr>
        <w:tc>
          <w:tcPr>
            <w:tcW w:w="2580" w:type="dxa"/>
            <w:vAlign w:val="bottom"/>
          </w:tcPr>
          <w:p>
            <w:pPr>
              <w:jc w:val="right"/>
              <w:spacing w:after="0"/>
              <w:rPr>
                <w:sz w:val="20"/>
                <w:szCs w:val="20"/>
                <w:color w:val="auto"/>
              </w:rPr>
            </w:pPr>
            <w:r>
              <w:rPr>
                <w:rFonts w:ascii="Courier New" w:cs="Courier New" w:eastAsia="Courier New" w:hAnsi="Courier New"/>
                <w:sz w:val="18"/>
                <w:szCs w:val="18"/>
                <w:color w:val="auto"/>
              </w:rPr>
              <w:t>Fiserv shares</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to</w:t>
            </w:r>
          </w:p>
        </w:tc>
        <w:tc>
          <w:tcPr>
            <w:tcW w:w="1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be issued at</w:t>
            </w:r>
          </w:p>
        </w:tc>
        <w:tc>
          <w:tcPr>
            <w:tcW w:w="2320" w:type="dxa"/>
            <w:vAlign w:val="bottom"/>
          </w:tcPr>
          <w:p>
            <w:pPr>
              <w:ind w:left="40"/>
              <w:spacing w:after="0"/>
              <w:rPr>
                <w:sz w:val="20"/>
                <w:szCs w:val="20"/>
                <w:color w:val="auto"/>
              </w:rPr>
            </w:pPr>
            <w:r>
              <w:rPr>
                <w:rFonts w:ascii="Courier New" w:cs="Courier New" w:eastAsia="Courier New" w:hAnsi="Courier New"/>
                <w:sz w:val="18"/>
                <w:szCs w:val="18"/>
                <w:color w:val="auto"/>
              </w:rPr>
              <w:t>average</w:t>
            </w:r>
          </w:p>
        </w:tc>
        <w:tc>
          <w:tcPr>
            <w:tcW w:w="1840" w:type="dxa"/>
            <w:vAlign w:val="bottom"/>
          </w:tcPr>
          <w:p>
            <w:pPr>
              <w:spacing w:after="0"/>
              <w:rPr>
                <w:sz w:val="24"/>
                <w:szCs w:val="24"/>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market price</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1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$38.3094 per</w:t>
            </w:r>
          </w:p>
        </w:tc>
        <w:tc>
          <w:tcPr>
            <w:tcW w:w="2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5,684</w:t>
            </w:r>
          </w:p>
        </w:tc>
      </w:tr>
    </w:tbl>
    <w:p>
      <w:pPr>
        <w:spacing w:after="0" w:line="207" w:lineRule="exact"/>
        <w:rPr>
          <w:sz w:val="20"/>
          <w:szCs w:val="20"/>
          <w:color w:val="auto"/>
        </w:rPr>
      </w:pPr>
    </w:p>
    <w:p>
      <w:pPr>
        <w:jc w:val="both"/>
        <w:ind w:left="1160" w:right="2199"/>
        <w:spacing w:after="0" w:line="279" w:lineRule="auto"/>
        <w:rPr>
          <w:sz w:val="20"/>
          <w:szCs w:val="20"/>
          <w:color w:val="auto"/>
        </w:rPr>
      </w:pPr>
      <w:r>
        <w:rPr>
          <w:rFonts w:ascii="Courier New" w:cs="Courier New" w:eastAsia="Courier New" w:hAnsi="Courier New"/>
          <w:sz w:val="16"/>
          <w:szCs w:val="16"/>
          <w:color w:val="auto"/>
        </w:rPr>
        <w:t>Shares used in computing net income per share have been increased by the number of shares used in calculating BHC earnings per share for the period multiplied by the exchange ratio ( .87446).</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2019-12-13T17:13:46Z</dcterms:created>
  <dcterms:modified xsi:type="dcterms:W3CDTF">2019-12-13T17:13:46Z</dcterms:modified>
</cp:coreProperties>
</file>