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CheckFree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Common Stock, $.01 par value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162813109</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September 1, 2000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[_] Rule 13d-1(b)</w:t>
      </w:r>
    </w:p>
    <w:p>
      <w:pPr>
        <w:spacing w:after="0" w:line="207" w:lineRule="exact"/>
        <w:rPr>
          <w:sz w:val="24"/>
          <w:szCs w:val="24"/>
          <w:color w:val="auto"/>
        </w:rPr>
      </w:pPr>
    </w:p>
    <w:p>
      <w:pPr>
        <w:jc w:val="both"/>
        <w:ind w:left="540" w:right="7899" w:hanging="5"/>
        <w:spacing w:after="0" w:line="558" w:lineRule="auto"/>
        <w:tabs>
          <w:tab w:leader="none" w:pos="96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[_] Rule 13d-1(d)</w:t>
      </w:r>
    </w:p>
    <w:p>
      <w:pPr>
        <w:spacing w:after="0" w:line="17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49" w:right="1440" w:bottom="1440" w:gutter="0" w:footer="0" w:header="0"/>
        </w:sectPr>
      </w:pPr>
    </w:p>
    <w:bookmarkStart w:id="1" w:name="page2"/>
    <w:bookmarkEnd w:id="1"/>
    <w:p>
      <w:pPr>
        <w:ind w:left="220"/>
        <w:spacing w:after="0"/>
        <w:rPr>
          <w:sz w:val="20"/>
          <w:szCs w:val="20"/>
          <w:color w:val="auto"/>
        </w:rPr>
      </w:pPr>
      <w:r>
        <w:rPr>
          <w:rFonts w:ascii="Courier New" w:cs="Courier New" w:eastAsia="Courier New" w:hAnsi="Courier New"/>
          <w:sz w:val="18"/>
          <w:szCs w:val="18"/>
          <w:color w:val="auto"/>
        </w:rPr>
        <w:t>CUSIP No.: 162813109</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NAME OF REPORTING PERSONS.</w:t>
      </w:r>
    </w:p>
    <w:p>
      <w:pPr>
        <w:ind w:left="120"/>
        <w:spacing w:after="0" w:line="238" w:lineRule="auto"/>
        <w:rPr>
          <w:sz w:val="20"/>
          <w:szCs w:val="20"/>
          <w:color w:val="auto"/>
        </w:rPr>
      </w:pPr>
      <w:r>
        <w:rPr>
          <w:rFonts w:ascii="Courier New" w:cs="Courier New" w:eastAsia="Courier New" w:hAnsi="Courier New"/>
          <w:sz w:val="18"/>
          <w:szCs w:val="18"/>
          <w:color w:val="auto"/>
        </w:rPr>
        <w:t>1</w:t>
      </w:r>
    </w:p>
    <w:p>
      <w:pPr>
        <w:ind w:left="1160"/>
        <w:spacing w:after="0"/>
        <w:rPr>
          <w:sz w:val="20"/>
          <w:szCs w:val="20"/>
          <w:color w:val="auto"/>
        </w:rPr>
      </w:pPr>
      <w:r>
        <w:rPr>
          <w:rFonts w:ascii="Courier New" w:cs="Courier New" w:eastAsia="Courier New" w:hAnsi="Courier New"/>
          <w:sz w:val="18"/>
          <w:szCs w:val="18"/>
          <w:color w:val="auto"/>
        </w:rPr>
        <w:t>Microsoft Corporation</w:t>
      </w:r>
    </w:p>
    <w:p>
      <w:pPr>
        <w:spacing w:after="0" w:line="200" w:lineRule="exact"/>
        <w:rPr>
          <w:sz w:val="20"/>
          <w:szCs w:val="20"/>
          <w:color w:val="auto"/>
        </w:rPr>
      </w:pPr>
    </w:p>
    <w:p>
      <w:pPr>
        <w:ind w:left="1160" w:hanging="520"/>
        <w:spacing w:after="0"/>
        <w:tabs>
          <w:tab w:leader="none" w:pos="11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w:t>
      </w:r>
    </w:p>
    <w:p>
      <w:pPr>
        <w:spacing w:after="0" w:line="201"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203"/>
        </w:trPr>
        <w:tc>
          <w:tcPr>
            <w:tcW w:w="3360" w:type="dxa"/>
            <w:vAlign w:val="bottom"/>
          </w:tcPr>
          <w:p>
            <w:pPr>
              <w:jc w:val="right"/>
              <w:ind w:right="3172"/>
              <w:spacing w:after="0"/>
              <w:rPr>
                <w:sz w:val="20"/>
                <w:szCs w:val="20"/>
                <w:color w:val="auto"/>
              </w:rPr>
            </w:pPr>
            <w:r>
              <w:rPr>
                <w:rFonts w:ascii="Courier New" w:cs="Courier New" w:eastAsia="Courier New" w:hAnsi="Courier New"/>
                <w:sz w:val="18"/>
                <w:szCs w:val="18"/>
                <w:color w:val="auto"/>
                <w:w w:val="73"/>
              </w:rPr>
              <w:t>2</w:t>
            </w:r>
          </w:p>
        </w:tc>
        <w:tc>
          <w:tcPr>
            <w:tcW w:w="3640" w:type="dxa"/>
            <w:vAlign w:val="bottom"/>
          </w:tcPr>
          <w:p>
            <w:pPr>
              <w:ind w:left="32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3360" w:type="dxa"/>
            <w:vAlign w:val="bottom"/>
          </w:tcPr>
          <w:p>
            <w:pPr>
              <w:spacing w:after="0"/>
              <w:rPr>
                <w:sz w:val="17"/>
                <w:szCs w:val="17"/>
                <w:color w:val="auto"/>
              </w:rPr>
            </w:pPr>
          </w:p>
        </w:tc>
        <w:tc>
          <w:tcPr>
            <w:tcW w:w="3640" w:type="dxa"/>
            <w:vAlign w:val="bottom"/>
          </w:tcPr>
          <w:p>
            <w:pPr>
              <w:ind w:left="32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bl>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spacing w:after="0" w:line="206"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120"/>
        <w:spacing w:after="0"/>
        <w:rPr>
          <w:sz w:val="20"/>
          <w:szCs w:val="20"/>
          <w:color w:val="auto"/>
        </w:rPr>
      </w:pPr>
      <w:r>
        <w:rPr>
          <w:rFonts w:ascii="Courier New" w:cs="Courier New" w:eastAsia="Courier New" w:hAnsi="Courier New"/>
          <w:sz w:val="18"/>
          <w:szCs w:val="18"/>
          <w:color w:val="auto"/>
        </w:rPr>
        <w:t>4</w:t>
      </w:r>
    </w:p>
    <w:p>
      <w:pPr>
        <w:ind w:left="1060"/>
        <w:spacing w:after="0" w:line="237" w:lineRule="auto"/>
        <w:rPr>
          <w:sz w:val="20"/>
          <w:szCs w:val="20"/>
          <w:color w:val="auto"/>
        </w:rPr>
      </w:pPr>
      <w:r>
        <w:rPr>
          <w:rFonts w:ascii="Courier New" w:cs="Courier New" w:eastAsia="Courier New" w:hAnsi="Courier New"/>
          <w:sz w:val="18"/>
          <w:szCs w:val="18"/>
          <w:color w:val="auto"/>
        </w:rPr>
        <w:t>State of Washington</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tbl>
      <w:tblPr>
        <w:tblLayout w:type="fixed"/>
        <w:tblInd w:w="320" w:type="dxa"/>
        <w:tblCellMar>
          <w:top w:w="0" w:type="dxa"/>
          <w:left w:w="0" w:type="dxa"/>
          <w:bottom w:w="0" w:type="dxa"/>
          <w:right w:w="0" w:type="dxa"/>
        </w:tblCellMar>
      </w:tblPr>
      <w:tr>
        <w:trPr>
          <w:trHeight w:val="203"/>
        </w:trPr>
        <w:tc>
          <w:tcPr>
            <w:tcW w:w="1480" w:type="dxa"/>
            <w:vAlign w:val="bottom"/>
          </w:tcPr>
          <w:p>
            <w:pPr>
              <w:spacing w:after="0"/>
              <w:rPr>
                <w:sz w:val="17"/>
                <w:szCs w:val="17"/>
                <w:color w:val="auto"/>
              </w:rPr>
            </w:pPr>
          </w:p>
        </w:tc>
        <w:tc>
          <w:tcPr>
            <w:tcW w:w="6420" w:type="dxa"/>
            <w:vAlign w:val="bottom"/>
          </w:tcPr>
          <w:p>
            <w:pPr>
              <w:jc w:val="right"/>
              <w:ind w:right="5812"/>
              <w:spacing w:after="0"/>
              <w:rPr>
                <w:sz w:val="20"/>
                <w:szCs w:val="20"/>
                <w:color w:val="auto"/>
              </w:rPr>
            </w:pPr>
            <w:r>
              <w:rPr>
                <w:rFonts w:ascii="Courier New" w:cs="Courier New" w:eastAsia="Courier New" w:hAnsi="Courier New"/>
                <w:sz w:val="18"/>
                <w:szCs w:val="18"/>
                <w:color w:val="auto"/>
              </w:rPr>
              <w:t>5</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642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8,567,250</w:t>
            </w: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SHARES</w:t>
            </w:r>
          </w:p>
        </w:tc>
        <w:tc>
          <w:tcPr>
            <w:tcW w:w="6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420" w:type="dxa"/>
            <w:vAlign w:val="bottom"/>
          </w:tcPr>
          <w:p>
            <w:pPr>
              <w:jc w:val="right"/>
              <w:ind w:right="58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480" w:type="dxa"/>
            <w:vAlign w:val="bottom"/>
          </w:tcPr>
          <w:p>
            <w:pPr>
              <w:spacing w:after="0"/>
              <w:rPr>
                <w:sz w:val="17"/>
                <w:szCs w:val="17"/>
                <w:color w:val="auto"/>
              </w:rPr>
            </w:pPr>
          </w:p>
        </w:tc>
        <w:tc>
          <w:tcPr>
            <w:tcW w:w="6420" w:type="dxa"/>
            <w:vAlign w:val="bottom"/>
          </w:tcPr>
          <w:p>
            <w:pPr>
              <w:jc w:val="right"/>
              <w:ind w:right="45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4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6420" w:type="dxa"/>
            <w:vAlign w:val="bottom"/>
          </w:tcPr>
          <w:p>
            <w:pPr>
              <w:jc w:val="right"/>
              <w:ind w:right="58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42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8,567,250</w:t>
            </w: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PERSON</w:t>
            </w:r>
          </w:p>
        </w:tc>
        <w:tc>
          <w:tcPr>
            <w:tcW w:w="6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6420" w:type="dxa"/>
            <w:vAlign w:val="bottom"/>
          </w:tcPr>
          <w:p>
            <w:pPr>
              <w:jc w:val="right"/>
              <w:ind w:right="58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480" w:type="dxa"/>
            <w:vAlign w:val="bottom"/>
          </w:tcPr>
          <w:p>
            <w:pPr>
              <w:spacing w:after="0"/>
              <w:rPr>
                <w:sz w:val="17"/>
                <w:szCs w:val="17"/>
                <w:color w:val="auto"/>
              </w:rPr>
            </w:pPr>
          </w:p>
        </w:tc>
        <w:tc>
          <w:tcPr>
            <w:tcW w:w="642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960"/>
        <w:spacing w:after="0"/>
        <w:rPr>
          <w:sz w:val="20"/>
          <w:szCs w:val="20"/>
          <w:color w:val="auto"/>
        </w:rPr>
      </w:pPr>
      <w:r>
        <w:rPr>
          <w:rFonts w:ascii="Courier New" w:cs="Courier New" w:eastAsia="Courier New" w:hAnsi="Courier New"/>
          <w:sz w:val="18"/>
          <w:szCs w:val="18"/>
          <w:color w:val="auto"/>
        </w:rPr>
        <w:t>8,567,250</w:t>
      </w:r>
    </w:p>
    <w:p>
      <w:pPr>
        <w:spacing w:after="0" w:line="3"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THE AGGREGATE AMOUNT IN ROW (9) EXCLUDES CERTAIN SHARES</w:t>
      </w:r>
    </w:p>
    <w:p>
      <w:pPr>
        <w:spacing w:after="0"/>
        <w:rPr>
          <w:sz w:val="20"/>
          <w:szCs w:val="20"/>
          <w:color w:val="auto"/>
        </w:rPr>
      </w:pPr>
      <w:r>
        <w:rPr>
          <w:rFonts w:ascii="Courier New" w:cs="Courier New" w:eastAsia="Courier New" w:hAnsi="Courier New"/>
          <w:sz w:val="18"/>
          <w:szCs w:val="18"/>
          <w:color w:val="auto"/>
        </w:rPr>
        <w:t>10</w:t>
      </w:r>
    </w:p>
    <w:p>
      <w:pPr>
        <w:ind w:left="7180"/>
        <w:spacing w:after="0" w:line="237"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11</w:t>
      </w:r>
    </w:p>
    <w:p>
      <w:pPr>
        <w:ind w:left="960"/>
        <w:spacing w:after="0"/>
        <w:rPr>
          <w:sz w:val="20"/>
          <w:szCs w:val="20"/>
          <w:color w:val="auto"/>
        </w:rPr>
      </w:pPr>
      <w:r>
        <w:rPr>
          <w:rFonts w:ascii="Courier New" w:cs="Courier New" w:eastAsia="Courier New" w:hAnsi="Courier New"/>
          <w:sz w:val="18"/>
          <w:szCs w:val="18"/>
          <w:color w:val="auto"/>
        </w:rPr>
        <w:t>11.3%</w:t>
      </w:r>
    </w:p>
    <w:p>
      <w:pPr>
        <w:spacing w:after="0" w:line="3"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w:t>
      </w:r>
    </w:p>
    <w:p>
      <w:pPr>
        <w:spacing w:after="0"/>
        <w:rPr>
          <w:sz w:val="20"/>
          <w:szCs w:val="20"/>
          <w:color w:val="auto"/>
        </w:rPr>
      </w:pPr>
      <w:r>
        <w:rPr>
          <w:rFonts w:ascii="Courier New" w:cs="Courier New" w:eastAsia="Courier New" w:hAnsi="Courier New"/>
          <w:sz w:val="18"/>
          <w:szCs w:val="18"/>
          <w:color w:val="auto"/>
        </w:rPr>
        <w:t>12</w:t>
      </w:r>
    </w:p>
    <w:p>
      <w:pPr>
        <w:ind w:left="960"/>
        <w:spacing w:after="0" w:line="237" w:lineRule="auto"/>
        <w:rPr>
          <w:sz w:val="20"/>
          <w:szCs w:val="20"/>
          <w:color w:val="auto"/>
        </w:rPr>
      </w:pPr>
      <w:r>
        <w:rPr>
          <w:rFonts w:ascii="Courier New" w:cs="Courier New" w:eastAsia="Courier New" w:hAnsi="Courier New"/>
          <w:sz w:val="18"/>
          <w:szCs w:val="18"/>
          <w:color w:val="auto"/>
        </w:rPr>
        <w:t>CO</w:t>
      </w:r>
    </w:p>
    <w:p>
      <w:pPr>
        <w:spacing w:after="0" w:line="5"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4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425"/>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CheckFree Corporation (the "Issuer")</w:t>
      </w:r>
    </w:p>
    <w:p>
      <w:pPr>
        <w:spacing w:after="0" w:line="206" w:lineRule="exact"/>
        <w:rPr>
          <w:rFonts w:ascii="Courier New" w:cs="Courier New" w:eastAsia="Courier New" w:hAnsi="Courier New"/>
          <w:sz w:val="18"/>
          <w:szCs w:val="18"/>
          <w:color w:val="auto"/>
        </w:rPr>
      </w:pPr>
    </w:p>
    <w:p>
      <w:pPr>
        <w:ind w:left="960" w:right="1879" w:hanging="425"/>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executive offices of Issuer: 4411 E. Jones Bridge Road, Norcross, Georgia 30092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425"/>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Persons Filing: Microsoft Corporation ("Microsoft")</w:t>
      </w:r>
    </w:p>
    <w:p>
      <w:pPr>
        <w:spacing w:after="0" w:line="206" w:lineRule="exact"/>
        <w:rPr>
          <w:rFonts w:ascii="Courier New" w:cs="Courier New" w:eastAsia="Courier New" w:hAnsi="Courier New"/>
          <w:sz w:val="18"/>
          <w:szCs w:val="18"/>
          <w:color w:val="auto"/>
        </w:rPr>
      </w:pPr>
    </w:p>
    <w:p>
      <w:pPr>
        <w:ind w:left="960" w:right="2419" w:hanging="425"/>
        <w:spacing w:after="0" w:line="235"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One Microsoft Way, Redmond, Washington 98052</w:t>
      </w:r>
    </w:p>
    <w:p>
      <w:pPr>
        <w:spacing w:after="0" w:line="208" w:lineRule="exact"/>
        <w:rPr>
          <w:rFonts w:ascii="Courier New" w:cs="Courier New" w:eastAsia="Courier New" w:hAnsi="Courier New"/>
          <w:sz w:val="18"/>
          <w:szCs w:val="18"/>
          <w:color w:val="auto"/>
        </w:rPr>
      </w:pPr>
    </w:p>
    <w:p>
      <w:pPr>
        <w:ind w:left="960" w:right="1879" w:hanging="425"/>
        <w:spacing w:after="0" w:line="235"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Microsoft is a corporation under the laws of the State of Washington</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 $.01 par value</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162813109</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8,567,250</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11.3%</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700" w:hanging="639"/>
        <w:spacing w:after="0"/>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8,567,250</w:t>
      </w:r>
    </w:p>
    <w:p>
      <w:pPr>
        <w:spacing w:after="0" w:line="201" w:lineRule="exact"/>
        <w:rPr>
          <w:rFonts w:ascii="Courier New" w:cs="Courier New" w:eastAsia="Courier New" w:hAnsi="Courier New"/>
          <w:sz w:val="18"/>
          <w:szCs w:val="18"/>
          <w:color w:val="auto"/>
        </w:rPr>
      </w:pPr>
    </w:p>
    <w:p>
      <w:pPr>
        <w:ind w:left="1700" w:hanging="639"/>
        <w:spacing w:after="0"/>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6" w:lineRule="exact"/>
        <w:rPr>
          <w:rFonts w:ascii="Courier New" w:cs="Courier New" w:eastAsia="Courier New" w:hAnsi="Courier New"/>
          <w:sz w:val="18"/>
          <w:szCs w:val="18"/>
          <w:color w:val="auto"/>
        </w:rPr>
      </w:pPr>
    </w:p>
    <w:p>
      <w:pPr>
        <w:ind w:left="1700" w:hanging="639"/>
        <w:spacing w:after="0"/>
        <w:tabs>
          <w:tab w:leader="none" w:pos="170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8,567,250</w:t>
      </w:r>
    </w:p>
    <w:p>
      <w:pPr>
        <w:spacing w:after="0" w:line="218" w:lineRule="exact"/>
        <w:rPr>
          <w:rFonts w:ascii="Courier New" w:cs="Courier New" w:eastAsia="Courier New" w:hAnsi="Courier New"/>
          <w:sz w:val="16"/>
          <w:szCs w:val="16"/>
          <w:color w:val="auto"/>
        </w:rPr>
      </w:pPr>
    </w:p>
    <w:p>
      <w:pPr>
        <w:ind w:left="1700" w:hanging="639"/>
        <w:spacing w:after="0"/>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 Not Applicable</w:t>
      </w:r>
    </w:p>
    <w:p>
      <w:pPr>
        <w:spacing w:after="0" w:line="200" w:lineRule="exact"/>
        <w:rPr>
          <w:sz w:val="20"/>
          <w:szCs w:val="20"/>
          <w:color w:val="auto"/>
        </w:rPr>
      </w:pPr>
    </w:p>
    <w:p>
      <w:pPr>
        <w:spacing w:after="0" w:line="209" w:lineRule="exact"/>
        <w:rPr>
          <w:sz w:val="20"/>
          <w:szCs w:val="20"/>
          <w:color w:val="auto"/>
        </w:rPr>
      </w:pPr>
    </w:p>
    <w:p>
      <w:pPr>
        <w:ind w:left="960" w:right="20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Not Applicable</w:t>
      </w:r>
    </w:p>
    <w:p>
      <w:pPr>
        <w:spacing w:after="0" w:line="200" w:lineRule="exact"/>
        <w:rPr>
          <w:sz w:val="20"/>
          <w:szCs w:val="20"/>
          <w:color w:val="auto"/>
        </w:rPr>
      </w:pPr>
    </w:p>
    <w:p>
      <w:pPr>
        <w:spacing w:after="0" w:line="205" w:lineRule="exact"/>
        <w:rPr>
          <w:sz w:val="20"/>
          <w:szCs w:val="20"/>
          <w:color w:val="auto"/>
        </w:rPr>
      </w:pPr>
    </w:p>
    <w:p>
      <w:pPr>
        <w:jc w:val="center"/>
        <w:ind w:right="1879"/>
        <w:spacing w:after="0"/>
        <w:tabs>
          <w:tab w:leader="none" w:pos="20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w:t>
      </w:r>
    </w:p>
    <w:p>
      <w:pPr>
        <w:spacing w:after="0" w:line="4" w:lineRule="exact"/>
        <w:rPr>
          <w:sz w:val="20"/>
          <w:szCs w:val="20"/>
          <w:color w:val="auto"/>
        </w:rPr>
      </w:pPr>
    </w:p>
    <w:p>
      <w:pPr>
        <w:ind w:left="960" w:right="2839"/>
        <w:spacing w:after="0" w:line="235" w:lineRule="auto"/>
        <w:rPr>
          <w:sz w:val="20"/>
          <w:szCs w:val="20"/>
          <w:color w:val="auto"/>
        </w:rPr>
      </w:pPr>
      <w:r>
        <w:rPr>
          <w:rFonts w:ascii="Courier New" w:cs="Courier New" w:eastAsia="Courier New" w:hAnsi="Courier New"/>
          <w:sz w:val="18"/>
          <w:szCs w:val="18"/>
          <w:color w:val="auto"/>
        </w:rPr>
        <w:t>Security Being Reported on By the Parent Holding Company: Not Applicable</w:t>
      </w:r>
    </w:p>
    <w:p>
      <w:pPr>
        <w:spacing w:after="0" w:line="200" w:lineRule="exact"/>
        <w:rPr>
          <w:sz w:val="20"/>
          <w:szCs w:val="20"/>
          <w:color w:val="auto"/>
        </w:rPr>
      </w:pPr>
    </w:p>
    <w:p>
      <w:pPr>
        <w:spacing w:after="0" w:line="211" w:lineRule="exact"/>
        <w:rPr>
          <w:sz w:val="20"/>
          <w:szCs w:val="20"/>
          <w:color w:val="auto"/>
        </w:rPr>
      </w:pPr>
    </w:p>
    <w:p>
      <w:pPr>
        <w:ind w:left="960" w:right="273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 Not Applicable</w:t>
      </w:r>
    </w:p>
    <w:p>
      <w:pPr>
        <w:spacing w:after="0" w:line="200" w:lineRule="exact"/>
        <w:rPr>
          <w:sz w:val="20"/>
          <w:szCs w:val="20"/>
          <w:color w:val="auto"/>
        </w:rPr>
      </w:pPr>
    </w:p>
    <w:p>
      <w:pPr>
        <w:spacing w:after="0" w:line="211" w:lineRule="exact"/>
        <w:rPr>
          <w:sz w:val="20"/>
          <w:szCs w:val="20"/>
          <w:color w:val="auto"/>
        </w:rPr>
      </w:pPr>
    </w:p>
    <w:p>
      <w:pPr>
        <w:ind w:left="960" w:right="4199" w:hanging="4107"/>
        <w:spacing w:after="0" w:line="470" w:lineRule="auto"/>
        <w:tabs>
          <w:tab w:leader="none" w:pos="940" w:val="left"/>
        </w:tabs>
        <w:rPr>
          <w:sz w:val="20"/>
          <w:szCs w:val="20"/>
          <w:color w:val="auto"/>
        </w:rPr>
      </w:pPr>
      <w:r>
        <w:rPr>
          <w:rFonts w:ascii="Courier New" w:cs="Courier New" w:eastAsia="Courier New" w:hAnsi="Courier New"/>
          <w:sz w:val="18"/>
          <w:szCs w:val="18"/>
          <w:color w:val="auto"/>
        </w:rPr>
        <w:t>Item 9.</w:t>
        <w:tab/>
        <w:t>Notice of Dissolution of a Group: Not Applicable 3</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September 11, 2000</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MICROSOFT CORPORATION</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Robert A. Eshelman</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Robert A. Eshelman, Assistant</w:t>
      </w:r>
    </w:p>
    <w:p>
      <w:pPr>
        <w:ind w:left="516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upperLetter"/>
      <w:start w:val="24"/>
    </w:lvl>
  </w:abstractNum>
  <w:abstractNum w:abstractNumId="4">
    <w:nsid w:val="12200854"/>
    <w:multiLevelType w:val="hybridMultilevel"/>
    <w:lvl w:ilvl="0">
      <w:lvlJc w:val="left"/>
      <w:lvlText w:val="-"/>
      <w:numFmt w:val="bullet"/>
      <w:start w:val="1"/>
    </w:lvl>
    <w:lvl w:ilvl="1">
      <w:lvlJc w:val="left"/>
      <w:lvlText w:val="S.%2."/>
      <w:numFmt w:val="upperLetter"/>
      <w:start w:val="19"/>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2019-12-14T05:51:42Z</dcterms:created>
  <dcterms:modified xsi:type="dcterms:W3CDTF">2019-12-14T05:51:42Z</dcterms:modified>
</cp:coreProperties>
</file>