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333-277241</w:t>
      </w:r>
    </w:p>
    <w:p>
      <w:pPr>
        <w:spacing w:after="0" w:line="269" w:lineRule="exact"/>
        <w:rPr>
          <w:sz w:val="24"/>
          <w:szCs w:val="24"/>
          <w:color w:val="auto"/>
        </w:rPr>
      </w:pPr>
    </w:p>
    <w:tbl>
      <w:tblPr>
        <w:tblLayout w:type="fixed"/>
        <w:tblInd w:w="120" w:type="dxa"/>
        <w:tblCellMar>
          <w:top w:w="0" w:type="dxa"/>
          <w:left w:w="0" w:type="dxa"/>
          <w:bottom w:w="0" w:type="dxa"/>
          <w:right w:w="0" w:type="dxa"/>
        </w:tblCellMar>
      </w:tblPr>
      <w:tr>
        <w:trPr>
          <w:trHeight w:val="165"/>
        </w:trPr>
        <w:tc>
          <w:tcPr>
            <w:tcW w:w="520" w:type="dxa"/>
            <w:vAlign w:val="bottom"/>
            <w:vMerge w:val="restart"/>
            <w:textDirection w:val="btLr"/>
          </w:tcPr>
          <w:p>
            <w:pPr>
              <w:ind w:right="22"/>
              <w:spacing w:after="0"/>
              <w:rPr>
                <w:sz w:val="20"/>
                <w:szCs w:val="20"/>
                <w:color w:val="auto"/>
              </w:rPr>
            </w:pPr>
            <w:r>
              <w:rPr>
                <w:rFonts w:ascii="Times New Roman" w:cs="Times New Roman" w:eastAsia="Times New Roman" w:hAnsi="Times New Roman"/>
                <w:sz w:val="18"/>
                <w:szCs w:val="18"/>
                <w:b w:val="1"/>
                <w:bCs w:val="1"/>
                <w:color w:val="FF4338"/>
                <w:w w:val="97"/>
              </w:rPr>
              <w:t>offer</w:t>
            </w:r>
          </w:p>
        </w:tc>
        <w:tc>
          <w:tcPr>
            <w:tcW w:w="7240" w:type="dxa"/>
            <w:vAlign w:val="bottom"/>
          </w:tcPr>
          <w:p>
            <w:pPr>
              <w:jc w:val="center"/>
              <w:ind w:left="2648"/>
              <w:spacing w:after="0"/>
              <w:rPr>
                <w:sz w:val="20"/>
                <w:szCs w:val="20"/>
                <w:color w:val="auto"/>
              </w:rPr>
            </w:pPr>
            <w:r>
              <w:rPr>
                <w:rFonts w:ascii="Times New Roman" w:cs="Times New Roman" w:eastAsia="Times New Roman" w:hAnsi="Times New Roman"/>
                <w:sz w:val="14"/>
                <w:szCs w:val="14"/>
                <w:b w:val="1"/>
                <w:bCs w:val="1"/>
                <w:color w:val="FF4338"/>
              </w:rPr>
              <w:t>SUBJECT TO COMPLETION</w:t>
            </w:r>
          </w:p>
        </w:tc>
        <w:tc>
          <w:tcPr>
            <w:tcW w:w="0" w:type="dxa"/>
            <w:vAlign w:val="bottom"/>
          </w:tcPr>
          <w:p>
            <w:pPr>
              <w:spacing w:after="0"/>
              <w:rPr>
                <w:sz w:val="1"/>
                <w:szCs w:val="1"/>
                <w:color w:val="auto"/>
              </w:rPr>
            </w:pPr>
          </w:p>
        </w:tc>
      </w:tr>
      <w:tr>
        <w:trPr>
          <w:trHeight w:val="205"/>
        </w:trPr>
        <w:tc>
          <w:tcPr>
            <w:tcW w:w="520" w:type="dxa"/>
            <w:vAlign w:val="bottom"/>
            <w:vMerge w:val="continue"/>
          </w:tcPr>
          <w:p>
            <w:pPr>
              <w:spacing w:after="0"/>
              <w:rPr>
                <w:sz w:val="17"/>
                <w:szCs w:val="17"/>
                <w:color w:val="auto"/>
              </w:rPr>
            </w:pPr>
          </w:p>
        </w:tc>
        <w:tc>
          <w:tcPr>
            <w:tcW w:w="7240" w:type="dxa"/>
            <w:vAlign w:val="bottom"/>
          </w:tcPr>
          <w:p>
            <w:pPr>
              <w:jc w:val="center"/>
              <w:ind w:left="2648"/>
              <w:spacing w:after="0"/>
              <w:rPr>
                <w:sz w:val="20"/>
                <w:szCs w:val="20"/>
                <w:color w:val="auto"/>
              </w:rPr>
            </w:pPr>
            <w:r>
              <w:rPr>
                <w:rFonts w:ascii="Times New Roman" w:cs="Times New Roman" w:eastAsia="Times New Roman" w:hAnsi="Times New Roman"/>
                <w:sz w:val="14"/>
                <w:szCs w:val="14"/>
                <w:b w:val="1"/>
                <w:bCs w:val="1"/>
                <w:color w:val="FF4338"/>
              </w:rPr>
              <w:t>PRELIMINARY PROSPECTUS SUPPLEMENT DATED JUNE 16, 2026</w:t>
            </w:r>
          </w:p>
        </w:tc>
        <w:tc>
          <w:tcPr>
            <w:tcW w:w="0" w:type="dxa"/>
            <w:vAlign w:val="bottom"/>
          </w:tcPr>
          <w:p>
            <w:pPr>
              <w:spacing w:after="0"/>
              <w:rPr>
                <w:sz w:val="1"/>
                <w:szCs w:val="1"/>
                <w:color w:val="auto"/>
              </w:rPr>
            </w:pPr>
          </w:p>
        </w:tc>
      </w:tr>
      <w:tr>
        <w:trPr>
          <w:trHeight w:val="200"/>
        </w:trPr>
        <w:tc>
          <w:tcPr>
            <w:tcW w:w="520" w:type="dxa"/>
            <w:vAlign w:val="bottom"/>
            <w:textDirection w:val="btLr"/>
          </w:tcPr>
          <w:p>
            <w:pPr>
              <w:ind w:right="22"/>
              <w:spacing w:after="0"/>
              <w:rPr>
                <w:sz w:val="20"/>
                <w:szCs w:val="20"/>
                <w:color w:val="auto"/>
              </w:rPr>
            </w:pPr>
            <w:r>
              <w:rPr>
                <w:rFonts w:ascii="Times New Roman" w:cs="Times New Roman" w:eastAsia="Times New Roman" w:hAnsi="Times New Roman"/>
                <w:sz w:val="10"/>
                <w:szCs w:val="10"/>
                <w:b w:val="1"/>
                <w:bCs w:val="1"/>
                <w:color w:val="FF4338"/>
                <w:w w:val="74"/>
              </w:rPr>
              <w:t>thethe</w:t>
            </w:r>
          </w:p>
        </w:tc>
        <w:tc>
          <w:tcPr>
            <w:tcW w:w="7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 Prospectus dated April 24, 2025)</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594"/>
        </w:trPr>
        <w:tc>
          <w:tcPr>
            <w:tcW w:w="180" w:type="dxa"/>
            <w:vAlign w:val="bottom"/>
            <w:vMerge w:val="restart"/>
            <w:textDirection w:val="btLr"/>
          </w:tcPr>
          <w:p>
            <w:pPr>
              <w:ind w:left="31"/>
              <w:spacing w:after="0"/>
              <w:rPr>
                <w:sz w:val="20"/>
                <w:szCs w:val="20"/>
                <w:color w:val="auto"/>
              </w:rPr>
            </w:pPr>
            <w:r>
              <w:rPr>
                <w:rFonts w:ascii="Times New Roman" w:cs="Times New Roman" w:eastAsia="Times New Roman" w:hAnsi="Times New Roman"/>
                <w:sz w:val="13"/>
                <w:szCs w:val="13"/>
                <w:b w:val="1"/>
                <w:bCs w:val="1"/>
                <w:color w:val="FF4338"/>
                <w:w w:val="73"/>
              </w:rPr>
              <w:t>Thispreliminaryprospectussupplementand</w:t>
            </w:r>
          </w:p>
        </w:tc>
        <w:tc>
          <w:tcPr>
            <w:tcW w:w="460" w:type="dxa"/>
            <w:vAlign w:val="bottom"/>
            <w:vMerge w:val="restart"/>
            <w:textDirection w:val="btLr"/>
          </w:tcPr>
          <w:p>
            <w:pPr>
              <w:ind w:left="99"/>
              <w:spacing w:after="0"/>
              <w:rPr>
                <w:sz w:val="20"/>
                <w:szCs w:val="20"/>
                <w:color w:val="auto"/>
              </w:rPr>
            </w:pPr>
            <w:r>
              <w:rPr>
                <w:rFonts w:ascii="Times New Roman" w:cs="Times New Roman" w:eastAsia="Times New Roman" w:hAnsi="Times New Roman"/>
                <w:sz w:val="13"/>
                <w:szCs w:val="13"/>
                <w:b w:val="1"/>
                <w:bCs w:val="1"/>
                <w:color w:val="FF4338"/>
                <w:w w:val="75"/>
              </w:rPr>
              <w:t>buythesesecuritiesinanyjurisdictionwhere</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32"/>
                <w:szCs w:val="32"/>
                <w:b w:val="1"/>
                <w:bCs w:val="1"/>
                <w:color w:val="auto"/>
              </w:rPr>
              <w:t xml:space="preserve">€ </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31"/>
                <w:szCs w:val="31"/>
                <w:b w:val="1"/>
                <w:bCs w:val="1"/>
                <w:color w:val="auto"/>
                <w:w w:val="70"/>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32"/>
                <w:szCs w:val="32"/>
                <w:b w:val="1"/>
                <w:bCs w:val="1"/>
                <w:color w:val="auto"/>
              </w:rPr>
              <w:t>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0"/>
        </w:trPr>
        <w:tc>
          <w:tcPr>
            <w:tcW w:w="18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jc w:val="center"/>
              <w:ind w:left="16"/>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w w:val="70"/>
              </w:rPr>
              <w:t xml:space="preserve">  </w:t>
            </w:r>
          </w:p>
        </w:tc>
        <w:tc>
          <w:tcPr>
            <w:tcW w:w="16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 Senior Notes due 20 </w:t>
            </w: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jc w:val="center"/>
              <w:ind w:left="16"/>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w w:val="70"/>
              </w:rPr>
              <w:t xml:space="preserve">  </w:t>
            </w:r>
          </w:p>
        </w:tc>
        <w:tc>
          <w:tcPr>
            <w:tcW w:w="16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 Senior Notes due 20 </w:t>
            </w: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8"/>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w w:val="88"/>
              </w:rPr>
              <w:t>our  </w:t>
            </w:r>
          </w:p>
        </w:tc>
        <w:tc>
          <w:tcPr>
            <w:tcW w:w="312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We are offering €            principal amount of our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82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 xml:space="preserve">% Senior Notes due 20 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(the “20          </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notes”) and € </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8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w w:val="98"/>
              </w:rPr>
              <w:t>         % Senior Notes due 20 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 </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3"/>
              </w:rPr>
              <w:t>(the “20 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90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auto"/>
                <w:w w:val="97"/>
              </w:rPr>
              <w:t>notes” and, together with the 20 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190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notes, the “notes”). The 20 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3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notes will mature on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   , 20       </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 xml:space="preserve">and the 20 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38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color w:val="auto"/>
                <w:w w:val="95"/>
              </w:rPr>
              <w:t>notes will mature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xml:space="preserve">, 20    </w:t>
            </w:r>
          </w:p>
        </w:tc>
        <w:tc>
          <w:tcPr>
            <w:tcW w:w="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3400" w:type="dxa"/>
            <w:vAlign w:val="bottom"/>
            <w:gridSpan w:val="12"/>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 We will pay interest on the notes annually in arrears on  </w:t>
            </w: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         of each</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6"/>
              </w:rPr>
              <w:t>year, beginning on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w w:val="91"/>
              </w:rPr>
              <w:t>      , 2026, for the 20 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w w:val="84"/>
              </w:rPr>
              <w:t>notes and  </w:t>
            </w:r>
          </w:p>
        </w:tc>
        <w:tc>
          <w:tcPr>
            <w:tcW w:w="180" w:type="dxa"/>
            <w:vAlign w:val="bottom"/>
          </w:tcPr>
          <w:p>
            <w:pPr>
              <w:jc w:val="center"/>
              <w:ind w:left="36"/>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90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w w:val="97"/>
              </w:rPr>
              <w:t>   of each year, beginning on  </w:t>
            </w: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         , 2027, for the 20    </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0" w:type="dxa"/>
            <w:vAlign w:val="bottom"/>
            <w:gridSpan w:val="32"/>
          </w:tcPr>
          <w:p>
            <w:pPr>
              <w:ind w:left="40"/>
              <w:spacing w:after="0"/>
              <w:rPr>
                <w:sz w:val="20"/>
                <w:szCs w:val="20"/>
                <w:color w:val="auto"/>
              </w:rPr>
            </w:pPr>
            <w:r>
              <w:rPr>
                <w:rFonts w:ascii="Times New Roman" w:cs="Times New Roman" w:eastAsia="Times New Roman" w:hAnsi="Times New Roman"/>
                <w:sz w:val="14"/>
                <w:szCs w:val="14"/>
                <w:color w:val="auto"/>
              </w:rPr>
              <w:t>The notes will be issued in book-entry form only, in minimum denominations of €100,000 and integral multiples of €1,000 in excess thereof.</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color w:val="auto"/>
              </w:rPr>
              <w:t>We may, at our option, redeem each series of the notes, in whole or in part, at any time and from time to time at the applicable redemption price described in this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prospectus supplement in “Description of the Notes—Optional Redemption.” We may also redeem each series of the notes at our option, in whole but not in part, at the</w:t>
            </w:r>
          </w:p>
        </w:tc>
        <w:tc>
          <w:tcPr>
            <w:tcW w:w="0" w:type="dxa"/>
            <w:vAlign w:val="bottom"/>
          </w:tcPr>
          <w:p>
            <w:pPr>
              <w:spacing w:after="0"/>
              <w:rPr>
                <w:sz w:val="1"/>
                <w:szCs w:val="1"/>
                <w:color w:val="auto"/>
              </w:rPr>
            </w:pPr>
          </w:p>
        </w:tc>
      </w:tr>
      <w:tr>
        <w:trPr>
          <w:trHeight w:val="148"/>
        </w:trPr>
        <w:tc>
          <w:tcPr>
            <w:tcW w:w="180" w:type="dxa"/>
            <w:vAlign w:val="bottom"/>
            <w:vMerge w:val="restart"/>
            <w:textDirection w:val="btLr"/>
          </w:tcPr>
          <w:p>
            <w:pPr>
              <w:ind w:left="169"/>
              <w:spacing w:after="0"/>
              <w:rPr>
                <w:sz w:val="20"/>
                <w:szCs w:val="20"/>
                <w:color w:val="auto"/>
              </w:rPr>
            </w:pPr>
            <w:r>
              <w:rPr>
                <w:rFonts w:ascii="Times New Roman" w:cs="Times New Roman" w:eastAsia="Times New Roman" w:hAnsi="Times New Roman"/>
                <w:sz w:val="1"/>
                <w:szCs w:val="1"/>
                <w:b w:val="1"/>
                <w:bCs w:val="1"/>
                <w:color w:val="FF4338"/>
                <w:w w:val="78"/>
              </w:rPr>
              <w:t>Theinformationinthispreliminaryprospectussupplementisnotcompleteandmaybechanged.</w:t>
            </w:r>
          </w:p>
        </w:tc>
        <w:tc>
          <w:tcPr>
            <w:tcW w:w="460" w:type="dxa"/>
            <w:vAlign w:val="bottom"/>
            <w:vMerge w:val="restart"/>
            <w:textDirection w:val="btLr"/>
          </w:tcPr>
          <w:p>
            <w:pPr>
              <w:ind w:left="449"/>
              <w:spacing w:after="0"/>
              <w:rPr>
                <w:sz w:val="20"/>
                <w:szCs w:val="20"/>
                <w:color w:val="auto"/>
              </w:rPr>
            </w:pPr>
            <w:r>
              <w:rPr>
                <w:rFonts w:ascii="Times New Roman" w:cs="Times New Roman" w:eastAsia="Times New Roman" w:hAnsi="Times New Roman"/>
                <w:sz w:val="1"/>
                <w:szCs w:val="1"/>
                <w:b w:val="1"/>
                <w:bCs w:val="1"/>
                <w:color w:val="FF4338"/>
                <w:w w:val="63"/>
              </w:rPr>
              <w:t>accompanyingprospectusarenotanoffertosellthesesecuritiesandarenotsolicitinganoffertoandsaleisnotpermitted.</w:t>
            </w: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applicable redemption price described in this prospectus supplement if certain tax events occur as described in “Description of the Notes—Optional Tax Redemption.”</w:t>
            </w:r>
          </w:p>
        </w:tc>
        <w:tc>
          <w:tcPr>
            <w:tcW w:w="0" w:type="dxa"/>
            <w:vAlign w:val="bottom"/>
          </w:tcPr>
          <w:p>
            <w:pPr>
              <w:spacing w:after="0"/>
              <w:rPr>
                <w:sz w:val="1"/>
                <w:szCs w:val="1"/>
                <w:color w:val="auto"/>
              </w:rPr>
            </w:pPr>
          </w:p>
        </w:tc>
      </w:tr>
      <w:tr>
        <w:trPr>
          <w:trHeight w:val="148"/>
        </w:trPr>
        <w:tc>
          <w:tcPr>
            <w:tcW w:w="1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We must offer to repurchase the notes upon the occurrence of a change of control triggering event at the price described in this prospectus supplement in “Description</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00" w:type="dxa"/>
            <w:vAlign w:val="bottom"/>
            <w:gridSpan w:val="19"/>
          </w:tcPr>
          <w:p>
            <w:pPr>
              <w:ind w:left="40"/>
              <w:spacing w:after="0"/>
              <w:rPr>
                <w:sz w:val="20"/>
                <w:szCs w:val="20"/>
                <w:color w:val="auto"/>
              </w:rPr>
            </w:pPr>
            <w:r>
              <w:rPr>
                <w:rFonts w:ascii="Times New Roman" w:cs="Times New Roman" w:eastAsia="Times New Roman" w:hAnsi="Times New Roman"/>
                <w:sz w:val="14"/>
                <w:szCs w:val="14"/>
                <w:color w:val="auto"/>
              </w:rPr>
              <w:t>of the Notes—Purchase of Notes upon a Change of Control Triggering Event.”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color w:val="auto"/>
              </w:rPr>
              <w:t>We intend to use the net proceeds from this offering, together with proceeds from the sale of commercial paper and cash from operations, to purchase any and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all of our $750.0 million aggregate principal amount of 5.150% senior notes due 2027 and any and all of our $2.0 billion aggregate principal amount of 4.400% senior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notes due 2049, including any premium and accrued and unpaid interest on the tendered notes, pursuant to the tender offer described above under “Summary—Recent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Developments.”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60" w:type="dxa"/>
            <w:vAlign w:val="bottom"/>
            <w:gridSpan w:val="26"/>
          </w:tcPr>
          <w:p>
            <w:pPr>
              <w:ind w:left="40"/>
              <w:spacing w:after="0"/>
              <w:rPr>
                <w:sz w:val="20"/>
                <w:szCs w:val="20"/>
                <w:color w:val="auto"/>
              </w:rPr>
            </w:pPr>
            <w:r>
              <w:rPr>
                <w:rFonts w:ascii="Times New Roman" w:cs="Times New Roman" w:eastAsia="Times New Roman" w:hAnsi="Times New Roman"/>
                <w:sz w:val="14"/>
                <w:szCs w:val="14"/>
                <w:color w:val="auto"/>
              </w:rPr>
              <w:t>The offering and sale of each series of notes is not conditioned on the sale of any other series of notes.</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color w:val="auto"/>
              </w:rPr>
              <w:t>The notes will be our unsecured senior obligations and will rank equally with our other unsecured senior indebtedness from time to time outstanding.</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color w:val="auto"/>
              </w:rPr>
              <w:t>Each series of the notes is a new issue of securities with no established trading market. We currently intend to apply to list the notes on the NASDAQ Global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Market (“NASDAQ”). The listing application will be subject to approval by NASDAQ. If such listing is obtained, we have no obligation to maintain such listing for</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the notes and we may delist the notes, or list the notes on one or more other national securities exchanges, at any time. We currently expect trading in the notes on</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6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NASDAQ to begin within 30 days after the original issue date.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10"/>
          </w:tcPr>
          <w:p>
            <w:pPr>
              <w:spacing w:after="0"/>
              <w:rPr>
                <w:sz w:val="14"/>
                <w:szCs w:val="14"/>
                <w:color w:val="auto"/>
              </w:rPr>
            </w:pPr>
          </w:p>
        </w:tc>
        <w:tc>
          <w:tcPr>
            <w:tcW w:w="1140" w:type="dxa"/>
            <w:vAlign w:val="bottom"/>
            <w:tcBorders>
              <w:bottom w:val="single" w:sz="8" w:color="auto"/>
            </w:tcBorders>
            <w:gridSpan w:val="6"/>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740" w:type="dxa"/>
            <w:vAlign w:val="bottom"/>
            <w:gridSpan w:val="2"/>
          </w:tcPr>
          <w:p>
            <w:pPr>
              <w:spacing w:after="0"/>
              <w:rPr>
                <w:sz w:val="14"/>
                <w:szCs w:val="14"/>
                <w:color w:val="auto"/>
              </w:rPr>
            </w:pPr>
          </w:p>
        </w:tc>
        <w:tc>
          <w:tcPr>
            <w:tcW w:w="1660" w:type="dxa"/>
            <w:vAlign w:val="bottom"/>
            <w:gridSpan w:val="6"/>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Investing in the notes involves risks. See “</w:t>
            </w:r>
            <w:r>
              <w:rPr>
                <w:rFonts w:ascii="Times New Roman" w:cs="Times New Roman" w:eastAsia="Times New Roman" w:hAnsi="Times New Roman"/>
                <w:sz w:val="20"/>
                <w:szCs w:val="20"/>
                <w:b w:val="1"/>
                <w:bCs w:val="1"/>
                <w:color w:val="0000EE"/>
                <w:w w:val="99"/>
              </w:rPr>
              <w:t>Risk Factors</w:t>
            </w:r>
            <w:r>
              <w:rPr>
                <w:rFonts w:ascii="Times New Roman" w:cs="Times New Roman" w:eastAsia="Times New Roman" w:hAnsi="Times New Roman"/>
                <w:sz w:val="20"/>
                <w:szCs w:val="20"/>
                <w:b w:val="1"/>
                <w:bCs w:val="1"/>
                <w:color w:val="auto"/>
                <w:w w:val="99"/>
              </w:rPr>
              <w:t>” beginning on page S-8 of this prospectus supplement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gridSpan w:val="15"/>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46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80" w:type="dxa"/>
            <w:vAlign w:val="bottom"/>
            <w:gridSpan w:val="36"/>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and the risk factors incorporated by reference into this prospectus supplement and the accompanying prospectus.</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10"/>
          </w:tcPr>
          <w:p>
            <w:pPr>
              <w:spacing w:after="0"/>
              <w:rPr>
                <w:sz w:val="14"/>
                <w:szCs w:val="14"/>
                <w:color w:val="auto"/>
              </w:rPr>
            </w:pPr>
          </w:p>
        </w:tc>
        <w:tc>
          <w:tcPr>
            <w:tcW w:w="1140" w:type="dxa"/>
            <w:vAlign w:val="bottom"/>
            <w:tcBorders>
              <w:bottom w:val="single" w:sz="8" w:color="auto"/>
            </w:tcBorders>
            <w:gridSpan w:val="6"/>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740" w:type="dxa"/>
            <w:vAlign w:val="bottom"/>
            <w:gridSpan w:val="2"/>
          </w:tcPr>
          <w:p>
            <w:pPr>
              <w:spacing w:after="0"/>
              <w:rPr>
                <w:sz w:val="14"/>
                <w:szCs w:val="14"/>
                <w:color w:val="auto"/>
              </w:rPr>
            </w:pPr>
          </w:p>
        </w:tc>
        <w:tc>
          <w:tcPr>
            <w:tcW w:w="1660" w:type="dxa"/>
            <w:vAlign w:val="bottom"/>
            <w:gridSpan w:val="6"/>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80" w:type="dxa"/>
            <w:vAlign w:val="bottom"/>
            <w:gridSpan w:val="36"/>
          </w:tcPr>
          <w:p>
            <w:pPr>
              <w:ind w:left="40"/>
              <w:spacing w:after="0"/>
              <w:rPr>
                <w:sz w:val="20"/>
                <w:szCs w:val="20"/>
                <w:color w:val="auto"/>
              </w:rPr>
            </w:pPr>
            <w:r>
              <w:rPr>
                <w:rFonts w:ascii="Times New Roman" w:cs="Times New Roman" w:eastAsia="Times New Roman" w:hAnsi="Times New Roman"/>
                <w:sz w:val="14"/>
                <w:szCs w:val="14"/>
                <w:b w:val="1"/>
                <w:bCs w:val="1"/>
                <w:color w:val="auto"/>
              </w:rPr>
              <w:t>determined if this prospectus supplement or the accompanying prospectus is truthful or complete. Any representation to the contrary is a criminal offense.</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gridSpan w:val="6"/>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w w:val="95"/>
              </w:rPr>
              <w:t>Proceeds to Fiserv,</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3"/>
          </w:tcPr>
          <w:p>
            <w:pPr>
              <w:jc w:val="right"/>
              <w:ind w:right="521"/>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Underwriting</w:t>
            </w:r>
          </w:p>
        </w:tc>
        <w:tc>
          <w:tcPr>
            <w:tcW w:w="1820" w:type="dxa"/>
            <w:vAlign w:val="bottom"/>
            <w:gridSpan w:val="6"/>
          </w:tcPr>
          <w:p>
            <w:pPr>
              <w:jc w:val="center"/>
              <w:ind w:right="8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 Before</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spacing w:after="0" w:line="155" w:lineRule="exact"/>
              <w:rPr>
                <w:sz w:val="20"/>
                <w:szCs w:val="20"/>
                <w:color w:val="auto"/>
              </w:rPr>
            </w:pPr>
            <w:r>
              <w:rPr>
                <w:rFonts w:ascii="Times New Roman" w:cs="Times New Roman" w:eastAsia="Times New Roman" w:hAnsi="Times New Roman"/>
                <w:sz w:val="12"/>
                <w:szCs w:val="12"/>
                <w:b w:val="1"/>
                <w:bCs w:val="1"/>
                <w:color w:val="auto"/>
                <w:w w:val="99"/>
              </w:rPr>
              <w:t>Price to Public</w:t>
            </w:r>
            <w:r>
              <w:rPr>
                <w:rFonts w:ascii="Times New Roman" w:cs="Times New Roman" w:eastAsia="Times New Roman" w:hAnsi="Times New Roman"/>
                <w:sz w:val="17"/>
                <w:szCs w:val="17"/>
                <w:b w:val="1"/>
                <w:bCs w:val="1"/>
                <w:color w:val="auto"/>
                <w:w w:val="99"/>
                <w:vertAlign w:val="superscript"/>
              </w:rPr>
              <w:t>(1)</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tcPr>
          <w:p>
            <w:pPr>
              <w:jc w:val="right"/>
              <w:ind w:right="621"/>
              <w:spacing w:after="0"/>
              <w:rPr>
                <w:sz w:val="20"/>
                <w:szCs w:val="20"/>
                <w:color w:val="auto"/>
              </w:rPr>
            </w:pPr>
            <w:r>
              <w:rPr>
                <w:rFonts w:ascii="Times New Roman" w:cs="Times New Roman" w:eastAsia="Times New Roman" w:hAnsi="Times New Roman"/>
                <w:sz w:val="13"/>
                <w:szCs w:val="13"/>
                <w:b w:val="1"/>
                <w:bCs w:val="1"/>
                <w:color w:val="auto"/>
              </w:rPr>
              <w:t>Discounts</w:t>
            </w:r>
          </w:p>
        </w:tc>
        <w:tc>
          <w:tcPr>
            <w:tcW w:w="220" w:type="dxa"/>
            <w:vAlign w:val="bottom"/>
          </w:tcPr>
          <w:p>
            <w:pPr>
              <w:spacing w:after="0"/>
              <w:rPr>
                <w:sz w:val="13"/>
                <w:szCs w:val="13"/>
                <w:color w:val="auto"/>
              </w:rPr>
            </w:pPr>
          </w:p>
        </w:tc>
        <w:tc>
          <w:tcPr>
            <w:tcW w:w="1600" w:type="dxa"/>
            <w:vAlign w:val="bottom"/>
            <w:gridSpan w:val="5"/>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79"/>
              </w:rPr>
              <w:t>Per 20 </w:t>
            </w:r>
          </w:p>
        </w:tc>
        <w:tc>
          <w:tcPr>
            <w:tcW w:w="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86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note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79"/>
              </w:rPr>
              <w:t>Per 20 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8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4"/>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920" w:type="dxa"/>
            <w:vAlign w:val="bottom"/>
            <w:gridSpan w:val="2"/>
            <w:shd w:val="clear" w:color="auto" w:fill="CCEEFF"/>
          </w:tcPr>
          <w:p>
            <w:pPr>
              <w:jc w:val="right"/>
              <w:ind w:right="621"/>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tcBorders>
              <w:right w:val="single" w:sz="8" w:color="CCEEFF"/>
            </w:tcBorders>
            <w:shd w:val="clear" w:color="auto" w:fill="CCEEFF"/>
          </w:tcPr>
          <w:p>
            <w:pPr>
              <w:jc w:val="right"/>
              <w:ind w:right="84"/>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3"/>
          </w:tcPr>
          <w:p>
            <w:pPr>
              <w:spacing w:after="0"/>
              <w:rPr>
                <w:sz w:val="24"/>
                <w:szCs w:val="24"/>
                <w:color w:val="auto"/>
              </w:rPr>
            </w:pPr>
          </w:p>
        </w:tc>
        <w:tc>
          <w:tcPr>
            <w:tcW w:w="1320" w:type="dxa"/>
            <w:vAlign w:val="bottom"/>
            <w:gridSpan w:val="4"/>
          </w:tcPr>
          <w:p>
            <w:pPr>
              <w:spacing w:after="0"/>
              <w:rPr>
                <w:sz w:val="24"/>
                <w:szCs w:val="24"/>
                <w:color w:val="auto"/>
              </w:rPr>
            </w:pP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0" w:type="dxa"/>
            <w:vAlign w:val="bottom"/>
            <w:gridSpan w:val="13"/>
            <w:vMerge w:val="restart"/>
          </w:tcPr>
          <w:p>
            <w:pPr>
              <w:jc w:val="center"/>
              <w:ind w:right="279"/>
              <w:spacing w:after="0"/>
              <w:rPr>
                <w:sz w:val="20"/>
                <w:szCs w:val="20"/>
                <w:color w:val="auto"/>
              </w:rPr>
            </w:pPr>
            <w:r>
              <w:rPr>
                <w:rFonts w:ascii="Times New Roman" w:cs="Times New Roman" w:eastAsia="Times New Roman" w:hAnsi="Times New Roman"/>
                <w:sz w:val="14"/>
                <w:szCs w:val="14"/>
                <w:color w:val="auto"/>
              </w:rPr>
              <w:t>   , 2026, if settlement occurs after that date.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(1)   Plus accrued interest if any, from  </w:t>
            </w:r>
          </w:p>
        </w:tc>
        <w:tc>
          <w:tcPr>
            <w:tcW w:w="1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000" w:type="dxa"/>
            <w:vAlign w:val="bottom"/>
            <w:gridSpan w:val="13"/>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300" w:type="dxa"/>
            <w:vAlign w:val="bottom"/>
            <w:gridSpan w:val="34"/>
          </w:tcPr>
          <w:p>
            <w:pPr>
              <w:ind w:left="40"/>
              <w:spacing w:after="0"/>
              <w:rPr>
                <w:sz w:val="20"/>
                <w:szCs w:val="20"/>
                <w:color w:val="auto"/>
              </w:rPr>
            </w:pPr>
            <w:r>
              <w:rPr>
                <w:rFonts w:ascii="Times New Roman" w:cs="Times New Roman" w:eastAsia="Times New Roman" w:hAnsi="Times New Roman"/>
                <w:sz w:val="14"/>
                <w:szCs w:val="14"/>
                <w:color w:val="auto"/>
              </w:rPr>
              <w:t>We expect to deliver the notes to investors in registered book-entry only form through Euroclear Bank S.A./N.V., as operator of the Euroclear System</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80" w:type="dxa"/>
            <w:vAlign w:val="bottom"/>
            <w:gridSpan w:val="31"/>
          </w:tcPr>
          <w:p>
            <w:pPr>
              <w:ind w:left="40"/>
              <w:spacing w:after="0" w:line="149" w:lineRule="exact"/>
              <w:rPr>
                <w:sz w:val="20"/>
                <w:szCs w:val="20"/>
                <w:color w:val="auto"/>
              </w:rPr>
            </w:pPr>
            <w:r>
              <w:rPr>
                <w:rFonts w:ascii="Times New Roman" w:cs="Times New Roman" w:eastAsia="Times New Roman" w:hAnsi="Times New Roman"/>
                <w:sz w:val="14"/>
                <w:szCs w:val="14"/>
                <w:color w:val="auto"/>
              </w:rPr>
              <w:t>(“Euroclear”) and Clearstream Banking S.A. (“Clearstream” and, together with Euroclear, the “ICSDs” and each, an “ICSD”), on or about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2026. Upon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80" w:type="dxa"/>
            <w:vAlign w:val="bottom"/>
            <w:gridSpan w:val="36"/>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the notes will be represented by one or more global notes in fully registered form (“global notes”), which are expected to be deposited with a common</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940" w:type="dxa"/>
            <w:vAlign w:val="bottom"/>
            <w:gridSpan w:val="28"/>
          </w:tcPr>
          <w:p>
            <w:pPr>
              <w:ind w:left="40"/>
              <w:spacing w:after="0"/>
              <w:rPr>
                <w:sz w:val="20"/>
                <w:szCs w:val="20"/>
                <w:color w:val="auto"/>
              </w:rPr>
            </w:pPr>
            <w:r>
              <w:rPr>
                <w:rFonts w:ascii="Times New Roman" w:cs="Times New Roman" w:eastAsia="Times New Roman" w:hAnsi="Times New Roman"/>
                <w:sz w:val="14"/>
                <w:szCs w:val="14"/>
                <w:color w:val="auto"/>
              </w:rPr>
              <w:t>depositary for Euroclear and Clearstream and registered in the name of a nominee of the common depositary.</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spacing w:after="0"/>
              <w:rPr>
                <w:sz w:val="14"/>
                <w:szCs w:val="14"/>
                <w:color w:val="auto"/>
              </w:rPr>
            </w:pPr>
          </w:p>
        </w:tc>
        <w:tc>
          <w:tcPr>
            <w:tcW w:w="7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8"/>
          </w:tcPr>
          <w:p>
            <w:pPr>
              <w:ind w:left="40"/>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9"/>
                <w:szCs w:val="19"/>
                <w:b w:val="1"/>
                <w:bCs w:val="1"/>
                <w:color w:val="auto"/>
              </w:rPr>
              <w:t>Citigroup</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9"/>
                <w:szCs w:val="19"/>
                <w:b w:val="1"/>
                <w:bCs w:val="1"/>
                <w:color w:val="auto"/>
              </w:rPr>
              <w:t>J.P. Morgan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9"/>
                <w:szCs w:val="19"/>
                <w:b w:val="1"/>
                <w:bCs w:val="1"/>
                <w:color w:val="auto"/>
              </w:rPr>
              <w:t>TD Securities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9"/>
                <w:szCs w:val="19"/>
                <w:b w:val="1"/>
                <w:bCs w:val="1"/>
                <w:color w:val="auto"/>
                <w:w w:val="97"/>
              </w:rPr>
              <w:t>Wells Fargo Securities</w:t>
            </w:r>
          </w:p>
        </w:tc>
        <w:tc>
          <w:tcPr>
            <w:tcW w:w="0" w:type="dxa"/>
            <w:vAlign w:val="bottom"/>
          </w:tcPr>
          <w:p>
            <w:pPr>
              <w:spacing w:after="0"/>
              <w:rPr>
                <w:sz w:val="1"/>
                <w:szCs w:val="1"/>
                <w:color w:val="auto"/>
              </w:rPr>
            </w:pPr>
          </w:p>
        </w:tc>
      </w:tr>
      <w:tr>
        <w:trPr>
          <w:trHeight w:val="341"/>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BofA Securities </w:t>
            </w:r>
            <w:r>
              <w:rPr>
                <w:rFonts w:ascii="Times New Roman" w:cs="Times New Roman" w:eastAsia="Times New Roman" w:hAnsi="Times New Roman"/>
                <w:sz w:val="18"/>
                <w:szCs w:val="18"/>
                <w:b w:val="1"/>
                <w:bCs w:val="1"/>
                <w:color w:val="auto"/>
              </w:rPr>
              <w:t>MUFG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3"/>
          </w:tcPr>
          <w:p>
            <w:pPr>
              <w:ind w:left="100"/>
              <w:spacing w:after="0"/>
              <w:rPr>
                <w:sz w:val="20"/>
                <w:szCs w:val="20"/>
                <w:color w:val="auto"/>
              </w:rPr>
            </w:pPr>
            <w:r>
              <w:rPr>
                <w:rFonts w:ascii="Times New Roman" w:cs="Times New Roman" w:eastAsia="Times New Roman" w:hAnsi="Times New Roman"/>
                <w:sz w:val="20"/>
                <w:szCs w:val="20"/>
                <w:b w:val="1"/>
                <w:bCs w:val="1"/>
                <w:color w:val="auto"/>
              </w:rPr>
              <w:t>PNC Capital Markets LLC</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Truist Securities</w:t>
            </w:r>
          </w:p>
        </w:tc>
        <w:tc>
          <w:tcPr>
            <w:tcW w:w="320" w:type="dxa"/>
            <w:vAlign w:val="bottom"/>
          </w:tcPr>
          <w:p>
            <w:pPr>
              <w:spacing w:after="0"/>
              <w:rPr>
                <w:sz w:val="24"/>
                <w:szCs w:val="24"/>
                <w:color w:val="auto"/>
              </w:rPr>
            </w:pP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20"/>
                <w:szCs w:val="20"/>
                <w:b w:val="1"/>
                <w:bCs w:val="1"/>
                <w:color w:val="auto"/>
              </w:rPr>
              <w:t>US Bancorp</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w w:val="96"/>
              </w:rPr>
              <w:t>Santander</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4"/>
          </w:tcPr>
          <w:p>
            <w:pPr>
              <w:spacing w:after="0"/>
              <w:rPr>
                <w:sz w:val="19"/>
                <w:szCs w:val="19"/>
                <w:color w:val="auto"/>
              </w:rPr>
            </w:pPr>
          </w:p>
        </w:tc>
        <w:tc>
          <w:tcPr>
            <w:tcW w:w="1160" w:type="dxa"/>
            <w:vAlign w:val="bottom"/>
            <w:tcBorders>
              <w:bottom w:val="single" w:sz="8" w:color="auto"/>
            </w:tcBorders>
            <w:gridSpan w:val="7"/>
          </w:tcPr>
          <w:p>
            <w:pPr>
              <w:spacing w:after="0"/>
              <w:rPr>
                <w:sz w:val="19"/>
                <w:szCs w:val="19"/>
                <w:color w:val="auto"/>
              </w:rPr>
            </w:pPr>
          </w:p>
        </w:tc>
        <w:tc>
          <w:tcPr>
            <w:tcW w:w="740" w:type="dxa"/>
            <w:vAlign w:val="bottom"/>
            <w:tcBorders>
              <w:bottom w:val="single" w:sz="8" w:color="auto"/>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0" w:type="dxa"/>
            <w:vAlign w:val="bottom"/>
            <w:gridSpan w:val="13"/>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The date of this prospectus supplement is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76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2026.</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-6190615</wp:posOffset>
            </wp:positionV>
            <wp:extent cx="92583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46291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ROSPECTUS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20"/>
            <w:vMerge w:val="continue"/>
          </w:tcPr>
          <w:p>
            <w:pPr>
              <w:spacing w:after="0"/>
              <w:rPr>
                <w:sz w:val="13"/>
                <w:szCs w:val="13"/>
                <w:color w:val="auto"/>
              </w:rPr>
            </w:pPr>
          </w:p>
        </w:tc>
        <w:tc>
          <w:tcPr>
            <w:tcW w:w="7120" w:type="dxa"/>
            <w:vAlign w:val="bottom"/>
            <w:gridSpan w:val="6"/>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7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5"/>
          </w:tcPr>
          <w:p>
            <w:pPr>
              <w:spacing w:after="0"/>
              <w:rPr>
                <w:sz w:val="17"/>
                <w:szCs w:val="17"/>
                <w:color w:val="auto"/>
              </w:rPr>
            </w:pPr>
          </w:p>
        </w:tc>
        <w:tc>
          <w:tcPr>
            <w:tcW w:w="76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300" w:type="dxa"/>
            <w:vAlign w:val="bottom"/>
            <w:gridSpan w:val="21"/>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ISSUANCE IN EURO</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0" w:type="dxa"/>
            <w:vAlign w:val="bottom"/>
            <w:tcBorders>
              <w:top w:val="single" w:sz="8" w:color="0000EE"/>
            </w:tcBorders>
          </w:tcPr>
          <w:p>
            <w:pPr>
              <w:spacing w:after="0"/>
              <w:rPr>
                <w:sz w:val="17"/>
                <w:szCs w:val="17"/>
                <w:color w:val="auto"/>
              </w:rPr>
            </w:pPr>
          </w:p>
        </w:tc>
        <w:tc>
          <w:tcPr>
            <w:tcW w:w="892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1000" w:type="dxa"/>
            <w:vAlign w:val="bottom"/>
            <w:tcBorders>
              <w:top w:val="single" w:sz="8" w:color="0000EE"/>
            </w:tcBorders>
            <w:gridSpan w:val="2"/>
          </w:tcPr>
          <w:p>
            <w:pPr>
              <w:spacing w:after="0"/>
              <w:rPr>
                <w:sz w:val="17"/>
                <w:szCs w:val="17"/>
                <w:color w:val="auto"/>
              </w:rPr>
            </w:pPr>
          </w:p>
        </w:tc>
        <w:tc>
          <w:tcPr>
            <w:tcW w:w="586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S-45</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VALIDITY OF THE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S-53</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84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FISERV, INC.</w:t>
            </w:r>
          </w:p>
        </w:tc>
        <w:tc>
          <w:tcPr>
            <w:tcW w:w="932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FISERV FUNDING UNLIMITED COMPANY</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840" w:type="dxa"/>
            <w:vAlign w:val="bottom"/>
            <w:tcBorders>
              <w:top w:val="single" w:sz="8" w:color="0000EE"/>
            </w:tcBorders>
            <w:gridSpan w:val="11"/>
          </w:tcPr>
          <w:p>
            <w:pPr>
              <w:spacing w:after="0"/>
              <w:rPr>
                <w:sz w:val="17"/>
                <w:szCs w:val="17"/>
                <w:color w:val="auto"/>
              </w:rPr>
            </w:pPr>
          </w:p>
        </w:tc>
        <w:tc>
          <w:tcPr>
            <w:tcW w:w="71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 OF DEBT SECURITIES</w:t>
            </w:r>
          </w:p>
        </w:tc>
        <w:tc>
          <w:tcPr>
            <w:tcW w:w="40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1"/>
          </w:tcPr>
          <w:p>
            <w:pPr>
              <w:spacing w:after="0"/>
              <w:rPr>
                <w:sz w:val="17"/>
                <w:szCs w:val="17"/>
                <w:color w:val="auto"/>
              </w:rPr>
            </w:pPr>
          </w:p>
        </w:tc>
        <w:tc>
          <w:tcPr>
            <w:tcW w:w="70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34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2340" w:type="dxa"/>
            <w:vAlign w:val="bottom"/>
            <w:tcBorders>
              <w:top w:val="single" w:sz="8" w:color="0000EE"/>
            </w:tcBorders>
            <w:gridSpan w:val="17"/>
          </w:tcPr>
          <w:p>
            <w:pPr>
              <w:spacing w:after="0"/>
              <w:rPr>
                <w:sz w:val="17"/>
                <w:szCs w:val="17"/>
                <w:color w:val="auto"/>
              </w:rPr>
            </w:pPr>
          </w:p>
        </w:tc>
        <w:tc>
          <w:tcPr>
            <w:tcW w:w="676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document has two parts. The first part is this prospectus supplement, which describes the specific terms of this offering. The second part is the accompanying prospectus, which provides more general information, some of which may not apply to this offering. You should read the entire prospectus supplement, as well as the accompanying prospectus and the documents incorporated by reference that are described under “Where You Can Find More Information” in this prospectus supplement and the accompanying prospectus. In the event that the description of the offering in this prospectus supplement is inconsistent with the accompanying prospectus, you should rely on the information contained in this prospectus supplement.</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not, and the underwriters have not, authorized any other person to provide you with different or additional information other than that contained or incorporated by reference in this prospectus supplement, the accompanying prospectus and any free writing prospectus that we have authorized for use in connection with this offering. We are not, and the underwriters are not, making an offer to sell these securities in any jurisdiction where the offer or sale is not permitted. You should not assume that the information contained in or incorporated by reference into this prospectus supplement, the accompanying prospectus and any free writing prospectus filed by us with the SEC is accurate as of any date other than its respective date. Our business, financial condition, liquidity, results of operations and prospects may have changed since those dates.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References in this prospectus supplement to “$,” “dollars,” “USD” or “U.S. dollars” are to the lawful currency of the United States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to “€” or “euro” are to the lawful currency of the member states of the European Union that have adopted the euro as their currency.</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requires otherwise, references in this prospectus supplement to “we,” “our,” “us” and “Fiserv” refer to Fiserv, Inc., a Wisconsin corporation, and its consolidated subsidiaries.</w:t>
      </w:r>
    </w:p>
    <w:p>
      <w:pPr>
        <w:spacing w:after="0" w:line="16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ISSUE OF THE NOTES, CITIGROUP GLOBAL MARKETS LIMITED, IN ITS ROLE AS STABILIZING MANAGER (THE “STABILIZING MANAGER”) FOR ITS OWN ACCOUNT MAY, TO THE EXTENT PERMITTED BY APPLICABLE LAWS AND DIRECTIVES, OVER-ALLOT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90"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Prohibition of Sales to EEA Retail Investors: </w:t>
      </w:r>
      <w:r>
        <w:rPr>
          <w:rFonts w:ascii="Times New Roman" w:cs="Times New Roman" w:eastAsia="Times New Roman" w:hAnsi="Times New Roman"/>
          <w:sz w:val="17"/>
          <w:szCs w:val="17"/>
          <w:color w:val="auto"/>
        </w:rPr>
        <w:t>The notes are not intended to be offered, sold, distributed or otherwise made available to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should not be offered, sold, distributed or otherwise made available to any retail investor in the European Economic Area (“EEA”). For these purposes,</w:t>
      </w:r>
    </w:p>
    <w:p>
      <w:pPr>
        <w:spacing w:after="0" w:line="1" w:lineRule="exact"/>
        <w:rPr>
          <w:sz w:val="20"/>
          <w:szCs w:val="20"/>
          <w:color w:val="auto"/>
        </w:rPr>
      </w:pPr>
    </w:p>
    <w:p>
      <w:pPr>
        <w:ind w:left="120" w:hanging="4"/>
        <w:spacing w:after="0" w:line="252" w:lineRule="auto"/>
        <w:tabs>
          <w:tab w:leader="none" w:pos="3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investors in the EEA has been prepared, and therefore offering or selling the notes or otherwise making them available to any retail investor in the EEA may be unlawful under the PRIIPs Regulation.</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MiFID II professionals/ECPs-only: </w:t>
      </w:r>
      <w:r>
        <w:rPr>
          <w:rFonts w:ascii="Times New Roman" w:cs="Times New Roman" w:eastAsia="Times New Roman" w:hAnsi="Times New Roman"/>
          <w:sz w:val="17"/>
          <w:szCs w:val="17"/>
          <w:color w:val="auto"/>
        </w:rPr>
        <w:t>Manufacturer target market (MiFID II product governance) is eligible counterparties and professional clients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6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Prohibition of Sales to UK Retail Investors: </w:t>
      </w:r>
      <w:r>
        <w:rPr>
          <w:rFonts w:ascii="Times New Roman" w:cs="Times New Roman" w:eastAsia="Times New Roman" w:hAnsi="Times New Roman"/>
          <w:sz w:val="18"/>
          <w:szCs w:val="18"/>
          <w:color w:val="auto"/>
        </w:rPr>
        <w:t>The notes are not intended to be offered, sold, distributed or otherwise made available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falls within the definition of “investment professionals” in Article 19(5) of the Financial Services and Markets Act 2000 (Financial Promotion) Order 2005 (the “Order”); (ii) high net worth companies, unincorporated associations and partnerships and trustees of high value trusts 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Any person in the UK that is not a Relevant Person should not act or rely on this prospectus supplement and/or the accompanying prospectus or any of their contents.</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approved for the purposes of Section 21 of the FSMA by a person authorized under the FSMA. This prospectus supplement and the accompanying prospectus are being distributed and communicated to persons in the UK only in circumstances in which Section 21(1) of the FSMA does not apply to the issuer.</w:t>
      </w:r>
    </w:p>
    <w:p>
      <w:pPr>
        <w:spacing w:after="0" w:line="17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United Kingdom MiFIR professionals/ECPs-only: </w:t>
      </w:r>
      <w:r>
        <w:rPr>
          <w:rFonts w:ascii="Times New Roman" w:cs="Times New Roman" w:eastAsia="Times New Roman" w:hAnsi="Times New Roman"/>
          <w:sz w:val="18"/>
          <w:szCs w:val="18"/>
          <w:color w:val="auto"/>
        </w:rPr>
        <w:t>Manufacturer target market (FCA Handbook Product Intervention and Product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Sourcebook (the “UK MiFIR Product Governance Rules”)) is eligible counterparties and professional clients only (all distribution channels). Any distributor should take into 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with the SEC a registration statement on Form S-3, including exhibits, with respect to the notes offered by this prospectus supplement. This prospectus supplement and the accompanying prospectus are part of the registration statement, but do not contain all of the information included in the registration statement or the exhibits. Our filings with the SEC are available to the public through the SEC’s Internet site at http://www.sec.gov.</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documents are considered part of this prospectus supplement and the accompanying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disclosing important information to you by referring you to those documents;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we file with the SEC after the date of this prospectus supplement will automatically update and supersede information included or incorporated by reference in this prospectus supplement and the accompanying prospectus.</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incorporate by reference the documents listed below and any future filings we make with the SEC under Sections 13(a), 13(c), 14 or 15(d) of the Exchange Act after the date of this prospectus supplement and before the end of the offering of the securities pursuant to this prospectus supplement:</w:t>
      </w:r>
    </w:p>
    <w:p>
      <w:pPr>
        <w:spacing w:after="0" w:line="4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3">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4">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5">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May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EE"/>
          </w:rPr>
          <w:t>June 15,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Definitive Proxy Statement for our 2026 annual meeting filed with the SEC on </w:t>
      </w:r>
      <w:hyperlink r:id="rId18">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is incorporated by reference into our Annual Report on Form 10-K for the year ended December 31, 2025.</w:t>
      </w:r>
    </w:p>
    <w:p>
      <w:pPr>
        <w:spacing w:after="0" w:line="162" w:lineRule="exact"/>
        <w:rPr>
          <w:rFonts w:ascii="Times New Roman" w:cs="Times New Roman" w:eastAsia="Times New Roman" w:hAnsi="Times New Roman"/>
          <w:sz w:val="18"/>
          <w:szCs w:val="18"/>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documents or portions thereof containing information furnished under Items 2.02 and 7.01 of any Current Report on Form 8-K, including the related exhibits under Item 9.01, are not incorporated by reference into this prospectus supplement.</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any of these filings, at no cost, by request directed to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600 N. Vel R. Phillips Avenue</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Milwaukee, WI 53203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879-5000</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7" w:lineRule="exact"/>
        <w:rPr>
          <w:rFonts w:ascii="Times New Roman" w:cs="Times New Roman" w:eastAsia="Times New Roman" w:hAnsi="Times New Roman"/>
          <w:sz w:val="18"/>
          <w:szCs w:val="18"/>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can also find these filings on our website at www.fiserv.com. We are not incorporating the information on or accessible through our website other than these filings into this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into this prospectus supplement and the accompanying prospectus contain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The forward-looking statements included or incorporated by reference into this prospectus supplement and the accompanying prospectus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prospectus supplement or the date of the incorporated document. We undertake no obligation to update forward-looking statements to reflect events or circumstances occurring after the date of this prospectus supplement.</w:t>
      </w: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60" w:firstLine="426"/>
        <w:spacing w:after="0" w:line="281" w:lineRule="auto"/>
        <w:rPr>
          <w:sz w:val="20"/>
          <w:szCs w:val="20"/>
          <w:color w:val="auto"/>
        </w:rPr>
      </w:pPr>
      <w:r>
        <w:rPr>
          <w:rFonts w:ascii="Times New Roman" w:cs="Times New Roman" w:eastAsia="Times New Roman" w:hAnsi="Times New Roman"/>
          <w:sz w:val="17"/>
          <w:szCs w:val="17"/>
          <w:color w:val="auto"/>
        </w:rPr>
        <w:t>This summary highlights information contained or incorporated by reference into this prospectus supplement and the accompanying prospectus. This summary may not contain all of the information that may be important to you. You should read this entire prospectus supplement, including the “Risk Factors” section of this prospectus supplement, the accompanying prospectus, the risk factors discussed in our most recent Annual Report on Form 10-K and the other information incorporated by reference carefully before making a decision to invest in our notes.</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Fiserv</w:t>
      </w:r>
    </w:p>
    <w:p>
      <w:pPr>
        <w:spacing w:after="0" w:line="121" w:lineRule="exact"/>
        <w:rPr>
          <w:sz w:val="20"/>
          <w:szCs w:val="20"/>
          <w:color w:val="auto"/>
        </w:rPr>
      </w:pPr>
    </w:p>
    <w:p>
      <w:pPr>
        <w:ind w:left="300" w:right="240" w:firstLine="426"/>
        <w:spacing w:after="0" w:line="236"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are publicly traded on the NASDAQ Global Select Market under the symbol “FISV” and part of the S&amp;P 500 Index.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w:t>
      </w:r>
    </w:p>
    <w:p>
      <w:pPr>
        <w:spacing w:after="0" w:line="200" w:lineRule="exact"/>
        <w:rPr>
          <w:sz w:val="20"/>
          <w:szCs w:val="20"/>
          <w:color w:val="auto"/>
        </w:rPr>
      </w:pPr>
    </w:p>
    <w:p>
      <w:pPr>
        <w:ind w:left="300" w:right="160" w:firstLine="426"/>
        <w:spacing w:after="0" w:line="289" w:lineRule="auto"/>
        <w:rPr>
          <w:sz w:val="20"/>
          <w:szCs w:val="20"/>
          <w:color w:val="auto"/>
        </w:rPr>
      </w:pPr>
      <w:r>
        <w:rPr>
          <w:rFonts w:ascii="Times New Roman" w:cs="Times New Roman" w:eastAsia="Times New Roman" w:hAnsi="Times New Roman"/>
          <w:sz w:val="17"/>
          <w:szCs w:val="17"/>
          <w:color w:val="auto"/>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in our products, services and business operations.</w:t>
      </w:r>
    </w:p>
    <w:p>
      <w:pPr>
        <w:spacing w:after="0" w:line="158"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In 2025, we had $21.2 billion in total revenue, $5.8 billion in operating income and $6.1 billion of net cash provided by operating activities, and in the three months ended March 31, 2026, we had $5.0 billion in total revenue, $918 million in operating income and $599 million of net cash provided by operating activities. Processing and services revenue, which represented 80% of our total revenue in 2025 and 81% of our total revenue in the three months ended March 31, 2026, is primarily generated from account- and transaction-based fees under multi-year contracts that generally have high renewal rates.</w:t>
      </w:r>
    </w:p>
    <w:p>
      <w:pPr>
        <w:spacing w:after="0" w:line="183"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serve our global client base by working among our geographic teams across various regions, including the United States of America (“U.S.”) and Canada; Europe, Middle East and Africa; Latin America; and Asia Pacific.</w:t>
      </w:r>
    </w:p>
    <w:p>
      <w:pPr>
        <w:spacing w:after="0" w:line="162"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have grown our business organically by signing new clients, as well as through acquisitions, expanding the products and services we provide to existing clients, offering new and enhanced products and services developed through innovation and acquisition, and extending our capabilities geographically, all of which have enabled us to deliver a wide range of products and services and created new opportunities for growth. Our operations are comprised of the Merchant Solutions (“Merchant”) segment and the Financial Solutions (“Financial”) segment.</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Our headquarters are located at 600 N. Vel R. Phillips Avenue, Milwaukee, WI 53203, and our telephone number is (262) 879-5000.</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Merchant</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businesses in our Merchant segment provide commerce-enabling products and services to companies of all sizes around the world. These products and services include merchant acquiring and digital commerce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221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998970" cy="7221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services; mobile payment services; security and fraud protection solutions; stored-value solutions; and pay-by-bank solutions. The business lines aggregated within the Merchant segment consist of the following:</w:t>
      </w:r>
    </w:p>
    <w:p>
      <w:pPr>
        <w:spacing w:after="0" w:line="65" w:lineRule="exact"/>
        <w:rPr>
          <w:sz w:val="20"/>
          <w:szCs w:val="20"/>
          <w:color w:val="auto"/>
        </w:rPr>
      </w:pPr>
    </w:p>
    <w:p>
      <w:pPr>
        <w:ind w:left="1240" w:right="160" w:hanging="415"/>
        <w:spacing w:after="0" w:line="21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Small Business </w:t>
      </w:r>
      <w:r>
        <w:rPr>
          <w:rFonts w:ascii="Times New Roman" w:cs="Times New Roman" w:eastAsia="Times New Roman" w:hAnsi="Times New Roman"/>
          <w:sz w:val="18"/>
          <w:szCs w:val="18"/>
          <w:color w:val="auto"/>
        </w:rPr>
        <w:t>- provides products and services to small businesses and independent software vendors (“ISVs”), including Clover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POS and business management platform for small business clients</w:t>
      </w:r>
    </w:p>
    <w:p>
      <w:pPr>
        <w:spacing w:after="0" w:line="102" w:lineRule="exact"/>
        <w:rPr>
          <w:rFonts w:ascii="Times New Roman" w:cs="Times New Roman" w:eastAsia="Times New Roman" w:hAnsi="Times New Roman"/>
          <w:sz w:val="18"/>
          <w:szCs w:val="18"/>
          <w:color w:val="auto"/>
        </w:rPr>
      </w:pPr>
    </w:p>
    <w:p>
      <w:pPr>
        <w:ind w:left="1240" w:right="8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 provides products and services to large businesses, including our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63" w:lineRule="exact"/>
        <w:rPr>
          <w:rFonts w:ascii="Times New Roman" w:cs="Times New Roman" w:eastAsia="Times New Roman" w:hAnsi="Times New Roman"/>
          <w:sz w:val="18"/>
          <w:szCs w:val="18"/>
          <w:color w:val="auto"/>
        </w:rPr>
      </w:pPr>
    </w:p>
    <w:p>
      <w:pPr>
        <w:ind w:left="1240" w:right="200" w:hanging="415"/>
        <w:spacing w:after="0" w:line="28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Processing </w:t>
      </w:r>
      <w:r>
        <w:rPr>
          <w:rFonts w:ascii="Times New Roman" w:cs="Times New Roman" w:eastAsia="Times New Roman" w:hAnsi="Times New Roman"/>
          <w:sz w:val="18"/>
          <w:szCs w:val="18"/>
          <w:color w:val="auto"/>
        </w:rPr>
        <w:t>- provides products and services to financial institutions, joint ventures, and other third party resellers which have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merchants</w:t>
      </w:r>
    </w:p>
    <w:p>
      <w:pPr>
        <w:spacing w:after="0" w:line="16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79" w:lineRule="exact"/>
        <w:rPr>
          <w:sz w:val="20"/>
          <w:szCs w:val="20"/>
          <w:color w:val="auto"/>
        </w:rPr>
      </w:pPr>
    </w:p>
    <w:p>
      <w:pPr>
        <w:ind w:left="1240" w:right="56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Payments </w:t>
      </w:r>
      <w:r>
        <w:rPr>
          <w:rFonts w:ascii="Times New Roman" w:cs="Times New Roman" w:eastAsia="Times New Roman" w:hAnsi="Times New Roman"/>
          <w:sz w:val="18"/>
          <w:szCs w:val="18"/>
          <w:color w:val="auto"/>
        </w:rPr>
        <w:t>- provides debit card processing services; debit network services; security and fraud protection products; bill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person-to-person payments; and account-to-account transfers</w:t>
      </w:r>
    </w:p>
    <w:p>
      <w:pPr>
        <w:spacing w:after="0" w:line="63" w:lineRule="exact"/>
        <w:rPr>
          <w:rFonts w:ascii="Times New Roman" w:cs="Times New Roman" w:eastAsia="Times New Roman" w:hAnsi="Times New Roman"/>
          <w:sz w:val="18"/>
          <w:szCs w:val="18"/>
          <w:color w:val="auto"/>
        </w:rPr>
      </w:pPr>
    </w:p>
    <w:p>
      <w:pPr>
        <w:ind w:left="1240" w:right="74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Issuing </w:t>
      </w:r>
      <w:r>
        <w:rPr>
          <w:rFonts w:ascii="Times New Roman" w:cs="Times New Roman" w:eastAsia="Times New Roman" w:hAnsi="Times New Roman"/>
          <w:sz w:val="18"/>
          <w:szCs w:val="18"/>
          <w:color w:val="auto"/>
        </w:rPr>
        <w:t>- provides credit card processing services; prepaid card processing services; card production services; print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payment processing; and student loan processing</w:t>
      </w:r>
    </w:p>
    <w:p>
      <w:pPr>
        <w:spacing w:after="0" w:line="63" w:lineRule="exact"/>
        <w:rPr>
          <w:rFonts w:ascii="Times New Roman" w:cs="Times New Roman" w:eastAsia="Times New Roman" w:hAnsi="Times New Roman"/>
          <w:sz w:val="18"/>
          <w:szCs w:val="18"/>
          <w:color w:val="auto"/>
        </w:rPr>
      </w:pPr>
    </w:p>
    <w:p>
      <w:pPr>
        <w:ind w:left="1240" w:right="50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Banking </w:t>
      </w:r>
      <w:r>
        <w:rPr>
          <w:rFonts w:ascii="Times New Roman" w:cs="Times New Roman" w:eastAsia="Times New Roman" w:hAnsi="Times New Roman"/>
          <w:sz w:val="18"/>
          <w:szCs w:val="18"/>
          <w:color w:val="auto"/>
        </w:rPr>
        <w:t>- provides customer loan and deposit account processing; digital banking; financial and risk management;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consulting; and check processing</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activity, certain services revenue associated with various dispositions, expenses associated with our One Fiserv transformation initiative, and postage reimbursements. Our One Fiserv action plan is a comprehensive, strategic initiative aimed to enhance client service, accelerate product development, address operational inefficiencies, and optimize capital management.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See the “Risk Factors” section of this prospectus supplement and the risk factors incorporated by reference into this prospectus supplement and the accompanying prospectus for more information on risks relating to our business and the notes.</w:t>
      </w: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Leadership Changes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June 15, 2026, the Company announced the following leadership changes:</w:t>
      </w:r>
    </w:p>
    <w:p>
      <w:pPr>
        <w:spacing w:after="0" w:line="131" w:lineRule="exact"/>
        <w:rPr>
          <w:sz w:val="20"/>
          <w:szCs w:val="20"/>
          <w:color w:val="auto"/>
        </w:rPr>
      </w:pPr>
    </w:p>
    <w:p>
      <w:pPr>
        <w:jc w:val="both"/>
        <w:ind w:left="1240" w:right="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P. Lyons resigned as Chief Executive Officer and as a member of our board of directors, effective as of June 12, 2026. Mr. Lyons’s resignation was not the result of any disagreement with the Company on any matter relating to the Company’s operations, policies or practices.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18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998970" cy="2918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Lyons’s resignation, Takis Georgakopoulos was appointed as Chief Executive Officer of the Company and as a member of our board of directors on June 14, 2026. Upon his appointment as Chief Executive Officer, Mr. Georgakopoulos ceased to serve as Co-President, Head of Merchant and Technology of the Company.</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Georgakopoulos’s appointment as Chief Executive Officer, Dhivya Suryadevara’s title was updated to President of the Company, effective as of June 14, 2026. Upon her appointment as President, Ms. Suryadevara ceased to serve as Co-President of the Company.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Tender Offer for 5.150% Senior Notes due 2027 and 4.400% Senior Notes due 2049</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June 16, 2026, we commenced an offer to purchase for cash any and all of our $750.0 million aggregate principal amount of 5.150% senior notes due 2027 (the “5.150% Senior Notes”) and any and all of our $2.0 billion aggregate principal amount of 4.400% senior notes due 2049 (the “4.400% Senior Notes”), subject to the relevant terms and conditions set forth in the Offer to Purchase related to the tender offer. The tender offer will expire at 5:00 p.m., New York City time, on June 23, 2026, unless the tender offer is extended or earlier terminated.</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consummation of the tender offer is conditioned upon, among other things, the completion of this offering and the satisfaction of the customary general conditions described in the Offer to Purchase related to the tender offer. The consummation of this offering is not conditioned on the completion of the tender offer. We cannot provide any assurance that the tender offer will be consummated or, if consummated, the principal amount of such notes that will be tendered. This prospectus supplement and accompanying prospectus do not constitute an offer by us to purchase the 5.150% Senior Notes and the 4.400% Senior Notes.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36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998970" cy="6836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9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this offering. For a more complete description of the terms of the notes, see “Description of the Notes” in this prospectus supplement and “Description of Debt Securities and Guarantees of Debt Securities” in the accompanying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Fiserv, Inc.</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0"/>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48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w w:val="95"/>
              </w:rPr>
              <w:t>   aggregate principal amount of          % Senior Notes due 20  </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“20  </w:t>
            </w:r>
          </w:p>
        </w:tc>
      </w:tr>
      <w:tr>
        <w:trPr>
          <w:trHeight w:val="216"/>
        </w:trPr>
        <w:tc>
          <w:tcPr>
            <w:tcW w:w="3840" w:type="dxa"/>
            <w:vAlign w:val="bottom"/>
          </w:tcPr>
          <w:p>
            <w:pPr>
              <w:spacing w:after="0"/>
              <w:rPr>
                <w:sz w:val="18"/>
                <w:szCs w:val="18"/>
                <w:color w:val="auto"/>
              </w:rPr>
            </w:pP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86"/>
              </w:rPr>
              <w:t>notes”) and €  </w:t>
            </w:r>
          </w:p>
        </w:tc>
        <w:tc>
          <w:tcPr>
            <w:tcW w:w="10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3"/>
              </w:rPr>
              <w:t>   aggregate principal amount of    % Senior Notes due 20  </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“20  </w:t>
            </w:r>
          </w:p>
        </w:tc>
      </w:tr>
      <w:tr>
        <w:trPr>
          <w:trHeight w:val="234"/>
        </w:trPr>
        <w:tc>
          <w:tcPr>
            <w:tcW w:w="3840" w:type="dxa"/>
            <w:vAlign w:val="bottom"/>
          </w:tcPr>
          <w:p>
            <w:pPr>
              <w:spacing w:after="0"/>
              <w:rPr>
                <w:sz w:val="20"/>
                <w:szCs w:val="20"/>
                <w:color w:val="auto"/>
              </w:rPr>
            </w:pPr>
          </w:p>
        </w:tc>
        <w:tc>
          <w:tcPr>
            <w:tcW w:w="558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rPr>
              <w:t>notes” and, together with the 20    notes, the “notes”).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spacing w:after="0"/>
              <w:rPr>
                <w:sz w:val="24"/>
                <w:szCs w:val="24"/>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The offering and sale of each series of notes is not conditioned on the sale of any other</w:t>
            </w:r>
          </w:p>
        </w:tc>
      </w:tr>
      <w:tr>
        <w:trPr>
          <w:trHeight w:val="234"/>
        </w:trPr>
        <w:tc>
          <w:tcPr>
            <w:tcW w:w="3840" w:type="dxa"/>
            <w:vAlign w:val="bottom"/>
          </w:tcPr>
          <w:p>
            <w:pPr>
              <w:spacing w:after="0"/>
              <w:rPr>
                <w:sz w:val="20"/>
                <w:szCs w:val="20"/>
                <w:color w:val="auto"/>
              </w:rPr>
            </w:pPr>
          </w:p>
        </w:tc>
        <w:tc>
          <w:tcPr>
            <w:tcW w:w="15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series of notes.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Dates</w:t>
            </w: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Unless earlier redeemed or repurchased by us, the 20    notes will mature on       , 20  </w:t>
            </w:r>
          </w:p>
        </w:tc>
      </w:tr>
      <w:tr>
        <w:trPr>
          <w:trHeight w:val="234"/>
        </w:trPr>
        <w:tc>
          <w:tcPr>
            <w:tcW w:w="3840" w:type="dxa"/>
            <w:vAlign w:val="bottom"/>
          </w:tcPr>
          <w:p>
            <w:pPr>
              <w:spacing w:after="0"/>
              <w:rPr>
                <w:sz w:val="20"/>
                <w:szCs w:val="20"/>
                <w:color w:val="auto"/>
              </w:rPr>
            </w:pPr>
          </w:p>
        </w:tc>
        <w:tc>
          <w:tcPr>
            <w:tcW w:w="302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w w:val="94"/>
              </w:rPr>
              <w:t>and the 20    notes will mature on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20    .</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 Common Code / ISIN</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20  </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4"/>
              </w:rPr>
              <w:t>notes: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2"/>
              </w:rPr>
              <w:t>/  </w:t>
            </w:r>
          </w:p>
        </w:tc>
        <w:tc>
          <w:tcPr>
            <w:tcW w:w="220" w:type="dxa"/>
            <w:vAlign w:val="bottom"/>
          </w:tcPr>
          <w:p>
            <w:pPr>
              <w:jc w:val="center"/>
              <w:ind w:right="49"/>
              <w:spacing w:after="0"/>
              <w:rPr>
                <w:sz w:val="20"/>
                <w:szCs w:val="20"/>
                <w:color w:val="auto"/>
              </w:rPr>
            </w:pPr>
            <w:r>
              <w:rPr>
                <w:rFonts w:ascii="Times New Roman" w:cs="Times New Roman" w:eastAsia="Times New Roman" w:hAnsi="Times New Roman"/>
                <w:sz w:val="8"/>
                <w:szCs w:val="8"/>
                <w:color w:val="auto"/>
                <w:w w:val="74"/>
              </w:rPr>
              <w:t> </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78"/>
              </w:rPr>
              <w:t>/</w:t>
            </w: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384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20  </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notes: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2"/>
              </w:rPr>
              <w:t>/  </w:t>
            </w:r>
          </w:p>
        </w:tc>
        <w:tc>
          <w:tcPr>
            <w:tcW w:w="220" w:type="dxa"/>
            <w:vAlign w:val="bottom"/>
          </w:tcPr>
          <w:p>
            <w:pPr>
              <w:jc w:val="center"/>
              <w:ind w:right="29"/>
              <w:spacing w:after="0"/>
              <w:rPr>
                <w:sz w:val="20"/>
                <w:szCs w:val="20"/>
                <w:color w:val="auto"/>
              </w:rPr>
            </w:pPr>
            <w:r>
              <w:rPr>
                <w:rFonts w:ascii="Times New Roman" w:cs="Times New Roman" w:eastAsia="Times New Roman" w:hAnsi="Times New Roman"/>
                <w:sz w:val="4"/>
                <w:szCs w:val="4"/>
                <w:color w:val="auto"/>
                <w:w w:val="98"/>
              </w:rPr>
              <w:t> </w:t>
            </w:r>
          </w:p>
        </w:tc>
        <w:tc>
          <w:tcPr>
            <w:tcW w:w="9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302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w w:val="91"/>
              </w:rPr>
              <w:t>The 20    notes will bear interest at  </w:t>
            </w:r>
          </w:p>
        </w:tc>
        <w:tc>
          <w:tcPr>
            <w:tcW w:w="100" w:type="dxa"/>
            <w:vAlign w:val="bottom"/>
          </w:tcPr>
          <w:p>
            <w:pPr>
              <w:spacing w:after="0"/>
              <w:rPr>
                <w:sz w:val="24"/>
                <w:szCs w:val="24"/>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per year and the 20    notes will bear interest at  </w:t>
            </w:r>
          </w:p>
        </w:tc>
      </w:tr>
      <w:tr>
        <w:trPr>
          <w:trHeight w:val="234"/>
        </w:trPr>
        <w:tc>
          <w:tcPr>
            <w:tcW w:w="3840" w:type="dxa"/>
            <w:vAlign w:val="bottom"/>
          </w:tcPr>
          <w:p>
            <w:pPr>
              <w:spacing w:after="0"/>
              <w:rPr>
                <w:sz w:val="20"/>
                <w:szCs w:val="20"/>
                <w:color w:val="auto"/>
              </w:rPr>
            </w:pP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per year.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3"/>
              </w:rPr>
              <w:t>of each year, beginning on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4"/>
              </w:rPr>
              <w:t>, 2026, for the 20    notes and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each year,</w:t>
            </w:r>
          </w:p>
        </w:tc>
      </w:tr>
      <w:tr>
        <w:trPr>
          <w:trHeight w:val="234"/>
        </w:trPr>
        <w:tc>
          <w:tcPr>
            <w:tcW w:w="3840" w:type="dxa"/>
            <w:vAlign w:val="bottom"/>
          </w:tcPr>
          <w:p>
            <w:pPr>
              <w:spacing w:after="0"/>
              <w:rPr>
                <w:sz w:val="20"/>
                <w:szCs w:val="20"/>
                <w:color w:val="auto"/>
              </w:rPr>
            </w:pP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87"/>
              </w:rPr>
              <w:t>beginning on  </w:t>
            </w:r>
          </w:p>
        </w:tc>
        <w:tc>
          <w:tcPr>
            <w:tcW w:w="100" w:type="dxa"/>
            <w:vAlign w:val="bottom"/>
          </w:tcPr>
          <w:p>
            <w:pPr>
              <w:spacing w:after="0"/>
              <w:rPr>
                <w:sz w:val="20"/>
                <w:szCs w:val="20"/>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89"/>
              </w:rPr>
              <w:t>   , 2027, for the 20  </w:t>
            </w: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notes will be: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3"/>
        </w:trPr>
        <w:tc>
          <w:tcPr>
            <w:tcW w:w="3840" w:type="dxa"/>
            <w:vAlign w:val="bottom"/>
          </w:tcPr>
          <w:p>
            <w:pPr>
              <w:spacing w:after="0"/>
              <w:rPr>
                <w:sz w:val="24"/>
                <w:szCs w:val="24"/>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  our general unsecured obligations and will rank equally in right of payment with our</w:t>
            </w:r>
          </w:p>
        </w:tc>
      </w:tr>
      <w:tr>
        <w:trPr>
          <w:trHeight w:val="234"/>
        </w:trPr>
        <w:tc>
          <w:tcPr>
            <w:tcW w:w="3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other unsecured senior indebtedness from time to time outstanding;</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spacing w:after="0"/>
              <w:rPr>
                <w:sz w:val="24"/>
                <w:szCs w:val="24"/>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  effectively subordinated to any secured indebtedness to the extent of the value of the</w:t>
            </w:r>
          </w:p>
        </w:tc>
      </w:tr>
      <w:tr>
        <w:trPr>
          <w:trHeight w:val="234"/>
        </w:trPr>
        <w:tc>
          <w:tcPr>
            <w:tcW w:w="3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collateral securing such indebtedness; and</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spacing w:after="0"/>
              <w:rPr>
                <w:sz w:val="24"/>
                <w:szCs w:val="24"/>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  structurally subordinated in right of payment to all indebtedness and other liabilities and</w:t>
            </w:r>
          </w:p>
        </w:tc>
      </w:tr>
      <w:tr>
        <w:trPr>
          <w:trHeight w:val="234"/>
        </w:trPr>
        <w:tc>
          <w:tcPr>
            <w:tcW w:w="3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preferred equity of any of our subsidiaries.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spacing w:after="0"/>
              <w:rPr>
                <w:sz w:val="24"/>
                <w:szCs w:val="24"/>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As of March 31, 2026, Fiserv, Inc. had outstanding approximately $23.6 billion of</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unsecured senior indebtedness. Also at that date, Fiserv, Inc. had approximately</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$718 million of secured indebtedness (consisting primarily of financing leases outstanding)</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and approximately $60 million of financed software, and its subsidiaries had approximately</w:t>
            </w:r>
          </w:p>
        </w:tc>
      </w:tr>
      <w:tr>
        <w:trPr>
          <w:trHeight w:val="234"/>
        </w:trPr>
        <w:tc>
          <w:tcPr>
            <w:tcW w:w="3840" w:type="dxa"/>
            <w:vAlign w:val="bottom"/>
          </w:tcPr>
          <w:p>
            <w:pPr>
              <w:spacing w:after="0"/>
              <w:rPr>
                <w:sz w:val="20"/>
                <w:szCs w:val="20"/>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$4.8 billion of indebtedness to third parties, and had issued no preferred equity.</w:t>
            </w:r>
          </w:p>
        </w:tc>
      </w:tr>
      <w:tr>
        <w:trPr>
          <w:trHeight w:val="31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The notes will be redeemable, at our option, in whole or in part, at any time and from time</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to time at the applicable redemption price described in “Description of the Notes—</w:t>
            </w:r>
          </w:p>
        </w:tc>
      </w:tr>
      <w:tr>
        <w:trPr>
          <w:trHeight w:val="234"/>
        </w:trPr>
        <w:tc>
          <w:tcPr>
            <w:tcW w:w="3840" w:type="dxa"/>
            <w:vAlign w:val="bottom"/>
          </w:tcPr>
          <w:p>
            <w:pPr>
              <w:spacing w:after="0"/>
              <w:rPr>
                <w:sz w:val="20"/>
                <w:szCs w:val="20"/>
                <w:color w:val="auto"/>
              </w:rPr>
            </w:pPr>
          </w:p>
        </w:tc>
        <w:tc>
          <w:tcPr>
            <w:tcW w:w="206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w w:val="98"/>
              </w:rPr>
              <w:t>Optional Redemption.”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to Repurchase Upon Change of Control</w:t>
            </w: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Upon the occurrence of a change of control triggering event (including certain ratings</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Triggering Event</w:t>
            </w: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downgrades) as provided in the indenture, we will be required to offer to repurchase the</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notes for cash at a price of 101% of the aggregate principal amount of the notes</w:t>
            </w:r>
          </w:p>
        </w:tc>
      </w:tr>
      <w:tr>
        <w:trPr>
          <w:trHeight w:val="216"/>
        </w:trPr>
        <w:tc>
          <w:tcPr>
            <w:tcW w:w="3840" w:type="dxa"/>
            <w:vAlign w:val="bottom"/>
          </w:tcPr>
          <w:p>
            <w:pPr>
              <w:spacing w:after="0"/>
              <w:rPr>
                <w:sz w:val="18"/>
                <w:szCs w:val="18"/>
                <w:color w:val="auto"/>
              </w:rPr>
            </w:pPr>
          </w:p>
        </w:tc>
        <w:tc>
          <w:tcPr>
            <w:tcW w:w="718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outstanding on the date of such change of control triggering event plus accrued and unpaid</w:t>
            </w:r>
          </w:p>
        </w:tc>
      </w:tr>
      <w:tr>
        <w:trPr>
          <w:trHeight w:val="234"/>
        </w:trPr>
        <w:tc>
          <w:tcPr>
            <w:tcW w:w="3840" w:type="dxa"/>
            <w:vAlign w:val="bottom"/>
          </w:tcPr>
          <w:p>
            <w:pPr>
              <w:spacing w:after="0"/>
              <w:rPr>
                <w:sz w:val="20"/>
                <w:szCs w:val="20"/>
                <w:color w:val="auto"/>
              </w:rPr>
            </w:pPr>
          </w:p>
        </w:tc>
        <w:tc>
          <w:tcPr>
            <w:tcW w:w="1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72"/>
        </w:trPr>
        <w:tc>
          <w:tcPr>
            <w:tcW w:w="3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361"/>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Tax Redemption</w:t>
            </w: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notes will be redeemable, at our option, in whole but not in part, at the applicable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redemption price described in this prospectus supplement if certain tax events occur as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described in “Description of the Notes—Optional Tax Redemption.” The optional tax</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redemption provision will only apply in circumstances where our obligations have been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assumed by an entity organized outside the United States pursuant to the covenant</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described in “Description of the Notes— Merger, Consolidation and Sale of Assets.”</w:t>
            </w:r>
          </w:p>
        </w:tc>
      </w:tr>
      <w:tr>
        <w:trPr>
          <w:trHeight w:val="338"/>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indenture governing the notes contains covenants that, among other matters, limit:</w:t>
            </w:r>
          </w:p>
        </w:tc>
      </w:tr>
      <w:tr>
        <w:trPr>
          <w:trHeight w:val="333"/>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  our ability to consolidate or merge into, or convey, transfer or lease all or substantially</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all of our properties and assets to, another person;</w:t>
            </w:r>
          </w:p>
        </w:tc>
      </w:tr>
      <w:tr>
        <w:trPr>
          <w:trHeight w:val="338"/>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  our and certain of our subsidiaries’ ability to create or assume liens; and</w:t>
            </w:r>
          </w:p>
        </w:tc>
      </w:tr>
      <w:tr>
        <w:trPr>
          <w:trHeight w:val="338"/>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  our and certain of our subsidiaries’ ability to engage in sale and leaseback transactions.</w:t>
            </w:r>
          </w:p>
        </w:tc>
      </w:tr>
      <w:tr>
        <w:trPr>
          <w:trHeight w:val="319"/>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These covenants are subject to important exceptions and qualifications, which are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described under the heading “Description of the Notes—Covenants” in this prospectus</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supplement.</w:t>
            </w:r>
          </w:p>
        </w:tc>
      </w:tr>
      <w:tr>
        <w:trPr>
          <w:trHeight w:val="319"/>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after deducting the underwriting discounts and estimated offering expenses payable by us.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proceeds from the sale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of commercial paper and cash from operations, to purchase any and all of our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$750.0 million aggregate principal amount of 5.150% Senior Notes and any and all of our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$2.0 billion aggregate principal amount of 4.400% Senior Notes, including any premium</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and accrued and unpaid interest on the tendered notes, pursuant to the tender offer</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described above under “Summary—Recent Developments.” See “Use of Proceeds.”</w:t>
            </w:r>
          </w:p>
        </w:tc>
      </w:tr>
      <w:tr>
        <w:trPr>
          <w:trHeight w:val="319"/>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the extent that net proceeds from this offering are applied to repurchase our 5.150%</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Senior Notes or our 4.400% Senior Notes held by any of the underwriters and/or their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respective affiliates, they will receive proceeds of this offering as a result of such</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repayment. If 5% or more of the net proceeds of this offering (not including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underwriting discounts) are used to repurchase such 5.150% Senior Notes or 4.400%</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Senior Notes held by the underwriters and/or their respective affiliates, this offering will be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conducted in accordance with Rule 5121 of the Financial Industry Regulatory Authority,</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Inc.’s (“FINRA”) Conduct Rules. In such event, the underwriters will not confirm sales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notes to accounts over which they exercise discretionary authority without the prior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written approval of the customer. See “Underwriting (Conflicts of Interest)— Conflicts of</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Interest” in this prospectus supplement.</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5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4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notes will be issued in the form of one or more permanent global notes in fully</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registered form (“global notes”). The global notes will be deposited with, or on behalf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common depositary for Clearstream and Euroclear and issued to and registered in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name of a nominee of the common depositary. Except as described in this prospectus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supplement, the global notes may be transferred, in whole and not in part, only to another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nominee of the ICSDs. Investors may hold their beneficial interests in the global notes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directly through an ICSD if they have an account with an ICSD or indirectly through</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organizations that have accounts with the ICSDs. Except in the limited circumstances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described in this prospectus supplement, certificates will not be issued in exchange for</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beneficial interests in the global notes. See “Description of the Notes—Book-Entry.”</w:t>
            </w:r>
          </w:p>
        </w:tc>
      </w:tr>
      <w:tr>
        <w:trPr>
          <w:trHeight w:val="319"/>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notes will be issued in minimum denominations of €100,000 and integral multiples of</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€1,000 in excess thereof.</w:t>
            </w:r>
          </w:p>
        </w:tc>
      </w:tr>
      <w:tr>
        <w:trPr>
          <w:trHeight w:val="319"/>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Currency of Payments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All payments of principal of, and premium, if any, and interest on, the notes, including any</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payments made upon any redemption or repurchase of the notes, will be made in euro.</w:t>
            </w:r>
          </w:p>
        </w:tc>
      </w:tr>
      <w:tr>
        <w:trPr>
          <w:trHeight w:val="319"/>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If euro is unavailable to us due to the imposition of exchange controls or other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circumstances beyond our control, or if the euro is no longer used by the then member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states of the European Union that have adopted the euro as their currency or for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settlement of transactions by public institutions of or within the international banking</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community, then all payments in respect of the notes will be made in U.S. dollars until euro</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is again available to us or so used. In such circumstances, the amounts payable on any date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 euro will be converted into U.S. dollars at the “market exchange rate” (as defined in this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prospectus supplement) as of the close of business on the second business day prior to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relevant payment date or, if such market exchange rate is not then available, on the basis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then most recent U.S. dollar/euro exchange rate available on or prior to the second</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business day prior to the relevant payment date as determined by us in our sole discretion.</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Any payment in respect of the notes so made in U.S. dollars will not constitute an event of</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default under the indenture governing the notes. See “Description of the Notes—Issuance</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 Euro.”</w:t>
            </w:r>
          </w:p>
        </w:tc>
      </w:tr>
      <w:tr>
        <w:trPr>
          <w:trHeight w:val="338"/>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Transfer Agent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35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U.S. Bank Europe DAC, UK Branch</w:t>
            </w:r>
          </w:p>
        </w:tc>
      </w:tr>
      <w:tr>
        <w:trPr>
          <w:trHeight w:val="33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We intend to apply to list the notes on NASDAQ. The listing application will be subject to</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approval by NASDAQ. If such listing is obtained, we have no obligation to maintain such</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listing for the notes and we may delist the notes, or list the notes on one or more other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national securities exchanges, at any time. We currently expect trading in the notes on</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NASDAQ to begin within 30 days after the original issue date.</w:t>
            </w:r>
          </w:p>
        </w:tc>
      </w:tr>
      <w:tr>
        <w:trPr>
          <w:trHeight w:val="338"/>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Entity Identifier</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GI7UBEJLXYLGR2C7GV83</w:t>
            </w:r>
          </w:p>
        </w:tc>
      </w:tr>
      <w:tr>
        <w:trPr>
          <w:trHeight w:val="186"/>
        </w:trPr>
        <w:tc>
          <w:tcPr>
            <w:tcW w:w="3560" w:type="dxa"/>
            <w:vAlign w:val="bottom"/>
            <w:tcBorders>
              <w:left w:val="single" w:sz="8" w:color="auto"/>
              <w:bottom w:val="single" w:sz="8" w:color="auto"/>
            </w:tcBorders>
          </w:tcPr>
          <w:p>
            <w:pPr>
              <w:spacing w:after="0"/>
              <w:rPr>
                <w:sz w:val="16"/>
                <w:szCs w:val="16"/>
                <w:color w:val="auto"/>
              </w:rPr>
            </w:pPr>
          </w:p>
        </w:tc>
        <w:tc>
          <w:tcPr>
            <w:tcW w:w="7460" w:type="dxa"/>
            <w:vAlign w:val="bottom"/>
            <w:tcBorders>
              <w:bottom w:val="single" w:sz="8" w:color="auto"/>
              <w:right w:val="single" w:sz="8" w:color="auto"/>
            </w:tcBorders>
          </w:tcPr>
          <w:p>
            <w:pPr>
              <w:spacing w:after="0"/>
              <w:rPr>
                <w:sz w:val="16"/>
                <w:szCs w:val="16"/>
                <w:color w:val="auto"/>
              </w:rPr>
            </w:pPr>
          </w:p>
        </w:tc>
      </w:tr>
      <w:tr>
        <w:trPr>
          <w:trHeight w:val="361"/>
        </w:trPr>
        <w:tc>
          <w:tcPr>
            <w:tcW w:w="3560" w:type="dxa"/>
            <w:vAlign w:val="bottom"/>
          </w:tcPr>
          <w:p>
            <w:pPr>
              <w:spacing w:after="0"/>
              <w:rPr>
                <w:sz w:val="24"/>
                <w:szCs w:val="24"/>
                <w:color w:val="auto"/>
              </w:rPr>
            </w:pPr>
          </w:p>
        </w:tc>
        <w:tc>
          <w:tcPr>
            <w:tcW w:w="7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27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998970" cy="4727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Fiserv Consolidated Financial Information</w:t>
      </w:r>
    </w:p>
    <w:p>
      <w:pPr>
        <w:spacing w:after="0" w:line="22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summary consolidated financial information below was derived from our consolidated financial statements. The information set forth below is qualified in its entirety by, and should be read in conjunction with, our “Management’s Discussion and Analysis of Financial Condition and Results of Operations” and our consolidated financial statements and related notes incorporated by reference into this prospectus supplement and the accompanying prospectus. The summary consolidated financial information presented below has been affected by acquisitions, dispositions and foreign currency fluctuations. See the section entitled “Where You Can Find More Information” in this prospectus supplement and the accompanying prospectus.</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234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5"/>
                <w:szCs w:val="15"/>
                <w:color w:val="auto"/>
              </w:rPr>
            </w:pPr>
          </w:p>
        </w:tc>
        <w:tc>
          <w:tcPr>
            <w:tcW w:w="23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tcPr>
          <w:p>
            <w:pPr>
              <w:spacing w:after="0"/>
              <w:rPr>
                <w:sz w:val="12"/>
                <w:szCs w:val="12"/>
                <w:color w:val="auto"/>
              </w:rPr>
            </w:pPr>
          </w:p>
        </w:tc>
        <w:tc>
          <w:tcPr>
            <w:tcW w:w="6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Statement Data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$5,027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$19,093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571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200" w:hanging="422"/>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period financial information for the three months ended March 31, 2026 and 2025, in our opinion, includes all adjustments, which are normal and recurring in nature, necessary for a fair presentation for the periods shown. Results for the three months ended March 31, 2026 are not necessarily indicative of results to be expected for the full fiscal year.</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17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left="428"/>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Balance Sheet Data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829</w:t>
            </w:r>
          </w:p>
        </w:tc>
        <w:tc>
          <w:tcPr>
            <w:tcW w:w="11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   798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80,548</w:t>
            </w:r>
          </w:p>
        </w:tc>
        <w:tc>
          <w:tcPr>
            <w:tcW w:w="11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80,133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77,176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29,182</w:t>
            </w:r>
          </w:p>
        </w:tc>
        <w:tc>
          <w:tcPr>
            <w:tcW w:w="11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28,997</w:t>
            </w:r>
          </w:p>
        </w:tc>
        <w:tc>
          <w:tcPr>
            <w:tcW w:w="3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24,840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Fiserv, Inc. shareholder’s equity</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26,201</w:t>
            </w:r>
          </w:p>
        </w:tc>
        <w:tc>
          <w:tcPr>
            <w:tcW w:w="11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25,792</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27,068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20" w:right="300" w:hanging="422"/>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period financial information as of March 31, 2026, in our opinion, includes all adjustments, which are normal and recurring in nature, necessary for a fair presentation for the period shown. Amounts as of March 31, 2026 are not necessarily indicative of amounts to be expected at the end of the fiscal year.</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notes involves risks. Before you invest in the notes, you should carefully consider the factors set forth below and the information included elsewhere in this prospectus supplement, the accompanying prospectus and the risk factors discussed in our most recent Annual Report on Form 10-K and the other documents we file with the SEC that are incorporated by reference herein and therein. See “Where You Can Find More Information” in this prospectus supplement and the accompanying prospectus. We also urge you to consider carefully the factors set forth under the heading “Forward-Looking Statements” in this prospectus supplement.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Fiserv’s Business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“Risk Factors” in our Annual Report on Form 10-K for the year ended December 31, 2025, for a discussion of certain risks related to Fiserv’s business. See “Where You Can Find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and other factors could adversely impact our ability to make payments on the notes.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with respect to our indebtedness, including the notes, will depend on our financial and operating performance, which, in turn, are subject to prevailing economic conditions and to financial, business and other factors beyond our control. Please read this prospectus supplement and the accompanying prospectus and the documents incorporated by reference into this prospectus supplement and the accompanying prospectus, including the portions of our most recent Annual Report on Form 10-K entitled “Risk Factors” for a discussion of some of the factors that could affect our financial and operating performance.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rates could result in a decrease in the value of the notes.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general, as market interest rates rise, notes bearing interest at a fixed rate generally decline in value. Consequently, if you purchase the notes and market interest rates increase, the market value of your notes may decline. The rates for benchmark securities for U.S. dollar and euro denominated securities have risen significantly in recent years. These increases have caused prices for outstanding debt securities issued when benchmark rates were lower to decline. We cannot predict the future level of market interest rates or the impact of such interest rates on the market prices of the notes.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no public trading market for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prices or the prices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 will be subject to approval by NASDAQ. If such listing is obtained, we have no obligation to maintain such listing for the notes and we may delist the notes, or list the notes on one or more other national securities exchanges, at any time. If an active market for the notes fails to develop or be sustained, the trading prices and liquidity of the notes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volatility in the debt markets could adversely affect the market value of the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value for the notes depends on many factors, including: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or the market price for the notes issued by, other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Disruptions in the financial markets and changes in prevailing interest rates, such as the volatility that has characterized recent market conditions, could have an adverse effect on the market value of the notes. In addition, as a result of such volatility, certain of our existing debt securities have recently traded at levels below par.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repurchase all of the notes upon a change of control triggering event, which would result in a default under the notes.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under the indenture governing the notes, we will be required to offer to repurchase the notes at a price of 101% of the aggregate principal amount of the notes outstanding on the date of such change of control triggering event plus accrued and unpaid interest. However, we may not have sufficient funds to repurchase the notes. In addition, our ability to repurchase the notes may be limited by law or the terms of other agreements relating to our indebtedness. The failure to make such repurchase would result in a default under the notes. For more information, see “Description of the Notes—Purchase of Notes upon a Change of Control Triggering Event.”</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governing the notes and the terms of the notes do not provide protection against some types of important corporate events and may not protect your investment.</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does not:</w:t>
      </w:r>
    </w:p>
    <w:p>
      <w:pPr>
        <w:spacing w:after="0" w:line="131" w:lineRule="exact"/>
        <w:rPr>
          <w:sz w:val="20"/>
          <w:szCs w:val="20"/>
          <w:color w:val="auto"/>
        </w:rPr>
      </w:pPr>
    </w:p>
    <w:p>
      <w:pPr>
        <w:ind w:left="1080" w:right="2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in right of payment to the notes;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our securities; or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or our subsidiaries’ ability to make investments or to repurchase or pay dividends or make other payments in respect of our common stock or other securities ranking junior to the notes.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the indenture governing the notes contains only limited protections in the event of a change in control. We and our subsidiaries could engage in many types of transactions, such as certain acquisitions, refinancings or recapitalizations that would not constitute a change of control triggering event that would enable you to require us to repurchase the notes as described under “Description of the Notes—Purchase of Notes upon a Change of Control Triggering Event,” but which could nevertheless substantially affect our capital structure and the value of the notes. The indenture also permits us and our subsidiaries to incur additional indebtedness, including secured indebtedness, that could effectively rank senior to the notes, subject to certain limits, and to engage in sale-leaseback arrangements. For these reasons, the terms of the indenture governing the notes will provide only limited protection against significant corporate events that could adversely impact your investment in the notes.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operations are conducted through our subsidiaries, and if they do not make sufficient distributions to us, we will not be able to make payments on our debt, including the notes.</w:t>
      </w:r>
    </w:p>
    <w:p>
      <w:pPr>
        <w:spacing w:after="0" w:line="5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subsidiaries. Therefore, our ability to meet our obligations for payment of interest and principal on outstanding debt obligations and to pay corporate expenses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depends upon the earnings and cash flows of our subsidiaries and the ability of our subsidiaries to pay dividends or to advance or repay funds to us. Our subsidiaries are separate and distinct legal entities and have no obligation, contingent or otherwise, to pay any amounts due pursuant to the notes or to make any funds available, whether by dividends, loans, distributions or other payments, and do not guarantee the payment of interest on, or principal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Neither we nor any of our subsidiaries has any property that has been determined to be a principal property under the indenture.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will include a covenant that will, among other things, limit our and certain of our subsidiaries’ ability to create or assume, except in our favor or in favor of one or more of our wholly owned subsidiaries, any mortgage, pledge, lien or encumbrance on any of our or any such subsidiaries’ principal properties or certain other limited assets. However, as of the date of this prospectus supplement, neither we nor any of our subsidiaries has any property that constitutes a principal property under the indenture.</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all of our existing and future secured debt and structurally subordinated to the existing and future debt of our subsidiaries.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constitute our senior unsecured debt and rank equally in right of payment with all of our other existing and future senior debt, except as described below. The notes will be effectively subordinated to all our existing and future secured debt to the extent of the value of the collateral securing such debt. The notes are not secured by any of our assets. Claims of secured lenders with respect to assets securing their loans will be prior to any claim of the holders of the notes with respect to those assets. As of March 31, 2026, Fiserv, Inc. had outstanding approximately $23.6 billion of unsecured senior indebtedness, approximately $718 million of secured indebtedness (consisting primarily of financing leases outstanding) and approximately $60 million of financed software.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notes will be structurally subordinated in right of payment to all existing and future debt and other liabilities (including trade accounts payable) and preferred equity of our subsidiaries. Our right to receive any assets of any of our subsidiaries upon their bankruptcy, liquidation or reorganization, and therefore the right of the holders of the notes to participate in those assets, will be effectively subordinated to the claims of that subsidiary’s creditors, including trade creditors. As of March 31, 2026, Fiserv, Inc.’s subsidiaries had approximately $4.8 billion of indebtedness to third parties and had issued no preferred equity.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credit ratings assigned to the notes may not reflect all risks of an investment in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expect that the notes will be rated by at least two nationally recognized statistical rating organizations. These 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agencies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and increase our corporate borrowing costs.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notes of any series prior to maturity.</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redeem the notes of any series, in whole or in part, at any time. See “Description of the Notes— Optional Redemption.” We may also redeem the notes of any series, in whole but not in part, if certain tax events occur. See “Description of the Notes—Optional Tax Redemption.” Although, in certain circumstances,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contain provisions designed to compensate you for the lost value of your notes if we redeem some or all of the notes prior to maturity, they are only an approximation of this lost value and may not adequately compensate you. Furthermore, depending on prevailing interest rates at the time of any such redemption, you may not be able to reinvest the redemption proceeds in a comparable security at an interest rate as high as the interest rate of the notes being redeemed or at an interest rate that would otherwise compensate you for any lost value as a result of any redemption of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the notes by a holder whose home currency is not the euro entails significant risks.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All payments of principal, premium, if any, and interest in respect of the notes, including in connection with redemptions and repurchases, will be paid in euro, subject to certain limited exceptions. We, the underwriters, the trustee and the paying agent with respect to the notes will not be obligated to convert, or to assist any beneficial owner of the notes in converting, payments of principal, premium, if any, and interest made in euro with respect to the notes into U.S. dollars or any other currency. An investment in the notes by a beneficial owner whose home currency is not the euro entails significant risks. These risks include the possibility of significant changes in rates of exchange between the beneficial owner’s home currency and the euro, the possibility of the imposition or subsequent modification of foreign exchange controls and tax consequences as a result of any foreign exchange gains due to an investment in the notes. These risks generally depend on factors over which we have no control, such as economic, financial and political events and the supply of and demand for the relevant currencies. In the past, rates of exchange between the euro and other currencies have been highly volatile, and each beneficial owner should be aware that volatility may occur in the future. Fluctuations in any particular rate of exchange that have occurred in the past, however, are not necessarily indicative of fluctuations in the rate that may occur during the term of the notes. Depreciation of the euro against the beneficial owner’s home currency would result in a decrease in the effective yield of the notes below the coupon rate and, in certain circumstances, could result in a loss to the beneficial owner. If you are a beneficial owner of notes subject to U.S. federal income tax, see “Certain U.S. Federal Income Tax Considerations” for certain U.S. federal income tax consequences related to the notes being denominated in euro.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permit us to make payments in U.S. dollars if we are unable to obtain euro.</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euro is unavailable to us due to the imposition of exchange controls or other circumstances beyond our control, or if euro is no longer used by the member states of the European Union that have adopted the euro as their currency or for the settlement of transactions by public institutions of or within the international banking community, then all payments in respect of the notes will be made in U.S. dollars until euro is again available to us or so used.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amount payable on any date in euro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 Neither the trustee nor the paying agent will be responsible for obtaining exchange rates, effecting currency conversions or otherwise handling redenominations.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term “market exchange rate” means the noon buying rate in The City of New York for cable transfers of euro as certified for customs purposes (or, if not so certified, as otherwise determined) by the Federal Reserve Bank of New York.</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See “Description of the Notes—Issuance in Euro.” Any payment in respect of the notes so made in U.S. dollars will not constitute an event of default under the indenture governing the notes. If your home currency is not U.S. dollars, any such payment will expose you to the significant risks described above under “—An investment in the notes by a beneficial owner whose home currency is not the euro entails significant risks.”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a lawsuit for payment on the notes, the beneficial owners of the notes may bear currency exchange risk.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The judgment entered on that award however, will be denominated in U.S. dollars, and converted at the exchange rate prevailing on the date of entry of the judgment. Consequently, in a lawsuit for payment on the notes, the beneficial owners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notes will be held by or on behalf of Euroclear and Clearstream and, therefore, beneficial owners of the notes will have to rely on their procedures for payments, transfers and communication with us.</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represented by the global notes, which will be held by a common depositary for Euroclear and Clearstream. Except in certain limited circumstances as described in “Description of the Notes—Book-Entry,” beneficial owners of the notes will not be entitled to receive definitive notes in exchange for interests in the global notes. While the notes are represented by the global notes, beneficial owners of the notes will be able to trade their beneficial interests only through Euroclear and Clearstream.</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will discharge our payment obligations under the notes by making payments to or to the order of the common depositary for Euroclear and Clearstream for distribution to their accountholders. The owner of a beneficial interest in a global note must rely on the procedures of Euroclear and Clearstream to receive payments under the notes. We have no responsibility or liability for the records relating to, or payments made in respect of, beneficial interests in the global notes.</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Owners of beneficial interests in the global notes will not have a direct right to vote in respect of the notes. Instead, such owners will be permitted to act directly only to the extent that they are enabled in accordance with the procedures of Euroclear and Clearstream to appoint appropriate proxies.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Trading in the clearing systems is subject to minimum denomination requirements.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ISSUANCE IN EURO</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on the notes, including any payments made upon any redemption or repurchase of the notes, will be payable in euro. If euro is unavailable to us due to the imposition of exchange controls or other circumstances beyond our control, or if the euro is no longer used by the member states of the European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amount payable on any date in euro will be converted into U.S. dollars at the market exchange rate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 Neither the trustee nor the paying agent will be responsible for obtaining exchange rates, effecting currency conversions or otherwise handling redenominations.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See “Description of the Notes—Issuance in Euro.” Any payment in respect of the notes so made in U.S. dollars will not constitute an event of default under the indenture governing the notes.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of principal of, and premium, if any, and interest on, the notes that may have important economic and tax consequences to them. See the “Risk Factors” section of this prospectus supplement You should consult your own financial and legal advisors as to the risks involved in an investment in the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 2026, the euro/USD exchange rate was €1.00 /U.S. $            , as reported by Bloomberg L.P.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 after deducting the underwriting discounts and estimated offering expenses payable by us. We intend to use the net proceeds from this offering, together with proceeds from the sale of commercial paper and cash from operations, to purchase any and all of our $750.0 million aggregate principal amount of 5.150% Senior Notes and any and all of our $2.0 billion aggregate principal amount of 4.400% Senior Notes, including any premium and accrued and unpaid interest on the tendered notes, pursuant to the tender offer described above under “Summary—Recent Developments.”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offering and sale of each series of notes is not conditioned on the sale of any other series of notes.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net proceeds from this offering are applied to repurchase our 5.150% Senior Notes or our 4.400% Senior Notes held by any of the underwriters and/or their respective affiliates, they will receive proceeds of this offering through such repurchase. If 5% or more of the net proceeds of this offering (not including the underwriting discounts) are used to repurchase our 5.150% Senior Notes or our 4.400% Senior Notes held by the underwriters and/or their respective affiliates, this offering will be conducted in accordance with Rule 5121 of the FINRA Conduct Rules. In such event, the underwriters will not confirm sales of the notes to accounts over which they exercise discretionary authority without the prior written approval of the customer. See “Underwriting (Conflicts of Interest)—Conflicts of Interest” in this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2026:</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this offering (but not the application of the proceeds therefrom).</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You should read the table together with our consolidated financial statements and the notes thereto and “Management’s Discussion and Analysis of Financial Condition and Results of Operations” in our Annual Report on Form 10-K for the year ended December 31, 2025 and our Quarterly Report on Form 10-Q for the quarter ended March 31, 2026, each incorporated by reference into this prospectus supplement and the accompanying prospectus.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80" w:type="dxa"/>
            <w:vAlign w:val="bottom"/>
          </w:tcPr>
          <w:p>
            <w:pPr>
              <w:spacing w:after="0"/>
              <w:rPr>
                <w:sz w:val="15"/>
                <w:szCs w:val="15"/>
                <w:color w:val="auto"/>
              </w:rPr>
            </w:pP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 Adjusted </w:t>
            </w:r>
            <w:r>
              <w:rPr>
                <w:rFonts w:ascii="Times New Roman" w:cs="Times New Roman" w:eastAsia="Times New Roman" w:hAnsi="Times New Roman"/>
                <w:sz w:val="10"/>
                <w:szCs w:val="10"/>
                <w:b w:val="1"/>
                <w:bCs w:val="1"/>
                <w:color w:val="auto"/>
              </w:rPr>
              <w:t>(1)</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1,323</w:t>
            </w: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3.200% senior notes due 2026</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2,000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5.150% senior notes due 2027</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2.250% senior notes due 2027</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1.125% senior notes due 2027</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5.450% senior notes due 2028</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2.875% senior notes due 2028</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5.375% senior notes due 2028</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3.500% senior notes due 2029</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3,000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2.650% senior notes due 2030</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 senior notes due 2030</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4.550% senior notes due 2031</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5.350% senior notes due 2031</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4.500% senior notes due 2031</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919</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 senior notes due 2031</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3.500% senior notes due 2032</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5.600% senior notes due 2033</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5.625% senior notes due 2033</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3"/>
              </w:rPr>
              <w:t>1,300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5.450% senior notes due 2034</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5.150% senior notes due 2034</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5.250% senior notes due 2035</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4.000% senior notes due 2036</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4.400% senior notes due 2049</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3"/>
              </w:rPr>
              <w:t>2,000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Notes offered hereby:</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 senior notes due 20</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senior notes due 20</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discounts and deferred financing costs</w:t>
            </w: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346"/>
        </w:trPr>
        <w:tc>
          <w:tcPr>
            <w:tcW w:w="4880" w:type="dxa"/>
            <w:vAlign w:val="bottom"/>
          </w:tcPr>
          <w:p>
            <w:pPr>
              <w:spacing w:after="0"/>
              <w:rPr>
                <w:sz w:val="24"/>
                <w:szCs w:val="24"/>
                <w:color w:val="auto"/>
              </w:rPr>
            </w:pPr>
          </w:p>
        </w:tc>
        <w:tc>
          <w:tcPr>
            <w:tcW w:w="4180" w:type="dxa"/>
            <w:vAlign w:val="bottom"/>
            <w:gridSpan w:val="2"/>
          </w:tcPr>
          <w:p>
            <w:pPr>
              <w:jc w:val="right"/>
              <w:ind w:right="3302"/>
              <w:spacing w:after="0"/>
              <w:rPr>
                <w:sz w:val="20"/>
                <w:szCs w:val="20"/>
                <w:color w:val="auto"/>
              </w:rPr>
            </w:pPr>
            <w:r>
              <w:rPr>
                <w:rFonts w:ascii="Times New Roman" w:cs="Times New Roman" w:eastAsia="Times New Roman" w:hAnsi="Times New Roman"/>
                <w:sz w:val="18"/>
                <w:szCs w:val="18"/>
                <w:color w:val="auto"/>
              </w:rPr>
              <w:t>S-15</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Borders>
              <w:bottom w:val="single" w:sz="8" w:color="CCEEFF"/>
            </w:tcBorders>
            <w:gridSpan w:val="2"/>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As Adjusted </w:t>
            </w:r>
            <w:r>
              <w:rPr>
                <w:rFonts w:ascii="Times New Roman" w:cs="Times New Roman" w:eastAsia="Times New Roman" w:hAnsi="Times New Roman"/>
                <w:sz w:val="10"/>
                <w:szCs w:val="10"/>
                <w:b w:val="1"/>
                <w:bCs w:val="1"/>
                <w:color w:val="auto"/>
                <w:w w:val="99"/>
              </w:rPr>
              <w:t>(1)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accounting adjustments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27,859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29,182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Fiserv, Inc. shareholders’ equity</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26,201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26,201</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55,383</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60" w:hanging="424"/>
        <w:spacing w:after="0" w:line="25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the net proceeds from this offering, together with proceeds from the sale of commercial paper and cash from operations, to purchase any and all of our $750.0 million aggregate principal amount of 5.150% Senior Notes and any and all of our $2.0 billion aggregate principal amount of 4.400% Senior Notes, including any premium and accrued and unpaid interest on the tendered notes, pursuant to the tender offer described above under “Summary—Recent Developments.” The As Adjusted column does not give effect to the consummation of the tender offers or the payment of premiums or fees and expenses that we expect to incur in connection with consummation of the tender offer and this offering. This offering is not conditioned upon consummation of the tender offer.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590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12"/>
        </w:trPr>
        <w:tc>
          <w:tcPr>
            <w:tcW w:w="726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w w:val="99"/>
              </w:rPr>
              <w:t>The following description of certain material terms of the             % Senior Notes due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(the “20            notes”) and the</w:t>
            </w:r>
          </w:p>
        </w:tc>
      </w:tr>
      <w:tr>
        <w:trPr>
          <w:trHeight w:val="236"/>
        </w:trPr>
        <w:tc>
          <w:tcPr>
            <w:tcW w:w="726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            % Senior Notes due 20            (the “20            notes” and, together with the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notes, the “notes”) offered hereby does not</w:t>
            </w:r>
          </w:p>
        </w:tc>
      </w:tr>
    </w:tbl>
    <w:p>
      <w:pPr>
        <w:ind w:left="120" w:right="18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purport to be complete. This description supplements and, to the extent inconsistent therewith, replaces the description of the general terms and provisions of the debt securities contained in “Description of Debt Securities and Guarantees of Debt Securities” in the accompanying prospectus. To the extent this summary differs from the summary in the accompanying prospectus, you should rely on the description of the notes in this prospectus supplement.</w:t>
      </w:r>
    </w:p>
    <w:p>
      <w:pPr>
        <w:spacing w:after="0" w:line="29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notes will be issued under and governed by an indenture, dated as of November 20, 2007 (the “base indenture”), as supplemented by supplemental indentures to be entered into between us, as issuer, and U.S. Bank Trust Company, National Association, (as successor in interest to U.S. Bank National Association) (“U.S. Bank”), as trustee (the “trustee”) (together with the base indenture, the “indenture”). Although for convenience the 20        notes and the 20        notes are referred to as “notes,” each will be issued as a separate series. Accordingly, for purposes of this Description of the Notes, references to the “notes” shall be deemed to refer to each series of notes separately and not to the 20        notes and the 20        notes on any combined basis. As used in the following description, the terms “Fiserv,” “we,” “us” and “our” refer to Fiserv, Inc. and not any of its subsidiaries, unless the context requires otherwise.</w:t>
      </w:r>
    </w:p>
    <w:p>
      <w:pPr>
        <w:spacing w:after="0" w:line="29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We urge you to read the indenture (including definitions of terms used therein) because it, and not this description, defines your rights as a beneficial owner of the notes. This description is subject to, and qualified in its entirety by reference to, the actual provisions of the notes and the indenture. For information about how to obtain copies of the indenture from us, see “Where You Can Find More Information” in the accompanying prospectus and this prospectus supplement.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the two separate series of notes offered hereby will initially be limited to €        . The 20        notes will be initially limited to €        aggregate principal amount. The 20 notes will be initially limited to $        aggregate principal amount. We</w:t>
      </w:r>
    </w:p>
    <w:p>
      <w:pPr>
        <w:ind w:left="120"/>
        <w:spacing w:after="0" w:line="271" w:lineRule="auto"/>
        <w:rPr>
          <w:sz w:val="20"/>
          <w:szCs w:val="20"/>
          <w:color w:val="auto"/>
        </w:rPr>
      </w:pPr>
      <w:r>
        <w:rPr>
          <w:rFonts w:ascii="Times New Roman" w:cs="Times New Roman" w:eastAsia="Times New Roman" w:hAnsi="Times New Roman"/>
          <w:sz w:val="17"/>
          <w:szCs w:val="17"/>
          <w:color w:val="auto"/>
        </w:rPr>
        <w:t xml:space="preserve">may, without the consent of the holders, increase the principal amount of each series in the future, on the same terms and conditions (except for the issue date, public offering price and, if applicable, the payment of interest accruing prior to the issue date and the initial interest payment date) and with the same CUSIP and other identifying numbers as the notes being offered hereby;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additional notes with the same CUSIP and other identifying numbers will be fungible with the previously issued notes of the relevant series for U.S. federal income tax purposes. All notes offered hereby will be issued only in fully registered form without coupons in minimum denominations of €100,000 and any integral multiple of €1,000 in excess thereof.</w:t>
      </w:r>
    </w:p>
    <w:p>
      <w:pPr>
        <w:spacing w:after="0" w:line="174"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The notes will be our senior unsecured obligations and will rank equally with all of our other senior unsecured indebtedness from time to time outstanding. Our obligations arising under the notes will not be guaranteed by any of our subsidiaries. The notes will effectively rank junior to any secured indebtedness we currently have outstanding or may incur in the future to the extent of the collateral securing the same and will be structurally subordinated in right of payment to the liabilities (including trade accounts payable) and preferred equity of our subsidiaries. As of March 31, 2026, Fiserv, Inc. had outstanding approximately $23.6 billion of unsecured senior indebtedness, approximately $718 million of secured indebtedness (consisting primarily of financing leases outstanding) and approximately $60 million of financed software, and its subsidiaries had approximately $4.8 billion of indebtedness to third parties, and had issued no preferred equity. See “Risk Factors—Risks Related to the Notes— The notes will be effectively subordinated to all of our existing and future secured debt and structurally subordinated to the existing and future debt of our subsidiaries.”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46"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contain any covenants or provisions that would afford the holders of the notes protection in the event of a highly leveraged or other transaction that is not in the best interests of noteholders, except to the limited extent described below under “—Purchase of Notes upon a Change of Control Triggering Event” and “—Covenants.”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20        notes will mature on         , 20        and the 20        notes will mature on         , 20        , unless, in each case, we redeem or purchase the notes prior to that date, as described below under “—Optional Redemption,” “—Optional Tax Redemption” and “— Purchase of Notes upon a Change of Control Triggering Event.” Interest on the 20        notes will accrue at the rate of         % per year and interest on the 20        notes will accrue at the rate of         % per year, and in each case will be paid on the basis of the actual number of days in the period for which interest is being calculated and the actual number of days from and including the last scheduled interest payment date to which interest was paid on the notes (or from         , 2026, if no interest has been paid on such notes) to, but excluding, the next scheduled interest payment date. This payment convention is referred to as the ACTUAL/ACTUAL (ICMA) (as defined in the rulebook of the International Capital Markets Association) day count convention.</w:t>
      </w:r>
    </w:p>
    <w:p>
      <w:pPr>
        <w:spacing w:after="0" w:line="192" w:lineRule="exact"/>
        <w:rPr>
          <w:sz w:val="20"/>
          <w:szCs w:val="20"/>
          <w:color w:val="auto"/>
        </w:rPr>
      </w:pPr>
    </w:p>
    <w:p>
      <w:pPr>
        <w:ind w:left="560"/>
        <w:spacing w:after="0"/>
        <w:tabs>
          <w:tab w:leader="none" w:pos="5300" w:val="left"/>
          <w:tab w:leader="none" w:pos="9980" w:val="left"/>
        </w:tabs>
        <w:rPr>
          <w:sz w:val="20"/>
          <w:szCs w:val="20"/>
          <w:color w:val="auto"/>
        </w:rPr>
      </w:pPr>
      <w:r>
        <w:rPr>
          <w:rFonts w:ascii="Times New Roman" w:cs="Times New Roman" w:eastAsia="Times New Roman" w:hAnsi="Times New Roman"/>
          <w:sz w:val="18"/>
          <w:szCs w:val="18"/>
          <w:color w:val="auto"/>
        </w:rPr>
        <w:t xml:space="preserve">We will pay interest on the notes annually in arrears on           </w:t>
        <w:tab/>
        <w:t xml:space="preserve">of each year, beginning on             , 2026, for the 20          </w:t>
      </w:r>
      <w:r>
        <w:rPr>
          <w:sz w:val="20"/>
          <w:szCs w:val="20"/>
          <w:color w:val="auto"/>
        </w:rPr>
        <w:tab/>
      </w:r>
      <w:r>
        <w:rPr>
          <w:rFonts w:ascii="Times New Roman" w:cs="Times New Roman" w:eastAsia="Times New Roman" w:hAnsi="Times New Roman"/>
          <w:sz w:val="17"/>
          <w:szCs w:val="17"/>
          <w:color w:val="auto"/>
        </w:rPr>
        <w:t>notes and</w:t>
      </w:r>
    </w:p>
    <w:p>
      <w:pPr>
        <w:spacing w:after="0" w:line="27" w:lineRule="exact"/>
        <w:rPr>
          <w:sz w:val="20"/>
          <w:szCs w:val="20"/>
          <w:color w:val="auto"/>
        </w:rPr>
      </w:pPr>
    </w:p>
    <w:p>
      <w:pPr>
        <w:ind w:left="120"/>
        <w:spacing w:after="0"/>
        <w:tabs>
          <w:tab w:leader="none" w:pos="860" w:val="left"/>
          <w:tab w:leader="none" w:pos="5540" w:val="left"/>
        </w:tabs>
        <w:rPr>
          <w:sz w:val="20"/>
          <w:szCs w:val="20"/>
          <w:color w:val="auto"/>
        </w:rPr>
      </w:pPr>
      <w:r>
        <w:rPr>
          <w:rFonts w:ascii="Times New Roman" w:cs="Times New Roman" w:eastAsia="Times New Roman" w:hAnsi="Times New Roman"/>
          <w:sz w:val="18"/>
          <w:szCs w:val="18"/>
          <w:color w:val="auto"/>
        </w:rPr>
        <w:t xml:space="preserve">          </w:t>
        <w:tab/>
        <w:t xml:space="preserve">of each year, beginning on             , 2027, for the 20          </w:t>
      </w:r>
      <w:r>
        <w:rPr>
          <w:sz w:val="20"/>
          <w:szCs w:val="20"/>
          <w:color w:val="auto"/>
        </w:rPr>
        <w:tab/>
      </w:r>
      <w:r>
        <w:rPr>
          <w:rFonts w:ascii="Times New Roman" w:cs="Times New Roman" w:eastAsia="Times New Roman" w:hAnsi="Times New Roman"/>
          <w:sz w:val="17"/>
          <w:szCs w:val="17"/>
          <w:color w:val="auto"/>
        </w:rPr>
        <w:t>notes, to the holder in whose name each such note is registered on the day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is 15 days prior to the relevant interest payment date, whether or not such day is a business day.</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Amounts due on each interest payment date, the stated maturity date or any earlier redemption or repurchase date of the notes will be payable at the office or agency maintained for such purpose in London, initially the corporate trust office of the paying agent, or by electronic means, in euro. The principal and interest payable on the global notes (as defined below) registered in the name of a nominee of the common depositary will be made in immediately available funds to the ICSDs or to the nominee of the common depositary, as the case may be, as the registered holder of such notes. If any of the notes are no longer represented by global notes, payment of interest on the notes in certified form may, at our option, be made by check mailed directly to holders at their registered addresses.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trustee will impose any service charge for any transfer or exchange of a note. However, we may ask you to pay any taxes or other governmental charges in connection with a transfer or exchange of notes.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interest payment date, the stated maturity date or any earlier redemption or purchase date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obligated by law, regulation or executive order to close and (ii) on which the T2 System or any successor or replacement thereto is open.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Euro</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Initial holders of the notes will be required to pay for the notes in euro, and principal, premium, if any, and interest payments in respect of the notes will be payable in euro, including any payments made upon the redemption or repurchase of the notes. If, on or after the date of this prospectus supplement, euro is unavailable to us due to the imposition of exchange controls or other circumstances beyond our control, or if the euro is no longer used by the member states of the European Union that have adopted the euro as their currency or for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settlement of transactions by public institutions of or within the international banking community, then all payments in respect of the notes will be made in U.S. dollars until the euro is again available to us or so used.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amount payable on any date in euro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available on or prior to the second business day prior to the relevant payment date as determined by us in our sole discretion.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term “market exchange rate” means the noon buying rate in The City of New York for cable transfers of euro, as certified for customs purposes (or, if not so certified, as otherwise determined) by the Federal Reserve Bank of New York.</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Any payment in respect of the notes so made in U.S. dollars will not constitute an event of default under the indenture or the notes. Neither the trustee nor the paying agent will be responsible for obtaining exchange rates, effecting currency conversions or otherwise handling redenominations. Holders of the notes will be subject to foreign exchange risks as to payments of principal and interest that may have important economic and tax consequences to them. See the “Risk Factors” section of this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constitute new issues of securities for which there are no established trading markets. We intend to apply to list the notes on NASDAQ. The listing application will be subject to approval by NASDAQ. If such listing is obtained, we have no obligation to maintain such listing for the notes, and we may delist the notes, or list the notes on one or more other national securities exchanges, at any time. We currently expect trading in the notes on NASDAQ to begin within 30 days after the original issue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Prior to (i) with respect to the 20        notes,         , 20        (        months prior to the maturity date of such notes) and (ii) with respect to the 20        notes,         , 20        (        months prior to the maturity date of such notes) (each such date, a “</w:t>
      </w:r>
      <w:r>
        <w:rPr>
          <w:rFonts w:ascii="Times New Roman" w:cs="Times New Roman" w:eastAsia="Times New Roman" w:hAnsi="Times New Roman"/>
          <w:sz w:val="18"/>
          <w:szCs w:val="18"/>
          <w:i w:val="1"/>
          <w:iCs w:val="1"/>
          <w:color w:val="auto"/>
        </w:rPr>
        <w:t>Par Call</w:t>
      </w:r>
    </w:p>
    <w:p>
      <w:pPr>
        <w:ind w:left="120" w:right="660"/>
        <w:spacing w:after="0" w:line="260" w:lineRule="auto"/>
        <w:rPr>
          <w:sz w:val="20"/>
          <w:szCs w:val="20"/>
          <w:color w:val="auto"/>
        </w:rPr>
      </w:pP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we may redeem the applicable series of notes at our option, in whole or in part, at any time and from time to time, at a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(expressed as a percentage of principal amount and rounded to three decimal places) equal to the greater of:</w:t>
      </w:r>
    </w:p>
    <w:p>
      <w:pPr>
        <w:spacing w:after="0" w:line="87"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to be redeemed discounted to</w:t>
      </w:r>
    </w:p>
    <w:p>
      <w:pPr>
        <w:spacing w:after="0" w:line="27" w:lineRule="exact"/>
        <w:rPr>
          <w:sz w:val="20"/>
          <w:szCs w:val="20"/>
          <w:color w:val="auto"/>
        </w:rPr>
      </w:pPr>
    </w:p>
    <w:p>
      <w:pPr>
        <w:jc w:val="both"/>
        <w:ind w:left="1080" w:right="120"/>
        <w:spacing w:after="0" w:line="250" w:lineRule="auto"/>
        <w:rPr>
          <w:sz w:val="20"/>
          <w:szCs w:val="20"/>
          <w:color w:val="auto"/>
        </w:rPr>
      </w:pPr>
      <w:r>
        <w:rPr>
          <w:rFonts w:ascii="Times New Roman" w:cs="Times New Roman" w:eastAsia="Times New Roman" w:hAnsi="Times New Roman"/>
          <w:sz w:val="18"/>
          <w:szCs w:val="18"/>
          <w:color w:val="auto"/>
        </w:rPr>
        <w:t>the redemption date (assuming, in the case of the 20        notes and the 20        notes, that such notes matured on their applicable Par Call Date), on an annual (ACTUAL/ACTUAL (ICMA)) basis rate equal to the comparable government bond rate (as defined below), plus         basis points in the case of the 20        notes and         basis points in the case of the 20        notes, less</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 interest accrued to the date of redemption; and</w:t>
      </w:r>
    </w:p>
    <w:p>
      <w:pPr>
        <w:spacing w:after="0" w:line="112"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on the applicable notes to, but excluding, the redemption date.</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for the 20        notes and the 20        notes, we may redeem the notes of either series in whole or in part, at any time and from time to time, at a redemption price equal to 100% of the principal amount of the notes being redeemed plus accrued and unpaid interest thereon to the redemption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the optional redemption provisions, the following definitions are applicable:</w:t>
      </w:r>
    </w:p>
    <w:p>
      <w:pPr>
        <w:spacing w:after="0" w:line="117"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term “comparable government bond” means, in relation to any comparable government bond rate calculation, at the discretion of an independent investment banker selected by us, a German government bond whose maturity is closest to the maturity of the notes to be redeemed (assuming for this purpose that the notes matured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term “comparable government bond rate”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of the comparable government bond on such business day on the basis of the middle market price of such comparable government bond prevailing at 11:00 a.m. (London time) on such business day as determined by an independent investment banker selected by us.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“independent investment banker” means each of Citigroup Global Markets Limited, J.P. Morgan Securities plc, TD Global Finance unlimited company and Wells Fargo Securities International Limited (or their respective successors), or if each such firm is unwilling or unable to select the comparable government bond, an independent investment banking institution of international standing appointed by us.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and paying agent shall have no duty to verify such determinations.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applicable procedures of Euroclear or Clearstream) at least 10 days but not more than 60 days before the redemption date to holders of the notes to be redeemed (with a copy to the trustee), except that notice may be given more than 60 days prior to the date fixed for redemption if the notice is issued in connection with a defeasance, covenant defeasance or satisfaction and discharge. The notice of redemption will specify, among other items, the aggregate principal amount of the notes of the applicable series to be redeemed, the redemption date and the redemption price or the manner of calculating the redemption price (in which case no redemption price need be specified).</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Any 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relevant redemption date.</w:t>
      </w:r>
    </w:p>
    <w:p>
      <w:pPr>
        <w:spacing w:after="0" w:line="183"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notice of redemption may provide that payment of the redemption price and the performance of our obligations with respect to such redemption may be performed by another person.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choose to redeem less than all of the notes of a series, then we will notify the trustee at least five days before giving notice of redemption, or such shorter period as is satisfactory to the trustee, of the aggregate principal amount of the notes of such series to be redeemed and the redemption date. See also “—Book-Entry” and “—Global Clearance and Settlement Procedures” below.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of €100,000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registered in the name of the common depositary (or its nominee) on behalf of Euroclear and Clearstream, the redemption of the notes shall be done in accordance with the policies and procedures of the common depositary, Euroclear and Clearstream.</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have given notice as provided in the indenture and made funds irrevocably available for the redemption of the notes of a series called for redemption on or prior to the redemption date referred to in that notice, then, unless we default on the payment in payment of the redemption price, those notes will cease to bear interest on that redemption date and the only remaining right of the holders of those notes will be to receive payment of the redemption price.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subject to, or have the benefit of, a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Triggering Event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occurs, holders of notes will have the right to require us to repurchase all or any part of their notes pursuant to the offer described below (the “change of control offer”) on the terms set forth in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notes submitted for repurchase in part, the remaining portion of such notes is in a principal amount of €100,000 or an integral multiple of €1,000 in excess thereof). In the change of control offer, we will be required to offer payment in cash equal to 101% of the aggregate principal amount of notes repurchased plus accrued and unpaid interest, if any, on the notes repurchased, to but excluding the date of purchase (the “change of control payment”). Within 30 days following any change of control triggering event, we will be required to mail or deliver (or otherwise transmit in accordance with the procedures of the ICSDs) a notice to holders of notes (with a copy to the trustee) describing the transaction or transactions that constitute the change of control triggering event and offering to repurchase the notes on the date specified in the notice, which date will be no earlier than 10 days and no later than 60 days from the date such notice is given (the “change of control purchase date”), pursuant to the procedures required by the notes and described in such notice. The notice will, if mailed, delivered or transmitted prior to the date of the consummation of the change of control, state that the offer to purchase is conditioned on the change of control triggering event occurring on or prior to the change of control purchase date; provided that if the change of control triggering event occurs after such change of control purchase date, we will be required to offer to purchase the notes as described above. We must comply with the requirements of Rule 14e-l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purchase date, we will be required, to the extent lawful, to:</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properly withdrawn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paying agent will promptly mail or deliver (or otherwise transmit in accordance with the procedures of the ICSDs) to each holder of notes properly tendered the purchase price for the notes, and the trustee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 xml:space="preserve">promptly authenticate and mail or deliver (or cause to be transferred by book-entry) to each holder a new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will be in a principal amount of €100,000 and any integral multiple of €1,000 in excess thereof.</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if holders of not less than 90% in aggregate principal amount of the notes then outstanding validly tender and do not withdraw such notes in a change of control offer and we, or any third party making such an offer in lieu of us as described above, purchase all of such notes properly tendered and not withdrawn by such holders, we or such third party will have the right, upon not less than 10 days’ nor more than 60 days’ prior notice to the holders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is given not more than 60 days following such repurchase pursuant to the change of control offer described above) to redeem all notes that remain outstanding following such tender offer on a date specified in such notice (the “second change of control purchase date”) and at a price in cash equal to 101% of the aggregate principal amount of the notes repurchased plus accrued and unpaid interest, if any, on the notes repurchased to, but excluding, the second change of control purchase date.</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a change of control triggering event if (i) a third party makes such an offer in the manner, at the times and otherwise in compliance with the requirements for an offer made by us, and such third party purchases all notes properly tendered and not withdrawn under its offer; or (ii) prior to the occurrence of the related change of control triggering event, we have given written notice of a redemption of the notes as provided under “—Optional Redemption” above, unless we have failed to pay the redemption price on the redemption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“Below investment grade rating event” means that the rating of the notes is lowered by each of the Rating Agencies and the notes are rated below an investment grade rating by each of the Rating Agencies, and such lowering occurs on any date from the date of the public notice of our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us in writing at its or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Fiserv and our subsidiaries taken as a whole to any “person” or “group” (as those terms are used in Section 13(d)(3) of the Exchange Act) other than us or one of our subsidiaries; (2) the approval by the holders of our common stock of any plan or proposal for the liquidation or dissolution of Fiserv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Fiserv consolidates or merges with or into any entity, pursuant to a transaction in which any of the outstanding voting stock of Fiserv or such other entity is converted into or exchanged for cash, securities or other property (except when voting stock of Fiserv is converted into, or exchanged for, at least a majority of the voting stock of the surviving person).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considered to be a change of control if (a) we become a direct or indirect wholly owned subsidiary of a person and (b) immediately following that transaction, the direct or indirect holders of the voting stock of such person are substantially the same as the holders of our voting stock immediately prior to that transaction.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“Investment grade rating” means a rating equal to or higher than Baa3 (or the equivalent under any successor rating category) by Moody’s, BBB-(or the equivalent under any successor rating category) by S&amp;P and the equivalent investment grade rating by any other Rating Agency, respectively.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or its successor.</w:t>
      </w:r>
    </w:p>
    <w:p>
      <w:pPr>
        <w:spacing w:after="0" w:line="225"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Section 3(a)</w:t>
      </w:r>
    </w:p>
    <w:p>
      <w:pPr>
        <w:spacing w:after="0" w:line="1" w:lineRule="exact"/>
        <w:rPr>
          <w:sz w:val="20"/>
          <w:szCs w:val="20"/>
          <w:color w:val="auto"/>
        </w:rPr>
      </w:pPr>
    </w:p>
    <w:p>
      <w:pPr>
        <w:ind w:left="120" w:right="20" w:hanging="4"/>
        <w:spacing w:after="0" w:line="260" w:lineRule="auto"/>
        <w:tabs>
          <w:tab w:leader="none" w:pos="4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selected by us (as certified by an officer of us to the trustee) as a replacement agency for Moody’s or S&amp;P, or both of them, as the case may be.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or its successor.</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lease,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transfer, lease, conveyance or other disposition of less than all of the properties and assets of us and our subsidiaries taken as a whole to another person or group may be uncertain.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and Sale of Assets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respect to each series of notes, not to consolidate or merge with or into any other person, permit any other person to consolidate with or merge into us or sell, transfer, lease or convey all or substantially all of the properties and assets of Fiserv and our subsidiaries, taken as a whole, to any other person, unless:</w:t>
      </w:r>
    </w:p>
    <w:p>
      <w:pPr>
        <w:spacing w:after="0" w:line="81" w:lineRule="exact"/>
        <w:rPr>
          <w:sz w:val="20"/>
          <w:szCs w:val="20"/>
          <w:color w:val="auto"/>
        </w:rPr>
      </w:pPr>
    </w:p>
    <w:p>
      <w:pPr>
        <w:jc w:val="both"/>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a supplemental indenture, the due and punctual payment of the principal of and any premium and interest on the outstanding notes and the performance and observance of every covenant in the indenture and any paying agency agreement that we would otherwise have to perform or observe;</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ours or any of our subsidiaries as a result of such transaction as having been incurred by us or any of our subsidiaries at the time of such transaction, there will not be any event of default or event which, after notice or lapse of time or both, would become an event of default;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such transaction, our property or assets would become subject to a lien which would not be permitted under “— Limitations on Liens,” we or our successor shall take those steps that are necessary to secure all outstanding notes equally and ratably with the indebtedness secured by that lien; and</w:t>
      </w:r>
    </w:p>
    <w:p>
      <w:pPr>
        <w:spacing w:after="0" w:line="81"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to the consummation of the particular transaction under the indenture have been complied with.</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any consolidation or merger with or into any other person or any sale, transfer, lease or conveyance of all or substantially all of the properties and assets of Fiserv and our subsidiaries, taken as a whole, to any other person, the successor person will succeed to, and be substituted for, us under the indenture, and we, except in the case of a lease, will be relieved of all obligations and covenants under the notes and the indenture to the extent we were the predecessor person.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Neither we nor any of our restricted subsidiaries may create or assume, except in our favor or in favor of one or more of our wholly owned subsidiaries, any mortgage, pledge, lien or encumbrance (as used in this paragraph, “liens”) on any principal property, or upon any stock or indebtedness of any of our restricted subsidiaries, that secures any indebtedness of Fiserv or such restricted subsidiary unless the outstanding notes of each series are secured equally and ratably with (or prior to) the obligations so secured by such lien, except that the foregoing restriction does not apply to the following types of liens:</w:t>
      </w:r>
    </w:p>
    <w:p>
      <w:pPr>
        <w:spacing w:after="0" w:line="75" w:lineRule="exact"/>
        <w:rPr>
          <w:sz w:val="20"/>
          <w:szCs w:val="20"/>
          <w:color w:val="auto"/>
        </w:rPr>
      </w:pPr>
    </w:p>
    <w:p>
      <w:pPr>
        <w:ind w:left="120" w:right="500" w:firstLine="436"/>
        <w:spacing w:after="0" w:line="282" w:lineRule="auto"/>
        <w:tabs>
          <w:tab w:leader="none" w:pos="8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workers’ compensation, unemployment insurance or other social security obligations (which phrase shall not be construed to refer to ERISA or the minimum funding obligations under Section 412 of the Code);</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 (ii) the nonpayment of which in the aggregate would not reasonably be expected to have a material adverse effect on Fiserv and its subsidiaries taken as a whole;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fees or governmental charges or levies which (i) are not delinquent, (ii) are payable without material penalty,</w:t>
      </w:r>
    </w:p>
    <w:p>
      <w:pPr>
        <w:spacing w:after="0" w:line="27" w:lineRule="exact"/>
        <w:rPr>
          <w:rFonts w:ascii="Times New Roman" w:cs="Times New Roman" w:eastAsia="Times New Roman" w:hAnsi="Times New Roman"/>
          <w:sz w:val="18"/>
          <w:szCs w:val="18"/>
          <w:color w:val="auto"/>
        </w:rPr>
      </w:pPr>
    </w:p>
    <w:p>
      <w:pPr>
        <w:ind w:left="120" w:right="200" w:hanging="4"/>
        <w:spacing w:after="0" w:line="260" w:lineRule="auto"/>
        <w:tabs>
          <w:tab w:leader="none" w:pos="4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being contested in good faith and by appropriate action or (iv) the nonpayment of which in the aggregate would not reasonably be expected to have a material adverse effect on Fiserv and its subsidiaries taken as a whole;</w:t>
      </w:r>
    </w:p>
    <w:p>
      <w:pPr>
        <w:spacing w:after="0" w:line="181"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attachments, judgments or awards against Fiserv or any subsidiary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Fiserv or any of its subsidiaries;</w:t>
      </w:r>
    </w:p>
    <w:p>
      <w:pPr>
        <w:spacing w:after="0" w:line="175" w:lineRule="exact"/>
        <w:rPr>
          <w:rFonts w:ascii="Times New Roman" w:cs="Times New Roman" w:eastAsia="Times New Roman" w:hAnsi="Times New Roman"/>
          <w:sz w:val="18"/>
          <w:szCs w:val="18"/>
          <w:color w:val="auto"/>
        </w:rPr>
      </w:pPr>
    </w:p>
    <w:p>
      <w:pPr>
        <w:ind w:left="120" w:right="220" w:firstLine="436"/>
        <w:spacing w:after="0" w:line="266" w:lineRule="auto"/>
        <w:tabs>
          <w:tab w:leader="none" w:pos="7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Fiserv and its subsidiaries taken as a whole;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3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corresponding supplemental indenture and securing indebtedness or other obligations of Fiserv or any of its subsidiaries;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in favor of lessors arising in connection with property leased to Fiserv or any of its subsidiaries;</w:t>
      </w:r>
    </w:p>
    <w:p>
      <w:pPr>
        <w:spacing w:after="0" w:line="225"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7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to the extent that a prohibition on such liens pursuant to this provision would violate Regulation U of the U.S. Federal Reserve Board, as amended;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hereafter acquired by Fiserv or any of its subsidiaries created within 365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provided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(j));</w:t>
      </w:r>
    </w:p>
    <w:p>
      <w:pPr>
        <w:spacing w:after="0" w:line="1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financing leases and permitted sale-leaseback transactions;</w:t>
      </w:r>
    </w:p>
    <w:p>
      <w:pPr>
        <w:spacing w:after="0" w:line="225"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7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the property of a person that becomes a subsidiary of Fiserv after the date hereof; provided that (A) such liens existed at the time such person becomes a subsidiary of Fiserv and were not created in anticipation thereof, (B) any such liens are not extended to any property of Fiserv or of any of its subsidiaries, other than the property or assets of such subsidiary, and (ii) liens on the proceeds of indebtedness incurred to finance an acquisition, investment or refinancing pursuant to customary escrow or similar arrangements to the extent such proceeds (A) secure such indebtedness or are otherwise restricted in favor of the holders of such indebtedness and (B) will be required to repay such indebtedness if such acquisition, investment or refinancing is not consummated;</w:t>
      </w:r>
    </w:p>
    <w:p>
      <w:pPr>
        <w:spacing w:after="0" w:line="187"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thereof and not created in contemplation thereof;</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collecting bank arising under Section 4-208 of the Uniform Commercial Code on the items in the course of collection, (ii) in favor of a banking institution arising as a matter of law encumbering deposits (including the right of set off) and which are within the general parameters customary in the banking industry and (iii) liens on assets in order to secure defeased and/or discharged indebtedness;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securitized indebtedness and receivables factoring, discounting, facilities or securitizations;</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substitution or replacement (or successive extensions, renewals, refinancings, substitutions or replacements), as a whole or in part, of any of the liens referred to in paragraphs (g), (j), (l), (m) and (u) of this covenant to the extent that the principal amount secured by such lien at such time is not increased (other than increases related to required premiums, accrued interest and reasonable fees and expenses in connection with such extensions, renewals, refinancings, substitutions or replacements); provided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8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proceeds of any of the assets permitted to be the subject of any lien or assignment permitted by this covenant;</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3"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that are contractual rights of set-off (A) relating to the establishment of depository relations with banks not given in connection with the issuance of debt, (B) relating to our pooled deposit or sweep accounts to permit satisfaction of overdraft or similar obligations and other cash management activities incurred in the ordinary course of business or (C) relating to purchase orders and other agreements entered into with our customers in the ordinary course of business and (ii) (W) of a collection bank arising under Section 4-210 of the Uniform Commercial Code on items in the course of collection, (X) encumbering reasonable customary initial deposits and margin deposits and attaching to commodity trading accounts or other brokerage accounts incurred in the ordinary course of business, (Y) in favor of banking institutions arising as a matter of law or pursuant to customary account agreements encumbering deposits (including the right of set-off) and which are within the general parameters customary in the banking industry, and (Z) of financial institutions funding the vault cash or other arrangements, pursuant to which various financial institutions fund the cash requirements of automated teller machines and cash access facilities operated by us or our subsidiaries at customer locations (the “Vault Cash Operations”), in the cash provided by such institutions for such Vault Cash Operations;</w:t>
      </w:r>
    </w:p>
    <w:p>
      <w:pPr>
        <w:spacing w:after="0" w:line="194"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terms and conditions of any contracts between us or any subsidiary and the U.S. government; and</w:t>
      </w:r>
    </w:p>
    <w:p>
      <w:pPr>
        <w:spacing w:after="0" w:line="223" w:lineRule="exact"/>
        <w:rPr>
          <w:rFonts w:ascii="Times New Roman" w:cs="Times New Roman" w:eastAsia="Times New Roman" w:hAnsi="Times New Roman"/>
          <w:sz w:val="18"/>
          <w:szCs w:val="18"/>
          <w:color w:val="auto"/>
        </w:rPr>
      </w:pPr>
    </w:p>
    <w:p>
      <w:pPr>
        <w:ind w:left="120" w:right="20" w:firstLine="436"/>
        <w:spacing w:after="0" w:line="275" w:lineRule="auto"/>
        <w:tabs>
          <w:tab w:leader="none" w:pos="8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liens;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without duplication, the aggregate sum of all obligations and indebtedness secured by liens incurred pursuant to this clause (u), together with the aggregate principal amount secured by liens incurred pursuant to clause (p) that extend, renew, refinance, substitute for or replace liens incurred under this clause (u)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$4.0 billion and (ii) 15.0% of net worth as determined at the time of, and immediately after giving effect to, the incurrence of such lien based on the balance sheet for the end of the most recent quarter for which financial statements are available.</w:t>
      </w:r>
    </w:p>
    <w:p>
      <w:pPr>
        <w:spacing w:after="0" w:line="17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lien created for the benefit of the holders of the notes pursuant to the preceding paragraph shall provide by its terms that such lien shall be automatically and unconditionally released and discharged upon the release and discharge of the lien giving rise to the obligation to equally and ratably secure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 Transactions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our restricted subsidiaries may sell or transfer to any person other than Fiserv or any of its subsidiaries any principal property owned by us or any of our restricted subsidiaries with the intention of taking back a lease thereof, other than permitted sale-leaseback transactions.</w:t>
      </w:r>
    </w:p>
    <w:p>
      <w:pPr>
        <w:spacing w:after="0" w:line="176"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Our real property, improvements and fixtures are not subject to the limitations on sale-leaseback transactions described above. As of March 31, 2026, our real property, improvements and fixtures had a net book value of approximately $3.2 billion, some of which were subject to financing leases.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certain of the defined terms used in the foregoing provisions. Reference is made to the indenture for the full definition of all such terms, as well as any other terms used above for which no definition is provided.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 “attributable value” means, in respect of any sale-leaseback transaction,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“GAAP” means generally accepted accounting principles in the United States.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term “indebtedness” means, with respect to any person (a) all indebtedness for borrowed money,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contained herein, for purposes of this definition, “indebtedness” shall not include (1) any intercompany indebtedness between or among Fiserv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term “net worth” means, at any date, the sum of all amounts that would be included under shareholders’ equity on a consolidated balance sheet of Fiserv and its subsidiaries determined in accordance with GAAP on such date or, in the event such date is not a fiscal quarter end, as of the immediately preceding fiscal quarter 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shareholders’ equity, any accumulated other comprehensive income or loss, in each case as reflected on such consolidated balance sheet of Fiserv and its subsidiaries determined in accordance with GAAP, shall be excluded; provided, further,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term “permitted sale-leaseback transaction” means any sale or transfer by us or any of our restricted subsidiaries of any principal property owned by us or any of our restricted subsidiaries with the intention of taking back a lease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“permitted sale-leaseback transactions” shall not include any such transaction involving machinery and/or equipment (excluding any lease for a temporary period of not more than thirty-six months with the intent that the use of the subject machinery and/or equipment will be discontinued at or before the expiration of such period) relating to facilities (a) in full operation for more than 180 days as of the date of the corresponding supplemental indenture and (b) that are material to the business of Fiserv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clause (u) of the covenant described under “—Limitations on Liens” above, exceeds the greater of (i) $4.0 billion and (ii) 15.0% of net worth as determined at the time of, and immediately after giving effect to, the incurrence of such transactions based on the balance sheet for the end of the most recent quarter for which financial statements are available (such greater amount, the “Applicable Threshold”). For purposes of this definition, “Applied Amounts” means an amount (which may be conclusively determined by the board of directors of Fiserv)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96"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term “principal property” means the real property, fixtures, machinery and equipment relating to any facility that is real property located within the territorial limits of the United States of America (excluding its territories and possessions and Puerto Rico) owned by us or any restricted subsidiary, except for any facility that (i) has a net book value, on the date the determination of whether such property is a principal property is being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made for purposes of the covenants set forth under “—Limitations on Liens” and “—Limitations on Sale-Leaseback Transactions”, of less than 2% of our net worth or (ii) in the opinion of our board of directors, is not of material importance to the business conducted by us and our subsidiaries, taken as a whole.</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term “property” means, with respect to any person, all types of real, personal or mixed property and all types of tangible or intangible property owned or leased by such person.</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term “restricted subsidiary” means any subsidiary of ours that constitutes a “significant subsidiary” (as such term is defined in Regulation S-X, promulgated pursuant to the Securities Act of 1933) and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term “securitized indebtedness”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term “subsidiary” of any person (the “parent”) means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 “FIN 46 Entity”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“Controlled” means the possession, directly or indirectly, of the power to direct or cause the direction of the management or policies of a person, whether through the ability to exercise voting power, by contract or otherwise.</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 “wholly owned subsidiary” of any person means (i) any corporation, association or other business entity of which 100% of the total voting power of shares of capital stock or other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(ii) any partnership, limited liability company or similar pass-through entity of which the sole partners, members or other similar persons in corresponding roles, however designated, are such person or one or more of the other subsidiaries of such person (or any combination thereof).</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in the indenture, all accounting terms not otherwise defined in the corresponding supplemental indenture have the meanings assigned to them in accordance with GAAP as in effect on the date of the indenture, but (i) without giving effect to any election under Accounting Standards Codification 825-10-25 (or any other Accounting Standards Codification or Financial Accounting Standard having a similar result or effect) to value any indebtedness or other liabilities of Fiserv or any subsidiary at “fair value,” as defined therein and (ii) without giving effect to any treatment of indebtedness in respect of convertible debt instruments under Accounting Standards Codification 470-20 (or any other Accounting Standards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following a transaction to which the provisions of the indenture described above under “—Merger, Consolidation and Sale of Assets” applies, the surviving entity is organized under the laws of a jurisdiction other than the United States, any state or territory thereof or the District of Columbia, all payments made to each holder or beneficial owner by the surviving person under, or with respect to, the notes will be made free and clear of, and without withholding or deduction for or on account of, any present or future tax, duty, levy, impost, assessment or other governmental charge (including penalties, interest and other liabilities related thereto), which we collectively refer to in this prospectus supplement as the “Taxes,” imposed or levied by or on behalf of the jurisdiction of organization or tax residence of the surviving entity or any political subdivision thereof or taxing authority therein, which we refer to in this prospectus supplement as a “Taxing Jurisdiction,” unless such withholding or deduction is required by law or by the official interpretation or administration thereof.</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any amount for, or on account of, such Taxes is required to be withheld or deducted from any payment made under or with respect to the notes to a holder or beneficial owner, the surviving entity will pay such additional amounts, which we refer to in this prospectus supplement as “Additional Amounts,” as may be necessary so that the net amount received by each holder or beneficial owner (including Additional Amounts) after such withholding or deduction will not be less than the amount such holder or beneficial owner would have received if such Taxes had not been required to be withheld or deducted;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obligation to pay Additional Amounts does not apply to:</w:t>
      </w:r>
    </w:p>
    <w:p>
      <w:pPr>
        <w:spacing w:after="0" w:line="89" w:lineRule="exact"/>
        <w:rPr>
          <w:sz w:val="20"/>
          <w:szCs w:val="20"/>
          <w:color w:val="auto"/>
        </w:rPr>
      </w:pPr>
    </w:p>
    <w:p>
      <w:pPr>
        <w:ind w:left="1080" w:right="10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 (collectively, “FATCA”);</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entity’s country of organization);</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relevant holder or any beneficial owner of the notes to comply on a timely basis with a written request of the surviving entity addressed to such holder or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tax or similar tax, duty, assessment or governmental charge;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 than by deduction or withholding from a payment on or in respect of the notes;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withheld or deducted by a paying agent from a payment if the notes were presented for payment by or on behalf of a holder to such paying agent and such withholding or deduction could have been avoided by presenting the relevant notes to another paying agent;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any person acting as custodian bank or collecting agent on behalf of a holder, or otherwise in any manner which does not constitute a withholding or deduction by the surviving entity, its paying agent, or any successor thereof from payments made by it;</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deducted or withheld pursuant to (i) any European Union directive or regulation concerning the taxation of interest income; (ii) any international treaty or understanding relating to such taxation and to which the Taxing Jurisdiction or the European Union is a party or (iii) any provision of law implementing, or complying with, or introduced to conform with, such directive, regulation, treaty or understanding;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Taxes described above.</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surviving entity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Whenever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Tax Redemption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series of notes may be redeemed at any time, at the surviving entity’s option, in whole but not in part, upon not less than 10 nor more than 60 days’ prior notice, at a redemption price equal to 100% of the principal amount of the notes of such series then outstanding, plus accrued and unpaid interest on the principal amount being redeemed (and any Additional Amounts) to (but excluding) the redemption date, if (i) at any time following a transaction to which the provisions of the indenture described above under “—Merger, Consolidation and Sale of Assets” apply, the surviving entity is required to pay Additional Amounts pursuant to the provisions described above under “—Payment of Additional Amounts” and (ii) such obligation cannot be avoided by the surviving entity taking reasonable measures available to it.</w:t>
      </w:r>
    </w:p>
    <w:p>
      <w:pPr>
        <w:spacing w:after="0" w:line="187"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Prior to the mailing of any such notice of redemption pursuant to the foregoing, the surviving entity will deliver to the trustee an opinion of independent tax counsel of recognized standing to the effect that the surviving entity is or would be obligated to pay such Additional Amounts.</w:t>
      </w:r>
    </w:p>
    <w:p>
      <w:pPr>
        <w:spacing w:after="0" w:line="14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No notice of redemption may be given earlier than 90 days prior to the earliest date on which the surviving entity would be obligated to pay Additional Amounts if a payment in respect of the relevant notes were then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each series of notes occurs if:</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of the notes of that series when due and payable and that failure continues for 30 consecutive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of, or premium, if any, on, any of the notes of that series at its maturity or when otherwise due and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(which shall not have been cured or waived) in the payment of any principal of or interest on any of our indebtedness for borrowed money aggregating more than $625 million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58" w:lineRule="auto"/>
        <w:rPr>
          <w:sz w:val="20"/>
          <w:szCs w:val="20"/>
          <w:color w:val="auto"/>
        </w:rPr>
      </w:pPr>
      <w:r>
        <w:rPr>
          <w:rFonts w:ascii="Times New Roman" w:cs="Times New Roman" w:eastAsia="Times New Roman" w:hAnsi="Times New Roman"/>
          <w:sz w:val="18"/>
          <w:szCs w:val="18"/>
          <w:color w:val="auto"/>
        </w:rPr>
        <w:t>principal amount, after giving effect to any applicable grace period, or in the performance of any other term or provision of any of our indebtedness in excess of $625 million in principal amount that results in such indebtedness becoming or being declared due and payable prior to the date on which it would otherwise become due and payable, and such acceleration is not rescinded or annulled, or such indebtedness has not been discharged, within a period of 60 consecutive days after there has been given written notice specifying such default as provided in the indenture;</w:t>
      </w:r>
    </w:p>
    <w:p>
      <w:pPr>
        <w:spacing w:after="0" w:line="89" w:lineRule="exact"/>
        <w:rPr>
          <w:sz w:val="20"/>
          <w:szCs w:val="20"/>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covenant in the indenture with respect to the notes of that series and that failure continues for 90 consecutive days after we receive written notice as provided in the indenture;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are taken relating to our bankruptcy, insolvency or reorganization or the bankruptcy, insolvency or reorganization of any restricted subsidiary of ours and, in certain circumstances, remain in effect for 60 consecutive days.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the notes of a series occurs and continues, except for the bankruptcy, insolvency or reorganization actions referred to above, then the trustee or the holders of at least 25% in principal amount of the outstanding notes of the applicable series may require us to repay immediately the principal of, and any unpaid premium and interest on, all outstanding notes of such series. The holders of at least a majority in principal amount of the outstanding notes of the applicable series may rescind and annul that acceleration if all events of default with respect to the notes of that series, other than the nonpayment of accelerated principal, have been cured or waived as provided in the indenture. An event of default arising from the bankruptcy, insolvency or reorganization actions referred to above shall cause the principal of, and any unpaid premium and interest on, all notes to become immediately due and payable without any declaration or other act by the trustee, the holders of the notes or any other party.</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obligated to exercise any of its rights or powers under the indenture at the request or direction of any holder of notes, unless the holders offer reasonable indemnity to the trustee. If the holders offer reasonable indemnity to the trustee, then the holders of at least a majority in principal amount of the outstanding notes of an applicable series will have the right, subject to some limitations, to direct the time, method and place of conducting any proceeding for any remedy available to the trustee or exercising any trust or power conferred on the trustee with respect to the notes of that series.</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No holder of any note of a series will have any right to institute any proceeding with respect to the indenture or for any remedy under the indenture unless:</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notes of that series;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notes of that series have made a written request, and offered reasonable indemnity, to the trustee to institute a proceeding as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requested proceeding within 60 consecutive days after receipt of such notice;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at least a majority in principal amount of the outstanding notes of that series a direction inconsistent with the request during that 60-day period.</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However, the holder of any note will have the absolute and unconditional right to receive payment of the principal of, and premium, if any, and interest on, that note as expressed therein, and to institute suit for the enforcement of any such payment.</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furnish to the trustee annually within 120 days after the end of our fiscal year a statement as to the absence of some defaults under the indenture. Within 30 days after the occurrence of an event of default of which the trustee has received actual notice in accordance with the indenture, the trustee shall give notice of such event of default to the holders of the notes, except that, in the case of a default other than a payment default, the trustee may withhold notice if the trustee determines that withholding notice is in the interest of the 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Amendment and Waiver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together with the trustee, may modify or amend the indenture and the terms of the notes of a series with the consent of the holders of at least a majority in principal amount of the outstanding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modification or amendment may, without the consent of each affected holder of the notes of the affected series:</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rate of interest on,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upon the redemption or purchase at the option of the holder of any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place of payment where, or the currency in which, any principal of, or premium, if any, or interest on, any note is payable;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note on or after the stated maturity or redemption date;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notes the consent of whose holders is required for modification or amendment of the indenture, for waiver of compliance with certain provisions of the indenture or for waiver of certain defaults.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principal amount of the outstanding notes of a series may, on behalf of the holders of all notes of that series, waive any past default under the indenture and its consequences, except a default in the payment of the principal of, or premium, if any, or interest on, any notes or in respect of a covenant or provision that under the indenture cannot be modified or amended without the consent of each holder of that series. In addition, the holders of at least a majority in principal amount of the outstanding notes of a series may, on behalf of the holders of all notes of that series, waive compliance with any other provision of the indenture or the notes, including compliance with our covenants described above under “—Covenants—Limitations on Liens” and “—Covenants—Limitations on Sale-Leaseback Transactions.”</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we, together with the trustee, may modify or amend the indenture and the terms of the notes without seeking the consent of any holders of the notes to:</w:t>
      </w:r>
    </w:p>
    <w:p>
      <w:pPr>
        <w:spacing w:after="0" w:line="67" w:lineRule="exact"/>
        <w:rPr>
          <w:sz w:val="20"/>
          <w:szCs w:val="20"/>
          <w:color w:val="auto"/>
        </w:rPr>
      </w:pPr>
    </w:p>
    <w:p>
      <w:pPr>
        <w:ind w:left="1080" w:right="4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successor to assume our obligations under the indenture and the notes pursuant to the provisions described above under the heading “—Covenants—Merger, Consolidation and Sale of Assets”;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for the benefit of the holders of the notes or the trustee, paying agent, security registrar or other agent or similar person or surrender any right or power we have under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any provisions of the indenture to the extent necessary to permit or facilitate the issuance of notes in uncertificated form;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any provision contained in the indenture or in any supplemental indentures to the extent such amendment or supplement does not apply to any outstanding notes issued prior to the date of such amendment or supplement and entitled to the benefits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and provide for the terms of the release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our obligations under the notes and provide for the terms of the release of such guarantees;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successor trustee or paying agent with respect to the notes or otherwise change any of the provisions of the indenture as shall be necessary to provide for or facilitate the administration of the trusts thereunder by more than one trustee or paying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to the extent permitted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co-issuer with respect to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 as determined in good faith by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indenture to the description of the notes contained in this prospectus supplement and in the accompanying prospectus;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of Euroclear, Clearstream or any other clearing system and the rules and regulations of any securities exchange or automated quotation system on which the notes may be listed or traded;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amendment or supplement to the indenture as long as that amendment or supplement does not adversely affect the rights of the holders of any notes in any material respect, as determined in good faith by us.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 amendment or supplement to the indenture made solely to conform the indenture to this description of the notes contained in this prospectus supplement and in the accompanying prospectus will be deemed to adversely affect the interests of the holders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Covenant Defeasance and Satisfaction and Discharge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Except as prohibited by the indenture, if we deposit with the trustee sufficient money or government obligations, or both, to pay the principal of, and premium, if any, and interest on, the notes on the scheduled due dates therefor, then at our option we may be discharged from certain of our obligations with respect to the notes or elect that our failure to comply with certain restrictive covenants, including those described in “—Covenants— Merger, Consolidation and Sale of Assets,” “—Covenants—Limitations on Liens,” and “—Covenants—Limitations on Sale-Leaseback Transactions” will not be deemed to be or result in an event of default under the indenture governing the notes.</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addition, the indenture will be discharged and will cease to be of further effect as to the notes of a series (except as to any surviving rights expressly provided for in the indenture) when:</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that have been replaced or paid and notes for whose payment money has theretofore been deposited in trust and thereafter repaid to us)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1540" w:right="100" w:hanging="331"/>
        <w:spacing w:after="0" w:line="258"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as trust funds euros, U.S. dollars or government obligations in an amount sufficient, to pay the entire indebtedness of such notes not delivered to the trustee for cancellation, for principal, premium, if any, and accrued interest to, but excluding, the stated maturity or redemption date;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in respect of such notes under the indenture;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irrevocable written instructions to the trustee under the indenture to apply the deposited money toward the payment of the notes in accordance with the indenture;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of the indenture with respect to such notes have been satisfied.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notes, “government obligations” means securities denominated in euro that are (a) direct obligations of the Federal Republic of Germany or any country that is a member of the European Union that has adopted the euro as its currency and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Union, or (b) obligations of a person controlled or supervised by and acting as an agency or instrumentality of the Federal Republic of Germany or such other member of the European Union, the payments of which are unconditionally guaranteed as a full faith and credit obligation of the German government or such other member of the European Union.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trustee under the indenture is U.S. Bank, and U.S. Bank Europe DAC, UK Branch will act as our paying agent with respect to the notes, subject, in each case, to replacement upon certain events specified in the indenture and the paying agency agreement. The notes may be exchanged or transferred, subject to and upon satisfaction of the terms and conditions set forth in the indenture, at the office or agency maintained for such purpose, initially the corporate trust office of the trustee in Milwaukee, Wisconsin.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and the indenture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Clearstream, Euroclear, and the book-entry systems and procedures from sources that we believe to be reliable, but we take no responsibility for the accuracy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offered and sold only in denominations of €100,000 and integral multiples of €1,000 in excess thereof. The notes will be issued in the form of one or more fully registered global notes. Each such global note will be deposited with, or on behalf of, a common depositary, and registered in the name of the nominee of the common depositary for, and in respect of interests held through, Clearstream and Euroclear.</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the notes will be cleared through Clearstream and Euroclear. Any secondary market trading of book-entry interests in the notes will take place through Clearstream and Euroclear participants (as defined below) and will settle in same day funds. Beneficial owners of the notes will receive payments relating to their notes in euro, except as described above under “—Euro Notes—Issuance in Euro.”</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Clearstream and Euroclear have established electronic securities and payment transfer, processing, depositary and custodial links among themselves and others, either directly or through custodians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policies of Clearstream and Euroclear will govern payments, transfers, exchanges and other matters relating to each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been advised by Clearstream and Euroclear, respectively,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that it is incorporated under the laws of Luxembourg and is licensed as a bank and professional depositary. Clearstream holds securities for its participating organizations. Clearstream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(as defined below) to facilitate the settlement of trades between the nominees of Clearstream and Euroclear. As a registered bank in Luxembourg, Clearstream is subject to regulation by the Luxembourg Commission for the Supervision of the Financial Sector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Euroclear has advised that it was created in 1968 to hold securities for its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is operated by Euroclear Bank S.A./N.V. (the</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40"/>
          </w:cols>
          <w:pgMar w:left="320" w:top="455"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Euroclear,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Euroclear will be credited to the cash accounts of Euroclear participants in accordance with the Terms and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Clearstream or Euroclear is at any time unwilling or unable to continue as depositary, and a successor depositary is not appointed by us within 90 days, we will issue notes of like tenor in minimum denominations of €100,000 principal amount and integral multiples of €1,000 in excess thereof,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shall no longer be represented by a global note and will issue notes in definitive form in exchange for such global note pursuant to the procedure described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relevant to U.S. Holders and Non-U.S. Holders (both as defined below) relating to the purchase, ownership and disposition of the notes. This summary is based upon current provisions of the Internal Revenue Code of 1986, as amended (the “Code”), existing and proposed Treasury regulations promulgated thereunder, judicial decisions and rulings, pronouncements and administrative interpretations of the Internal Revenue Service (the “IRS”), all of which are subject to change, possibly on a retroactive basis, at any time by legislative, judicial or administrative action. We cannot assure you that the IRS will not challenge the conclusions stated below, and no ruling from the IRS has been (or will be) sought on any of the matters discussed below.</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For purposes of this summary, a “U.S. Holder” is a beneficial owner of notes that is (a) an individual who is a citizen of the United States or who is resident in the United States for U.S. federal income tax purposes, (b) an entity that is classified for U.S. federal income tax purposes as a corporation and that is organized under the laws of the United States, any state thereof, or the District of Columbia, or is otherwise treated for U.S. federal income tax purposes as a domestic corporation, (c) an estate, the income of which is subject to U.S. federal income taxation regardless of its source, or (d) a trust</w:t>
      </w:r>
    </w:p>
    <w:p>
      <w:pPr>
        <w:spacing w:after="0" w:line="3" w:lineRule="exact"/>
        <w:rPr>
          <w:sz w:val="20"/>
          <w:szCs w:val="20"/>
          <w:color w:val="auto"/>
        </w:rPr>
      </w:pPr>
    </w:p>
    <w:p>
      <w:pPr>
        <w:ind w:left="120" w:right="60" w:hanging="4"/>
        <w:spacing w:after="0" w:line="255"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administration is subject to the primary supervision of a court within the United States and all substantial decisions of which are subject to the control of one or more United States persons as described in Section 7701(a)(30) of the Code (“United States persons”), or (ii) that has a valid election in effect under applicable Treasury regulations to be treated as a United States person.</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summary, a “Non-U.S. Holder” is a beneficial owner of notes that is not a U.S. Holder as defined above and that is classified for U.S. federal income tax purposes as being neither a partnership nor a “disregarded entity.” If an entity classified for U.S. federal income tax purposes as a partnership owns notes, the tax treatment of a member of the entity will depend on the status of the member and the activities of the entity. The tax treatment of such an entity, and the tax treatment of any member of such an entity, are not addressed in this summary. Any entity that is classified for U.S. federal income tax purposes as a partnership or as a “disregarded entity” and that owns notes, and any members of such an entity, are encouraged to consult their own tax advisors. For U.S. federal income tax purposes, the assets held by any entity that is classified as a “disregarded entity” and that has a single member are generally deemed to be held directly by such member.</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summary does not purport to be a complete analysis of all the potential U.S. federal income tax considerations relating to the purchase, ownership, and disposition of the notes. Without limiting the generality of the foregoing, this summary does not address the effect of any special rules applicable to certain types of beneficial owners, including, without limitation, dealers in securities, insurance companies, financial institutions, thrifts, regulated investment companies, real estate investment trusts, tax-exempt entities, U.S. Holders whose functional currency is not the U.S. dollar, U.S. expatriates, persons who hold notes as part of a straddle, conversion transaction, or other risk reduction or integrated investment transaction, persons who purchase or sell notes as part of a wash sale for tax purposes, traders in securities that elect to use a mark-to-market method of tax accounting for their securities holdings, persons subject to special tax accounting rules as a result of any item of gross income with respect to the notes being taken into account in an applicable financial statement, individual retirement accounts or qualified pension plans, controlled foreign corporations, passive foreign investment companies, corporations that accumulate earnings to avoid U.S. federal income tax, or investors in pass through entities, including partnerships and Subchapter S corporations. Furthermore, this summary does not discuss any tax consequences arising under the Medicare contribution tax on net investment income or any alternative minimum tax, and does not address any aspects of federal non-income taxation or state, local, or non-U.S. taxation. This summary only applies to those beneficial owners that purchase notes in the initial offering at the initial offering prices and that hold notes as “capital assets” within the meaning of Section 1221 of the Code (generally, assets held for investment). In the case of any Non-U.S. Holder who is an individual, this summary assumes that this individual was not formerly a United States citizen, and was not formerly a resident of the United States for U.S. federal income tax purposes.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Treasury regulations provide special rules for the treatment of debt instruments that provide for contingent payments. Under these regulations, a contingency is disregarded if the contingency is remote or incidental. In addition, these regulations provide that if a debt instrument provides for alternative payment schedules applicable upon the occurrence of one or more contingencies, other than remote or incidental contingencies, a single payment schedule can be presumed to apply if such payment schedule is significantly more likely than not to occur, and the timing and amounts of the payments that compose each payment schedule are known as of the issue date. We believe and intend to take the position that the contingencies on the notes (for example, your right to require us to purchase the notes upon a change of control triggering event as described under “Description of the Notes —Purchase of Notes upon a Change of Control Triggering Event,” and our requirement to pay certain additional amounts under certain circumstances as described under “Description of the Notes—Payment of Additional Amounts”) will not cause the “contingent payment debt instrument” rules of the Treasury regulations to apply. Our position is based, in part, on our determination that, as of the date of the issuance of the notes, the possibility that we might be required to repurchase the notes or pay additional amounts is a remote or incidental contingency within the meaning of applicable Treasury regulations. Our position is binding on you unless you disclose a contrary position in a manner required by applicable Treasury regulations. However, a successful challenge of this position by the IRS could adversely affect the timing and amount of income inclusions with respect to the notes and could also cause any gain from the sale or other disposition of a note to be treated as ordinary income rather than as capital gain. Beneficial owners of the notes are encouraged to consult their own tax advisors regarding the possible application of the contingent payment debt instrument rules to the notes. The remainder of this summary assumes that the notes will not be considered to be contingent payment debt instruments.</w:t>
      </w:r>
    </w:p>
    <w:p>
      <w:pPr>
        <w:spacing w:after="0" w:line="19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SUMMARY IS OF A GENERAL NATURE AND IS INCLUDED HEREIN SOLELY FOR INFORMATION PURPOSES. THIS SUMMARY IS NOT INTENDED TO BE, AND SHOULD NOT BE CONSTRUED TO BE, LEGAL OR TAX ADVICE. NO REPRESENTATION WITH RESPECT TO THE CONSEQUENCES TO ANY PARTICULAR PURCHASER OF THE NOTES IS MADE. PROSPECTIVE PURCHASERS SHOULD CONSULT THEIR OWN ADVISORS WITH RESPECT TO THEIR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It is anticipated, and this summary assumes, that the notes will be issued with less than a de minimis amount of original issue discount (“OID”), if any (as determined under the Code). However, if the notes are issued at a discount that will equal or exceed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Stated interest on the notes generally will be taxable to a U.S. Holder as ordinary income as the interest accrues or is paid (in accordance with the U.S. Holder’s method of tax accounting). The remainder of this summary assumes that the notes are not issued with an amount equal to or greater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OID.</w:t>
      </w:r>
    </w:p>
    <w:p>
      <w:pPr>
        <w:spacing w:after="0" w:line="18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Cash Basis Taxpayer</w:t>
      </w:r>
      <w:r>
        <w:rPr>
          <w:rFonts w:ascii="Times New Roman" w:cs="Times New Roman" w:eastAsia="Times New Roman" w:hAnsi="Times New Roman"/>
          <w:sz w:val="18"/>
          <w:szCs w:val="18"/>
          <w:color w:val="auto"/>
        </w:rPr>
        <w:t>. A U.S. Holder that uses the cash receipts and disbursements method of accounting for U.S. federal income tax purposes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recognize income equal to the U.S. dollar value of the euro interest payment, based on the exchange rate in effect on the date of receipt, regardless of whether the U.S. Holder actually converts the payment into U.S. dollars.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Accrual Basis Taxpayer</w:t>
      </w:r>
      <w:r>
        <w:rPr>
          <w:rFonts w:ascii="Times New Roman" w:cs="Times New Roman" w:eastAsia="Times New Roman" w:hAnsi="Times New Roman"/>
          <w:sz w:val="18"/>
          <w:szCs w:val="18"/>
          <w:color w:val="auto"/>
        </w:rPr>
        <w:t>. A U.S. Holder that uses an accrual method of accounting for U.S. federal income tax purposes may determine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that the U.S. Holder recognizes with respect to an interest payment by using one of two methods. Under the first method, a U.S. Holder would determine the amount of income accrued by converting euro amounts accrued into U.S. dollars based on the average exchange rate in effect during the interest accrual period or, with respect to an accrual period that spans two taxable years, that part of the period within the taxable year.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 U.S. Holder elects the second method, the U.S. Holder will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the U.S. Holder receives a payment of interest within five business days of the last day of the U.S. Holder’s accrual period or taxable year, the U.S. Holder may instead translate the interest accrued into U.S. dollars at the exchange rate in effect on the day that the U.S. Holder actually receives the interest payment. If the U.S. Holder elects the second method, it will apply to all debt instruments that the U.S. Holder holds at the beginning of the first taxable year to which the election applies and to all debt instruments that the U.S. Holder subsequently acquires. A U.S. Holder may not revoke this election without the consent of the IRS.</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When the U.S. Holder actually receives an interest payment, including a payment attributable to accrued but unpaid interest upon the sale or retirement of the U.S. Holder’s note, the U.S. Holder will recognize ordinary income or loss measured by the difference, if any, between the exchange rate that the U.S. Holder used to accrue interest income and the exchange rate in effect on the date of receipt, regardless of whether the U.S. Holder actually converts the payment into U.S. dollars.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case of a sale or other taxable disposition (including a redemption or retirement) of a note, a U.S. Holder will recognize gain or loss equal to the difference, if any, between the amount realized from such disposition (other than any amount representing accrued but unpaid interest, which will be treated as ordinary income to the extent not previously included in income) and the U.S. Holder’s adjusted tax basis in the note.</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amount realized by the U.S. Holder will be the U.S. dollar value of the amount received on the date the note is disposed of or retired, except that in the case of a note that is traded on an established securities market, as defined in the applicable Treasury regulations, a cash basis taxpayer, or an accrual basis taxpayer that so elects, will determine the amount realized based on the U.S. dollar value of the euro on the settlement date of the sale.</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U.S. Holder’s adjusted tax basis in a note generally will equal the U.S. dollar value of the purchase price of the note on the date of purchase. However, if a U.S. Holder is a cash basis taxpayer, or an accrual basis taxpayer that so elects, and in either case the U.S. Holder’s note is traded on an established securities market, as defined in the applicable Treasury regulations, the U.S. Holder’s basis will be equal to the U.S. dollar value of the purchase price on the settlement date of the U.S. Holder’s purchase.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gain or loss recognized by a U.S. Holder on a sale or other taxable disposition of a note generally will constitute capital gain or loss, except to the extent of the difference in the U.S. dollar value of the principal amount of the notes between the U.S. Holder’s purchase and disposition of the notes attributable to changes in exchange rates as described below. Capital gain recognized by an individual upon the sale or other taxable disposition of a note that is held for more than one year is generally eligible for a reduced rate of U.S. federal income taxation. The deductibility of a capital loss recognized upon the sale or other taxable disposition of a note is subject to limitations.</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U.S. Holder must treat any portion of the gain or loss that the U.S. Holder recognizes on the sale or retirement of a note as ordinary income or loss to the extent attributable to changes in exchange rates. However, the U.S. Holder takes exchange gain or loss into account only to the extent of the total gain or loss the U.S. Holder realizes on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of Amounts in Other Than U.S. Dollars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 U.S. Holder’s tax basis in the euro would equal its U.S. dollar value when the interest is received or at the time of the sale or retirement. If a U.S. Holder purchases euro, the U.S. Holder generally will have a tax basis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equal to the U.S. dollar value of the euro on the date of such purchase. If the U.S. Holder sells or disposes of euro, including if the U.S. Holder uses euro to purchase notes or exchanges euro for U.S. dollars, any gain or loss recognized generally will be ordinary income or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Regulations Requiring Disclosure of Reportable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regulations require United States taxpayers to report certain transactions that give rise to a loss in excess of certain thresholds (a “Reportable Transaction”). Under these regulations, a U.S. Holder (or a Non-U.S. Holder that holds the notes in connection with a U.S. trade or business) that recognizes a loss with respect to the notes that is characterized as an ordinary loss due to changes in currency exchange rates (under any of the rules discussed above) will be required to report the loss on IRS Form 8886 (Reportable Transaction Statement) if the loss exceeds the thresholds set forth in the regulations. For individuals and trusts, this loss threshold is $50,000 in any single taxable year. For other types of taxpayers and other types of losses, the thresholds are higher. U.S. Holders (or Non-U.S. Holders that hold the notes in connection with a U.S. trade or business) of the notes should consult with their tax advisor regarding any tax filing and reporting obligations that may apply in connection with acquiring, owning and disposing of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will apply with respect to payments of principal and interest on the notes to a U.S. Holder, and with respect to payments to a U.S. Holder of any proceeds from a disposition of the notes. In addition, a U.S. Holder may be subject to backup withholding on such payments that are subject to information reporting if the U.S. Holder fails to supply its correct taxpayer identification number in the manner required by applicable law, fails to certify that it is not subject to backup withholding, or otherwise fails to comply with applicable backup withholding rules.</w:t>
      </w:r>
    </w:p>
    <w:p>
      <w:pPr>
        <w:spacing w:after="0" w:line="183"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Certain persons are exempt from information reporting and backup withholding, including corporations and financial institutions. Exempt recipients that are not subject to backup withholding and do not provide an IRS Form W-9 may nonetheless be treated as foreign payees subject to withholding under FATCA, and may be withheld upon at the 30% rate discussed below under “—Non-U.S. Holders—Foreign Account Tax Compliance.” U.S. Holders should consult their tax advisors as to their qualification for exemption from backup withholding and the procedure for obtaining such exemption.</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from a U.S. Holder under the backup withholding provisions may be credited against the U.S. federal income tax liability, if any, of the U.S. Holder, and may entitle the U.S. Holder to a refund,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earned on a note by a Non-U.S. Holder will be considered “portfolio interest,” and (subject to the discussion below under “—Information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Reporting and Backup Withholding” and “—Foreign Account Tax Compliance”) will not be subject to U.S. federal income tax or withholding, if:</w:t>
      </w:r>
    </w:p>
    <w:p>
      <w:pPr>
        <w:spacing w:after="0" w:line="112" w:lineRule="exact"/>
        <w:rPr>
          <w:sz w:val="20"/>
          <w:szCs w:val="20"/>
          <w:color w:val="auto"/>
        </w:rPr>
      </w:pPr>
    </w:p>
    <w:p>
      <w:pPr>
        <w:jc w:val="both"/>
        <w:ind w:left="1080" w:right="1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neither (i) a “controlled foreign corporation” that is related to us as described in Section 881(c)(3)(C) of the Code nor (ii) a person who owns, directly or under the attribution rules of Section 871(h)(3)(C) of the Code, 10% or more of the total combined voting power of our equity interests;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requirements described below are satisfied; and</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is not effectively connected with the conduct of a trade or business within the United States by the Non-U.S. Holder (or, in the case of an applicable income tax treaty, is not attributable to a permanent establishment or a fixed base that the Non-U.S. Holder maintains in the United States).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satisfy the certification requirement, the Non-U.S. Holder must provide a properly completed IRS Form W-8BEN, or IRS Form W-8BEN-E, as applicable (or suitable substitute IRS Form W-8BEN or IRS Form W-8BEN-E as applicable, or the appropriate successor form) under penalty of perjury, that provides the Non-U.S. Holder’s name and address and certifies that the Non-U.S. Holder is not a United States person. Alternatively, in a case where a securities clearing organization, bank or other financial institution holds the note in the ordinary course of business on behalf of the Non-U.S. Holder, the person who otherwise would be required to withhold U.S. federal income tax must receive from the financial institution a certification, under penalty of perjury, that a properly completed IRS Form W-8BEN or IRS Form W-8BEN-E, as applicable (or suitable substitute IRS Form W-8BEN or IRS Form W-8BEN-E, as applicable, or the appropriate successor form), has been received by it, or by another such financial institution, from the Non-U.S. Holder, and a copy of such a form must be furnished to the payor. Special rules apply to foreign partnerships, estates and trusts, and in certain circumstances, certifications as to foreign status of partners, trust owners, or beneficiaries may be required to be provided to the person who otherwise would be required to withhold U.S. federal income tax. In addition, special rules apply to payments made through a qualified intermediary.</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any of the conditions described above are not met, any payments to a Non-U.S. Holder of interest will be subject to a U.S. federal income tax and withholding at a rate of 30% (or at a lower rate under an applicable income tax treaty). To claim a reduction or exemption under an applicable income tax treaty, a Non-U.S. Holder must generally submit, to the person that otherwise would be required to withhold U.S. federal income tax, a properly completed IRS Form W-8BEN or IRS Form W-8BEN-E (or a suitable substitute or successor form).</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Any interest earned on a note that is effectively connected with the conduct of a trade or business (and, if a United States income tax treaty applies, is attributable to a permanent establishment maintained) within the United States by a Non-U.S. Holder will be subject to U.S. federal income tax at regular graduated rates. If the Non-U.S. Holder is classified as a corporation for U.S. federal income tax purposes, such income could be subject to a U.S. branch profits tax, which is imposed at a rate of 30% (or at a lower rate under an applicable income tax treaty) on effectively connected earnings and profits, subject to certain adjustments. However, unless exempt from net income tax under an applicable income tax treaty, such effectively connected income will generally not be subject to U.S. federal income tax withholding, provided that the Non-U.S. Holder furnishes a properly completed IRS Form W-8ECI (or applicable successor form) to the person that otherwise would be required to withhold U.S. federal income tax.</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Notes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“—Information Reporting and Backup Withholding” and “—Foreign Account Tax Compliance,” any gain (other than an amount representing accrued but unpaid interest, which will be treated as described above in “—Interest”) recognized by a Non-U.S. Holder upon a sale or other taxable disposition (including a redemption or retirement) of a note generally will not be subject to U.S. federal income tax or withholding unless:</w:t>
      </w:r>
    </w:p>
    <w:p>
      <w:pPr>
        <w:spacing w:after="0" w:line="85" w:lineRule="exact"/>
        <w:rPr>
          <w:sz w:val="20"/>
          <w:szCs w:val="20"/>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(and, if a United States income tax treaty applies, is attributable to a permanent establishment maintained) within the United States by the Non-U.S. Holder; or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who is an individual, such individual is present in the United States for 183 days or more in the taxable year of the sale or other disposition and certain other conditions are met.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case of a Non-U.S. Holder whose gain is described in the first bullet point above, any such gain will be subject to U.S. federal income tax at regular graduated rates, and (if the Non-U.S. Holder is classified as a corporation for U.S. federal income tax purposes) may also be subject to a U.S. branch profits tax, which is imposed at a rate of 30% (or at a lower rate under an applicable income tax treaty) on effectively connected earnings and profits, subject to certain adjustments.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An individual Non-U.S. Holder described in the second bullet point above will be subject to U.S. federal income tax at a rate of 30% (or at a reduced rate under an applicable U.S. income tax treaty) on the amount by which its U.S.-source capital gains exceed its U.S.-source capital losses.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Any payments of interest on the notes to a Non-U.S. Holder generally will be reported to the IRS and to the Non-U.S. Holder, regardless of whether withholding was required. Copies of these information returns may also be made available under the provisions of a specific treaty or agreement to the tax authorities of the country in which the payee resides.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payments of interest on the notes to a Non-U.S. Holder generally will not be subject to backup withholding and additional information reporting, provided that (i) the Non-U.S. Holder provides to the applicable withholding agent a properly completed IRS Form W-8BEN, IRS Form W-8BEN-E, IRS Form W-8ECI, IRS Form W-8EXP or IRS Form W-8IMY (or a suitable substitute or successor form) and certain other conditions are met, or (ii) the Non-U.S. Holder otherwise establishes an exemption.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payment to a Non-U.S. Holder of the proceeds of a disposition of a note by or through the U.S. office of a broker generally will not be subject to information reporting or backup withholding if the Non-U.S. Holder either certifies, under penalty of perjury, on a properly completed IRS Form W-8BEN, IRS Form W-8BEN-E or IRS Form W-8ECI (or a suitable substitute or successor form) that it is not a United States person and certain other conditions are met (or the Non-U.S. Holder otherwise establishes an exemption). Information reporting and backup withholding generally will not apply to the payment of the proceeds of a disposition of a note by or through the foreign office of a foreign broker (within the meaning of applicable Treasury regulations). However, with respect to a payment of the proceeds of the disposition of a note by or through a foreign office of a U.S. broker or of a foreign broker with certain relationships to the United States, information reporting requirements generally will apply unless the broker has documentary evidence that the Non-U.S. Holder is not a United States person and certain other conditions are met, or the holder otherwise establishes an exemption; and backup withholding will not apply unless the disposition is subject to information reporting and the broker has actual knowledge or reason to know that the Non-U.S. Holder is a United States person or otherwise does not satisfy the requirements for an exemption.</w:t>
      </w:r>
    </w:p>
    <w:p>
      <w:pPr>
        <w:spacing w:after="0" w:line="19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amounts withheld from a Non-U.S. Holder under the backup withholding provisions may be credited against the U.S. federal income tax liability, if any, of the Non-U.S. Holder, and may entitle the Non-U.S. Holder to a refund, provided that the required information is timely furnished to the IRS.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Non-U.S. Holders that hold the notes in connection with a U.S. trade or business should also refer to the discussion regarding certain currency loss reporting requirements under “U.S. Holders—Treasury Regulations Requiring Disclosure of Reportable Transactions”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FATCA, a 30% withholding tax will be imposed on interest paid with respect to the notes to “foreign financial institutions” (including non-U.S. investment funds) or “non-financial foreign entities” (each as defined in the Code) (whether such foreign financial institutions or non-financial foreign entities are acting as beneficial owners or intermediaries), unless they meet the information reporting requirements of FATCA. To avoid withholding, a foreign financial institution generally will need to enter into an agreement with the IRS that states that it will provide the IRS certain information, including the names, addresses and taxpayer identification numbers of direct and indirect U.S. account holders (including certain debt and equity holders), comply with due diligence procedures with respect to the identification of U.S. accounts, report to the IRS certain information with respect to U.S. accounts maintained, agree to withhold tax on certain payments made to non-compliant foreign financial institutions, non-compliant non-financial foreign entities, or account holders who fail to provide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required information, and determine certain other information as to its account holders. An intergovernmental agreement between the United States and an applicable foreign country, or future Treasury regulations, may modify these requirements. A non-financial foreign entity generally will need to provide either the name, address, and taxpayer identification number of each substantial U.S. owner, or certifications of no substantial U.S. ownership, to avoid withholding, unless certain exceptions apply.</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Prospective investors are encouraged to consult their own tax advisors regarding the application of FATCA to investments in the notes. Prospective investors are also encouraged to consult their banks or brokers about the likelihood that payments to those banks or brokers (for credit to such investors) will become subject to withholding in the payment chain. Investors in the notes could be affected by FATCA withholding (even if payments to such investors would not otherwise have been subject to FATCA withholding) if a financial institution or other intermediary in the payment chain, such as a bank or broker, through which they hold the notes is subject to withholding because it fails to comply with the reporting requirements.</w:t>
      </w:r>
    </w:p>
    <w:p>
      <w:pPr>
        <w:spacing w:after="0" w:line="168"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We will not pay any additional amount in respect of FATCA withholding, so if this withholding applies, a beneficial owner of notes will receive significantly less than the amount that it would have otherwise received with respect to the notes. Depending on a beneficial owner’s circumstances, it may be entitled to a refund or credit in respect of some or all of this withholding. However, even if a beneficial owner of notes is entitled to have any such withholding refunded, the required procedures could be cumbersome and significantly delay its receipt of any amounts withheld.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are offering the notes through the underwriters named below for whom Citigroup Global Markets Limited, J.P. Morgan Securities plc, TD Global Finance unlimited company and Wells Fargo Securities International Limited are acting as representatives (the “representatives”). Under the terms and subject to the conditions contained in an underwriting agreement among us and the representatives, we have agreed to sell to the underwriters named below, and each underwriter has severally and not jointly agreed to purchase, the following respective principal amounts of the notes:</w:t>
      </w:r>
    </w:p>
    <w:p>
      <w:pPr>
        <w:sectPr>
          <w:pgSz w:w="11900" w:h="16838" w:orient="portrait"/>
          <w:cols w:equalWidth="0" w:num="1">
            <w:col w:w="11060"/>
          </w:cols>
          <w:pgMar w:left="320" w:top="455" w:right="519" w:bottom="1440" w:gutter="0" w:footer="0" w:header="0"/>
        </w:sectPr>
      </w:pPr>
    </w:p>
    <w:p>
      <w:pPr>
        <w:spacing w:after="0" w:line="3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587184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7184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TD Global Finance unlimited company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Wells Fargo Securities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13335</wp:posOffset>
            </wp:positionV>
            <wp:extent cx="587184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MUFG Securities (Europe) N.V.</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Banco Santander, S.A.</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-116840</wp:posOffset>
            </wp:positionV>
            <wp:extent cx="587184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20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1238885</wp:posOffset>
            </wp:positionV>
            <wp:extent cx="702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02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702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Principal Amount</w:t>
      </w:r>
    </w:p>
    <w:p>
      <w:pPr>
        <w:spacing w:after="0" w:line="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of 20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1238885</wp:posOffset>
            </wp:positionV>
            <wp:extent cx="702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702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34290</wp:posOffset>
            </wp:positionV>
            <wp:extent cx="702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420" w:space="720"/>
            <w:col w:w="1220" w:space="720"/>
            <w:col w:w="1980"/>
          </w:cols>
          <w:pgMar w:left="320" w:top="455" w:right="519" w:bottom="1440" w:gutter="0" w:footer="0" w:header="0"/>
          <w:type w:val="continuous"/>
        </w:sectPr>
      </w:pPr>
    </w:p>
    <w:p>
      <w:pPr>
        <w:spacing w:after="0" w:line="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of the notes if any are purchased. The underwriting agreement also provides that if an underwriter defaults, then the purchase commitments of non-defaulting underwriters may be increased or the offering of the notes may be terminated.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of up to         % of the principal amount of the 20 notes and         % of the principal amount of the 20        notes. Any such securities dealers may resell any notes purchased from the underwriters to certain other brokers or dealers at a discount from the initial public offering price of up to         % of the principal amount of the 20        notes and         % of the principal amount of the 20        notes. After the initial offering of the notes of a particular series to the public, the representatives may change the related public offering price and concession.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in connection with this offering (expressed as a percentage of the principal amount of the notes).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40" w:type="dxa"/>
            <w:vAlign w:val="bottom"/>
            <w:tcBorders>
              <w:bottom w:val="single" w:sz="8" w:color="CCEEFF"/>
            </w:tcBorders>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200" w:type="dxa"/>
            <w:vAlign w:val="bottom"/>
            <w:tcBorders>
              <w:bottom w:val="single" w:sz="8" w:color="CCEEFF"/>
            </w:tcBorders>
          </w:tcPr>
          <w:p>
            <w:pPr>
              <w:spacing w:after="0"/>
              <w:rPr>
                <w:sz w:val="15"/>
                <w:szCs w:val="15"/>
                <w:color w:val="auto"/>
              </w:rPr>
            </w:pPr>
          </w:p>
        </w:tc>
      </w:tr>
      <w:tr>
        <w:trPr>
          <w:trHeight w:val="21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8"/>
              </w:rPr>
              <w:t>20  </w:t>
            </w:r>
          </w:p>
        </w:tc>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notes</w:t>
            </w: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78"/>
              </w:rPr>
              <w:t>20  </w:t>
            </w:r>
          </w:p>
        </w:tc>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7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out of pocket expenses (excluding the underwriting discounts) for this offering will be approximately $        and will be payable by us.</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Each series of the notes is a new issue of securities with no established trading market. We intend to apply to list the notes on NASDAQ. The listing application is subject to approval by NASDAQ. We cannot assure you that the notes will become or remain listed. If such listing is obtained, we have no obligation to maintain such listing and we may delist the notes, or list the notes on one or more other national securities exchanges, at any time.</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060"/>
          </w:cols>
          <w:pgMar w:left="320" w:top="455" w:right="5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One or more of the underwriters intend to make a secondary market for the notes. However, they are not obligated to do so and may discontinue making a secondary market for the notes at any time without notice. No assurance can be given as to whether a trading market for the notes will develop or, if one does develop, as to how liquid any such trading market for the notes will be or whether any such trading market will be sustained.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liabilities under the Securities Act or contribute to payments which the underwriters may be required to make in that respect.</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issue of the notes, Citigroup Global Markets Limited, in its role as stabilizing manager (the “stabilizing manger”) for its own account may, to the extent permitted by applicable laws and directives, over-allot the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and syndicate covering transactions.</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notes in excess of the principal amount of the notes the underwriters are obligated to purchase, which creates a syndicate short position.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notes in the open market after the distribution has been completed in order to cover syndicate short positions. A short position is more likely to be created if the underwriters are concerned that there may be downward pressure on the prices of the notes in the open market after pricing that could adversely affect investors who purchase in the offering.</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stabilizing transactions, over-allotment transactions and syndicate covering transactions may have the effect of raising or maintaining the market prices of the notes or preventing or retarding a decline in the market prices of the notes. As a result, the prices of the notes may be higher than the prices that might otherwise exist in the open market. These transactions, if commenced, may be discontinued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for the notes on or about the settlement date set forth on the front cover of this prospectus supplement, which will be the         business day following the date of this prospectus supplement (this settlement cycle being referred to as “T+         ”). Under Rule 15c6-1 of the Securities Exchange Act of 1934, as amended, trades in the secondary market generally are required to settle in one business day, unless the parties to that trade expressly agree otherwise. Accordingly, purchasers who wish to trade notes on any date prior to the business day before delivery will be required to specify an alternate settlement cycle at the time of any such trade to prevent a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notes are being offered for sale in the United States and in jurisdictions outside the United States, subject to applicable law. Sales of notes in the United States by any underwriter that is not a broker-dealer registered with the SEC will be made only through one or more SEC-registered broker-dealers in compliance with applicable securities laws and the rules of the Financial Industry Regulatory Authority, Inc.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notes in any Member State of the EEA (in each case, a “Relevant State”) will be made pursuant to an exemption under the Prospectus Regulation from the requirement to publish a prospectus for offers of securities. The expression “Prospectus Regulation” means Regulation (EU) 2017/1129 (as amended or superseded). For the avoidance of doubt, whilst this document is referred to as a ‘prospectus supplement’ and there are references herein to a ‘prospectus’, neither this prospectus supplement nor the accompanying prospectus is a prospectus for the purposes of the Prospectus Regulation. The notes are not intended to be offered, sold, distributed or otherwise made available to and should not be offered, sold, distributed or otherwise made available to any retail investor in the EEA. For these purposes, (a) the expression “retail investor” means a person who is one (or more) of: (i) a retail client as defined in point (11) of Article 4(1) of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 investors in the EEA has been prepared, and therefore offering, selling or distributing the notes or otherwise making them available to any retail investor in the EEA may be unlawful under the PRIIPs Regulation.</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EEA, this prospectus supplement and the accompanying prospectus are being distributed only to, and are directed only at, “non-retail investors” (being persons who are not “retail investors” as defined in this section titled “Notice to Prospective Investors in the European Economic Area”) and any investment or investment activity to which this prospectus supplement relates is available only to, and will be engaged in only with, non-retail investors.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either of their contents. Each person in the EEA who purchases any of the notes will be deemed to have represented and warranted that they are a non-retail investor.</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us and will not be responsible to anyone other than us for providing the protections afforded to their clients nor for providing advice in relation to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been prepared on the basis that the offering of the notes in the UK will be made pursuant to one of the exceptions from the prohibition on public offers of relevant securities in the POATRs in circumstances not requiring a prospectus pursuant to the UK Financial Conduct Authority Prospectus Rules: Admission to Trading on a Regulated Market Sourcebook (the “PRM Sourcebook”). For the avoidance of doubt, neither this prospectus supplement nor the accompanying prospectus is a prospectus for the purposes of the POATRs or the PRM Sourcebook.</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agreed that it has not made and will not make an offer of the notes which are the subject of this prospectus supplement and the accompanying prospectus to the public in the United Kingdom except that it may make an offer:</w:t>
      </w:r>
    </w:p>
    <w:p>
      <w:pPr>
        <w:spacing w:after="0" w:line="162" w:lineRule="exact"/>
        <w:rPr>
          <w:sz w:val="20"/>
          <w:szCs w:val="20"/>
          <w:color w:val="auto"/>
        </w:rPr>
      </w:pPr>
    </w:p>
    <w:p>
      <w:pPr>
        <w:ind w:left="5460" w:right="1920" w:hanging="4904"/>
        <w:spacing w:after="0" w:line="454" w:lineRule="auto"/>
        <w:tabs>
          <w:tab w:leader="none" w:pos="8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any legal entity which is a qualified investor as defined in paragraph 15 of Schedule 1 to the POATRs; S-47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36"/>
        <w:spacing w:after="0" w:line="282"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fewer than 150 persons (other than qualified investors as defined in paragraph 15 of Schedule 1 to the POATRs) in the United Kingdom subject to obtaining the prior consent of the relevant underwriter or underwriters nominated by the Issuers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any other circumstances falling within Part 1 of Schedule 1 to the POATRs.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“offer of the notes” to the public in relation to any notes means the communication in any form and by any means of sufficient information on the terms of the offer and the notes to be offered so as to enable an investor to decide to buy or subscribe for the notes, and the expression “POATRs” means The Public Offers and Admissions to Trading Regulations 2024.</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distributed or otherwise made available to and 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Services and Markets Act 2000 (Financial Promotion) Order 2005 (the “Order”); (ii) high net worth companies, unincorporated associations and partnerships and trustees of high value trusts 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lawfully be communicated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This prospectus supplement, the accompanying prospectus and their contents are confidential and should not be distributed, published or reproduced (in whole or in part) or disclosed by any recipients to any other person in the UK. Any person in the UK that is not a Relevant Person should not act or rely on this prospectus supplement and/or the accompanying prospectus or any of their contents.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Australia Investors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supplement and accompanying prospectus do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and accompanying prospectus are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Bermuda Investors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Canada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be sold only to purchasers purchasing, or deemed to be purchasing, as principal that are accredited investors, as defined in National Instrument 45-106 Prospectus Exemptions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Dubai Investors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(“DFSA”). This document is intended for distribution only to persons of a type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specified in the Markets Rules 2012 of the DFSA. It must not be delivered to, or relied on by, any other person. The DFSA has no responsibility for reviewing or verifying any documents in connection with Exempt Offers.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DFSA has not approved this prospectus supplement nor taken steps to verify the information set forth herein and has no responsibility for this document. The notes to which this document relates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Dubai International Finance Center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Hong Kong Investors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Japan Investors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Singapore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Switzerland Investors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83"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Fiserv or the notes has been or will be filed with or approved by any Swiss regulatory authority. The notes are not subject to the supervision of any Swiss regulatory authority, e.g., the Swiss Financial Markets Supervisory Authority FINMA, and investors in the notes will not benefit from protection or supervision by such authority.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Taiwan Investors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 a registration or approval of the Financial Supervisory Commission of Taiwan. No person or entity in Taiwan has been authorized to offer, sell, give advice regarding or otherwise intermediate the offering and sale of the notes in Taiwan.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net proceeds from this offering are applied to repurchase our 5.150% Senior Notes or our 4.400% Senior Notes held by any of the underwriters and/or their respective affiliates, such underwriters and/or their respective affiliates will receive proceeds of this offering through such repayment. If 5% or more of the net proceeds of this offering (not including the underwriting discounts) is used to repurchase such 5.150% Senior Notes or 4.400% Senior Notes held by the underwriters and/or their respective affiliates, this offering will be conducted in accordance with Rule 5121 of the FINRA Conduct Rules. In such event, the underwriters will not confirm sales of the notes to accounts over which they exercise discretionary authority without the prior written approval of the customer.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affiliates of certain of the underwriters are lenders under our revolving credit facility. Affiliates of the underwriters (Citigroup Global Markets Inc., J.P. Morgan Securities LLC, TD Securities (USA) LLC and Wells Fargo Securities, LLC) are serving as the dealer managers in connection with the tender offer for our 5.150% Senior Notes and our 4.400% Senior Notes, for which they will receive customary fees and expense reimbursements and indemnification against certain liabilities. In addition, certain of the underwriters and/or their affiliates are clients of ours.</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which is an affiliate of U.S. Bancorp Investments, Inc., will be the trustee of the notes offered hereby and is the trustee for our outstanding notes, for which it will be and has been paid customary fees.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respective affiliates that have a lending relationship with us hedge and are likely to hedge in the future, and certain other of those underwriters or their respective affiliates routinely hedge, and certain other of those underwriters or their respective affiliates may hedge, their credit exposure to us consistent with their customary risk management policies. Typically, such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VALIDITY OF THE NOTES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Foley &amp; Lardner LLP and, with respect to certain matters, by Eric Nelson, our General Counsel and Secretary. Certain legal matters will be passed upon for the underwriters by Davis Polk &amp; Wardwell LLP, New York, New York.</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Fiserv, Inc. incorporated by reference in this prospectus supplement by reference to Fiserv, Inc.’s Annual Report on Form 10-K for the year ended December 31, 2025, and the effectiveness of Fiserv, Inc.’s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173990</wp:posOffset>
            </wp:positionV>
            <wp:extent cx="634365"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34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left="460" w:right="500"/>
        <w:spacing w:after="0" w:line="284" w:lineRule="auto"/>
        <w:rPr>
          <w:sz w:val="20"/>
          <w:szCs w:val="20"/>
          <w:color w:val="auto"/>
        </w:rPr>
      </w:pPr>
      <w:r>
        <w:rPr>
          <w:rFonts w:ascii="Times New Roman" w:cs="Times New Roman" w:eastAsia="Times New Roman" w:hAnsi="Times New Roman"/>
          <w:sz w:val="23"/>
          <w:szCs w:val="23"/>
          <w:b w:val="1"/>
          <w:bCs w:val="1"/>
          <w:color w:val="auto"/>
        </w:rPr>
        <w:t>Debt Securities, Guarantees of Debt Securities, Common Stock, Preferred Stock, Depositary Shares, Warrants, Purchase Contracts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FISERV FUNDING UNLIMITED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197485</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20" w:right="32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from time to time securities of Fiserv, Inc. or Fiserv Funding Unlimited Company in one or more offerings in amounts, at prices and on terms that we will determine at the time of the offering. This prospectus provides you with a general description of the securities we may offer.</w:t>
      </w:r>
    </w:p>
    <w:p>
      <w:pPr>
        <w:spacing w:after="0" w:line="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Fiserv, Inc. may offer and sell the following securities:</w:t>
      </w:r>
    </w:p>
    <w:p>
      <w:pPr>
        <w:spacing w:after="0" w:line="140"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debt securities, which may be convertible into our common stock or other securities or property;</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which may be convertible into our common stock or other securities;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depositary shares;</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common stock, preferred stock, depositary shares or debt securities;</w:t>
      </w:r>
    </w:p>
    <w:p>
      <w:pPr>
        <w:spacing w:after="0" w:line="140" w:lineRule="exact"/>
        <w:rPr>
          <w:rFonts w:ascii="Times New Roman" w:cs="Times New Roman" w:eastAsia="Times New Roman" w:hAnsi="Times New Roman"/>
          <w:sz w:val="16"/>
          <w:szCs w:val="16"/>
          <w:color w:val="auto"/>
        </w:rPr>
      </w:pPr>
    </w:p>
    <w:p>
      <w:pPr>
        <w:ind w:left="980" w:right="400" w:hanging="324"/>
        <w:spacing w:after="0" w:line="298" w:lineRule="auto"/>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for the purchase or sale of our debt securities or equity securities or securities of third parties including any of our affiliates, a basket of such securities, an index or indices of such securities or any combination of the above;</w:t>
      </w:r>
    </w:p>
    <w:p>
      <w:pPr>
        <w:spacing w:after="0" w:line="69"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of the debt securities of Fiserv Funding Unlimited Company; and</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one or more debt securities or other securities.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Fiserv Funding Unlimited Company may offer and sell senior debt securities, which will be guaranteed by Fiserv, Inc.</w:t>
      </w:r>
    </w:p>
    <w:p>
      <w:pPr>
        <w:spacing w:after="0" w:line="1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6"/>
          <w:szCs w:val="16"/>
          <w:color w:val="auto"/>
        </w:rPr>
        <w:t>Each time securities are sold using this prospectus, we will provide a supplement to this prospectus containing specific information about the offering and the terms of the securities being sold, including the offering price. The supplement may also add, update or change information contained in this prospectus. You should read this prospectus and any prospectus supplement applicable to the specific issue of securities carefully before you invest.</w:t>
      </w:r>
    </w:p>
    <w:p>
      <w:pPr>
        <w:spacing w:after="0" w:line="96" w:lineRule="exact"/>
        <w:rPr>
          <w:sz w:val="20"/>
          <w:szCs w:val="20"/>
          <w:color w:val="auto"/>
        </w:rPr>
      </w:pPr>
    </w:p>
    <w:p>
      <w:pPr>
        <w:ind w:left="120" w:right="30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these securities to or through underwriters, dealers or agents, or directly to investors, on a continued or a delayed basis. Each applicable prospectus supplement to this prospectus will provide the specific terms of the plan of distribution.</w:t>
      </w:r>
    </w:p>
    <w:p>
      <w:pPr>
        <w:spacing w:after="0" w:line="97"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In addition, selling shareholders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shareholders.</w:t>
      </w:r>
    </w:p>
    <w:p>
      <w:pPr>
        <w:spacing w:after="0" w:line="1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Fiserv, Inc.’s common stock is traded on the New York Stock Exchange under the symbol “FI.”</w:t>
      </w:r>
    </w:p>
    <w:p>
      <w:pPr>
        <w:spacing w:after="0" w:line="136" w:lineRule="exact"/>
        <w:rPr>
          <w:sz w:val="20"/>
          <w:szCs w:val="20"/>
          <w:color w:val="auto"/>
        </w:rPr>
      </w:pPr>
    </w:p>
    <w:p>
      <w:pPr>
        <w:ind w:left="120" w:right="54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Investment in our securities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in our most recent Annual Report on Form 10-K and subsequently filed Quarterly Reports on Form 10-Q and in any applicable prospectus supplement for a discussion of certain factors which should be considered in an investment of the securities which may be offered hereby.</w:t>
      </w:r>
    </w:p>
    <w:p>
      <w:pPr>
        <w:spacing w:after="0" w:line="112" w:lineRule="exact"/>
        <w:rPr>
          <w:sz w:val="20"/>
          <w:szCs w:val="20"/>
          <w:color w:val="auto"/>
        </w:rPr>
      </w:pPr>
    </w:p>
    <w:p>
      <w:pPr>
        <w:ind w:left="120" w:right="1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24, 2025.</w:t>
      </w:r>
    </w:p>
    <w:p>
      <w:pPr>
        <w:sectPr>
          <w:pgSz w:w="11900" w:h="16838" w:orient="portrait"/>
          <w:cols w:equalWidth="0" w:num="1">
            <w:col w:w="11100"/>
          </w:cols>
          <w:pgMar w:left="320" w:top="455" w:right="4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78"/>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77"/>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980" w:type="dxa"/>
            <w:vAlign w:val="bottom"/>
            <w:gridSpan w:val="9"/>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6"/>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Fiserv, Inc.</w:t>
            </w:r>
          </w:p>
        </w:tc>
        <w:tc>
          <w:tcPr>
            <w:tcW w:w="100" w:type="dxa"/>
            <w:vAlign w:val="bottom"/>
            <w:tcBorders>
              <w:top w:val="single" w:sz="8" w:color="0000EE"/>
            </w:tcBorders>
          </w:tcPr>
          <w:p>
            <w:pPr>
              <w:spacing w:after="0"/>
              <w:rPr>
                <w:sz w:val="17"/>
                <w:szCs w:val="17"/>
                <w:color w:val="auto"/>
              </w:rPr>
            </w:pPr>
          </w:p>
        </w:tc>
        <w:tc>
          <w:tcPr>
            <w:tcW w:w="7660" w:type="dxa"/>
            <w:vAlign w:val="bottom"/>
            <w:gridSpan w:val="1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Fiserv Funding Unlimited Company</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6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960" w:type="dxa"/>
            <w:vAlign w:val="bottom"/>
            <w:gridSpan w:val="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 and Guarantees of Debt Securities</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6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880" w:type="dxa"/>
            <w:vAlign w:val="bottom"/>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3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180" w:type="dxa"/>
            <w:vAlign w:val="bottom"/>
            <w:gridSpan w:val="5"/>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6100" w:type="dxa"/>
            <w:vAlign w:val="bottom"/>
            <w:gridSpan w:val="4"/>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Shareholders</w:t>
            </w:r>
          </w:p>
        </w:tc>
        <w:tc>
          <w:tcPr>
            <w:tcW w:w="7060" w:type="dxa"/>
            <w:vAlign w:val="bottom"/>
            <w:gridSpan w:val="10"/>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196"/>
        </w:trPr>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8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700" w:type="dxa"/>
            <w:vAlign w:val="bottom"/>
            <w:gridSpan w:val="2"/>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60" w:type="dxa"/>
            <w:vAlign w:val="bottom"/>
            <w:gridSpan w:val="13"/>
          </w:tcPr>
          <w:p>
            <w:pPr>
              <w:spacing w:after="0"/>
              <w:rPr>
                <w:sz w:val="17"/>
                <w:szCs w:val="17"/>
                <w:color w:val="auto"/>
              </w:rPr>
            </w:pPr>
          </w:p>
        </w:tc>
        <w:tc>
          <w:tcPr>
            <w:tcW w:w="2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the context otherwise requires, in this prospectus, “we,” “us,” “our” or “ours” refer to Fiserv, Inc. and its consolidated subsidiaries, including Fiserv Funding Unlimited Company, the “Company” refers to Fiserv, Inc., and “Fiserv Funding” refers to Fiserv Funding Unlimited Company.</w:t>
      </w:r>
    </w:p>
    <w:p>
      <w:pPr>
        <w:spacing w:after="0" w:line="14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this shelf process, we may, from time to time, sell the securities or combinations of the securities described in this prospectus, and one or more of our shareholders may sell our common stock, in one or more offerings. This prospectus provides you with a general description of those securities. Each time we offer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in any prospectus supplement and in any free writing prospectus we file with the SEC. “Incorporated by reference” means that we can disclose important information to you by referring you to another document filed separately with the SEC. We have not authorized any other person to provide you with different or additional information. If anyone provides you with different or additional information, you should not rely on it.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or any prospectus supplement, or the information we file or previously filed with the SEC that we incorporate by reference in this prospectus and any prospectus supplement, is accurate as of any date other than the respective dates of those documents. Our business, financial condition, liquidity, results of operations and prospects may have changed since those dates.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the exhibits to the registration statement, provides additional information about us and the securities offered under this prospectus.</w:t>
      </w:r>
    </w:p>
    <w:p>
      <w:pPr>
        <w:spacing w:after="0" w:line="16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mentioned under the heading “Where You Can Find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in this prospectus or any prospectus supplement,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 The forward-looking statements included or incorporated by reference into this prospectus or any supplement to this prospectus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included in “Risk Factors” in our most recent Annual Report on Form 10-K and Quarterly Reports on Form 10-Q and in other documents that we file with the SEC, which are available at http://www.sec.gov. You should consider these factors carefully in evaluating forward-looking statements and are cautioned not to place undue reliance on such statements, which speak only as of the date of this prospectus or the date of the incorporated document. We undertake no obligation to update forward-looking statements to reflect events or circumstances occurring after the date of this prospectus.</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and evaluate all of the information contained in this prospectus, any accompanying prospectus supplement, and in the documents we incorporate by reference into this prospectus or any prospectus supplement before you decide to purchase our securities. In particular, you should carefully consider and evaluate the risks and uncertainties described in “Part I — Item 1A. Risk Factors” of our most recent Form 10-K and “Part II — Item 1A. Risk Factors” of any subsequently filed Quarterly Report on Form 10-Q, each as updated by the additional risks and uncertainties set forth in other filings we make with the SEC. A prospectus supplement applicable to each type or series of securities we offer will also contain a discussion of any material risks applicable to the particular type of securities we are offering under that prospectus supplement. Any of the risks and uncertainties set forth therein could materially and adversely affect our business, results of operations and financial condition, which in turn could materially and adversely affect the trading price or value of our securities. As a result, you could lose all or part of your investment.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229" w:lineRule="exact"/>
        <w:rPr>
          <w:sz w:val="20"/>
          <w:szCs w:val="20"/>
          <w:color w:val="auto"/>
        </w:rPr>
      </w:pPr>
    </w:p>
    <w:p>
      <w:pPr>
        <w:jc w:val="both"/>
        <w:ind w:left="120" w:firstLine="440"/>
        <w:spacing w:after="0" w:line="239"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The Company is publicly traded on the New York Stock Exchange and part of the S&amp;P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500 Index. We serve clients around the globe, including merchants, banks, credit unions, other financial institutions and corporate and public sector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cloud-based point-of-sale and business management platform.</w:t>
      </w:r>
    </w:p>
    <w:p>
      <w:pPr>
        <w:spacing w:after="0" w:line="7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is a Wisconsin corporation. Its principal executive offices are located at 600 N. Vel R. Phillips Avenue, Milwaukee, WI 53203, and its telephone number is (262) 879-5000.</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FISERV FUNDING UNLIMITED COMPANY</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Fiserv Funding Unlimited Company (“Fiserv Funding”) is an indirect wholly owned, holding company subsidiary of Fiserv, Inc. that was incorporated under the laws of the Republic of Ireland as a private unlimited company with share capital on April, 14, 2025 and whose primary purpose is to serve as a holding company and finance the business and operations of Fiserv, Inc. and its affiliates. With an unlimited company, such as Fiserv Funding, there is no limit on the liability of the shareholders, and recourse may be had by creditors to the shareholders of Fiserv Funding in respect of liabilities that may be owed by Fiserv Funding that Fiserv Funding failed to discharge. First Data Global Services Limited, a limited liability company incorporated in the Republic of Ireland, is the sole shareholder of Fiserv Funding. Fiserv Funding is registered with the Irish Companies Registration Office under number 786181. Fiserv Funding’s principal executive offices are located at 10 Hanover Quay, Dublin D02 K510, and its telephone number is (262) 879-5000.</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the use of the net proceeds from the sales of the securities in the applicable prospectus supplement.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 OF DEBT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of Fiserv, Inc. (the “Company”) and Fiserv Funding Unlimited Company (“Fiserv Funding”) may offer debt securities from time to time, and the Company may offer guarantees of the debt securities of Fiserv Funding from time to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debt securities and guarantees of debt securities that the Company or Fiserv Funding may issue in the form of one or more series from time to time, separately, upon exercise of a debt warrant, in connection with a purchase contract or as part of a unit. The applicable prospectus supplement will describe the specific terms of the debt securities and any guarantees of debt securities for the benefit of the series of debt securities to which it relates offered through that prospectus supplement as well as any general terms described in this section that will not apply to those debt securities or guarantees, as applicable.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 the Company will be issued under an indenture among the Company and U.S. Bank Trust Company, National Association (as successor in interest to U.S. Bank National Association), as trustee. The debt securities of Fiserv Funding will be issued under an indenture among Fiserv Funding, the Company, as guarantor, and U.S. Bank Trust Company, National Association, as trustee. Debt securities issued by Fiserv Funding will be fully and unconditionally guaranteed by the Company under Fiserv Funding’s indenture. This prospectus refers to each of these indentures individually as an “indenture” and collectively as the “indentures.”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selected provisions of the indentures below. The summary is not complete. The indentures have been filed with the Securities and Exchange Commission as exhibits to the registration statement of which this prospectus is a part, and you should read the indentures for provisions that may be important to you Whenever we refer in this prospectus or in the prospectus supplement to particular defined terms of an indenture, those defined terms are incorporated by reference herein or therein. Capitalized terms used in the summary have the meanings specified in the applicable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Each indenture provides that debt securities in separate series may be issued under such indenture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applicable indenture.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set forth or describe the following terms of each series of such debt securities:</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securities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that the debt securities will bear and the interest payment dates for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w:t>
      </w:r>
    </w:p>
    <w:p>
      <w:pPr>
        <w:spacing w:after="0" w:line="130" w:lineRule="exact"/>
        <w:rPr>
          <w:rFonts w:ascii="Times New Roman" w:cs="Times New Roman" w:eastAsia="Times New Roman" w:hAnsi="Times New Roman"/>
          <w:sz w:val="18"/>
          <w:szCs w:val="18"/>
          <w:color w:val="auto"/>
        </w:rPr>
      </w:pPr>
    </w:p>
    <w:p>
      <w:pPr>
        <w:jc w:val="center"/>
        <w:ind w:left="5580" w:right="1340" w:hanging="4924"/>
        <w:spacing w:after="0" w:line="454" w:lineRule="auto"/>
        <w:tabs>
          <w:tab w:leader="none" w:pos="10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periods within which, and terms upon which, the debt securities may be redeemed, in whole or in part, at our option; 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the issuer of the debt securities to repurchase or otherwise redeem the debt securities;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 and any changes or additions to the indenture’s defeasance provisions;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the Company’s common stock or other securities or property and, if so, the terms and conditions upon which conversion will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indentures do not limit the amount of debt securities that may be issued. The indentures allow debt securities to be issued up to the principal amount that we may authorize and may be in any currency or currency unit we designate.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Debt securities, including Original Issue Discount Securities (as defined in the applicable indenture), may be sold at a substantial discount below their principal amount. Special U.S. federal income tax considerations applicable to debt securities sold at an original issue discount may be described in the applicable prospectus supplement. In addition, special U.S. federal income tax or other considerations applicable to any debt securities that are denominated in a currency or currency unit other than U.S. dollars may be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any guarantees of debt securities for the benefit of the series of debt securities to which it relates. Debt securities issued by Fiserv Funding will be guaranteed by the Company. Any such guarantees will be on a full and unconditional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Company’s debt securities may be converted into the Company’s common stock or other securities or property, if at all, according to the terms and conditions of an applicable prospectus supplement. Such terms will include the conversion price, the conversion period, provisions as to whether conversion will be at our option or the option of the holders of such series of debt securities, the events requiring an adjustment of the conversion price, and provisions affecting conversion in the event of the redemption of such series of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issuer and the guarantor (if any) of any series of debt securities may not consolidate with or merge into any person, and may not permit any person to consolidate or merge with it, and the Company may not transfer, lease or otherwise dispose all or substantially all of its assets to any person, unless:</w:t>
      </w:r>
    </w:p>
    <w:p>
      <w:pPr>
        <w:spacing w:after="0" w:line="81" w:lineRule="exact"/>
        <w:rPr>
          <w:sz w:val="20"/>
          <w:szCs w:val="20"/>
          <w:color w:val="auto"/>
        </w:rPr>
      </w:pPr>
    </w:p>
    <w:p>
      <w:pPr>
        <w:ind w:left="1080" w:right="1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(if any) is a corporation, limited liability company, partnership, trust or other entity organized and validly existing under the laws of any domestic jurisdiction or specified foreign jurisdictions and assumes the obligations of the issuer or the guarantor of the debt securities, as the case may be, with respect to the debt securities or guarantees, as applicable, under the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pro forma effect to the transaction, no event of default, and no event which, after notice or lapse of time or both, would become an event of default, exists;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debt securities delivers to the trustee an officers’ certificate and opinion of counsel stating that the transaction and the related supplemental indenture comply with the applicable provisions of the indenture and all applicable conditions precedent have been satisfied.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each of the following will constitute an event of default under the applicable indenture with respect to debt securities of any series:</w:t>
      </w:r>
    </w:p>
    <w:p>
      <w:pPr>
        <w:spacing w:after="0" w:line="67"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that is not cured within 30 days;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debt security of that series, that is not cured within 30 days;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the other covenants in such indenture (other than a covenant included in such indenture solely for the benefit of a series other than that series or that is not made applicable to that series), that is not cured within 90 days after written notice has been given by the trustee, or the holders of at least 25% in principal amount of the outstanding debt securities of that series, as provided in such indenture; or</w:t>
      </w:r>
    </w:p>
    <w:p>
      <w:pPr>
        <w:spacing w:after="0" w:line="85"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the Company, the issuer of the debt securities (if not the Company) or any of the Company’s significant subsidiaries.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with respect to the debt securities of any series at the time outstanding occurs and is continuing, either the trustee by notice to the issuer of such debt securities or the holders of at least 25% in principal amount of the outstanding debt securities of that series by notice to the issuer of such debt securities and the trustee may declare the principal amount of the debt securities of that series (or, in the case of any Original Issue Discount Security, such portion of the principal amount of such security as may be specified in the terms of such security) to be due and payable immediately. If an event of default described in clause (5)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 Modification and Waiver” below.</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the provisions of an indenture relating to the duties of the trustee in case an event of default has occurred and is continuing, the trustee will be under no obligation to exercise any of its rights or powers under that indenture at the request or direction of any of the holders of debt securities, unless such holders have offered to the trustee reasonable indemnity.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under the applicable indenture, or for the appointment of a receiver or a trustee, or for any other remedy under the applicable indenture, unless:</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gives the trustee written notice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the outstanding debt securities of that series made a written request to pursue the remedy, and such holders have offered reasonable indemnity, to the trustee for losses incurred in connection with pursuit of the remedy; and</w:t>
      </w:r>
    </w:p>
    <w:p>
      <w:pPr>
        <w:spacing w:after="0" w:line="45"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the request, and does not receive from the holders of a majority in principal amount of the outstanding debt securities of that series a direction inconsistent with such request, within 60 days after such notice, request and offer.</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However, such limitations do not apply to a suit instituted by a holder of a debt security to enforce the payment of the principal of or any premium or interest on such debt security on or after the applicable due date specified in such debt security or, if applicable, to convert such debt security.</w:t>
      </w:r>
    </w:p>
    <w:p>
      <w:pPr>
        <w:spacing w:after="0" w:line="14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issuer of any debt securities will be required to furnish to the trustee annually a statement by certain of its officers as to whether or not such issuer, to its knowledge, is in default in the performance or observance of any of the terms, provisions and conditions of the applicable indenture and, if so, specifying all such known defaults.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prospectus supplement, modifications and amendments of the applicable indenture may be made by the issuer thereunder, the guarantor (if any), and the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85"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any premium or interest on, any debt security;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any conversion right with respect to any debt securities in a manner adverse to the holders of such debt securities;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amendment or waiver;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any series of debt securities.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holders of a majority in principal amount of the outstanding debt securities of any series may waive compliance with certain restrictive provisions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applicable indenture. The holders of a majority in principal amount of the outstanding debt securities of any series may also waive any past default under the applicable indenture, except a default:</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premium or interest or the payment of any redemption, purchase or repurchase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the failure to convert any debt security in accordance with the applicable indenture; or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certain covenants and provisions of the applicable indenture which cannot be amended without the consent of the holder of each outstanding debt security of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applicable indenture will be discharged and will cease to be of further effect as to any series of debt securities (except as to any surviving rights of registration of transfer or exchange of debt securities expressly provided for in the applicable indenture or any other surviving rights expressly provided for in any applicable supplemental indenture) when:</w:t>
      </w:r>
    </w:p>
    <w:p>
      <w:pPr>
        <w:spacing w:after="0" w:line="8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that have been authenticated (except lost, stolen or destroyed debt securities that have been replaced or paid and debt securities for whose payment money has theretofore been deposited in trust and thereafter repaid to the issuer of such debt securities)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1540" w:right="20" w:hanging="331"/>
        <w:spacing w:after="0" w:line="277" w:lineRule="auto"/>
        <w:tabs>
          <w:tab w:leader="none" w:pos="15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debt securities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the issuer of such debt securities has deposited with the trustee as trust funds U.S. dollars or U.S. government obligations in an amount sufficient, to pay the entire indebtedness of such debt securities not delivered to the trustee for cancellation, for principal, premium, if any, and accrued interest to the stated maturity or redemption date;</w:t>
      </w:r>
    </w:p>
    <w:p>
      <w:pPr>
        <w:spacing w:after="0" w:line="73"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debt securities and the guarantor thereof (if any) have paid or caused to be paid all other sums payable by such issuer or such guarantor under the indenture;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debt securities has delivered an officers’ certificate and an opinion of counsel to the trustee stating that it has satisfied all conditions precedent to satisfaction and discharge of the indenture with respect to the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issuer of any series of debt securities and the guarantor thereof (if any) will be discharged from all of their obligations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such series of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90" w:lineRule="exact"/>
        <w:rPr>
          <w:sz w:val="20"/>
          <w:szCs w:val="20"/>
          <w:color w:val="auto"/>
        </w:rPr>
      </w:pPr>
    </w:p>
    <w:p>
      <w:pPr>
        <w:ind w:left="1080" w:hanging="532"/>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debt securities has delivered to the trustee an opinion of counsel to the effect that it has received from, or there has been published by, the U.S.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(5) under “— Events of Default,” at any time until 90 days after such deposit;</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defeasance will not result in a breach or violation of, or constitute a default under, any agreement or instrument to which the issuer of the debt securities or the guarantor thereof (if any) is a party or by which they are bound; and</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debt securities has delivered to the trustee an opinion of counsel to the effect that such defeasance will not cause the trustee or the trust so created to be subject to the Investment Company Act of 1940.</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Each indenture provides that the applicable issuer may elect, at its option, that the failure to comply with certain restrictive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(but not to conversion, if applicable), including those that may be described in the applicable prospectus supplement, and the occurrence of certain events of default which are described above in clause (4) under “— Events of Default” and any that may be described in the applicable prospectus supplement, will not be deemed to either be or result in an event of default with respect to such debt securities. In order to exercise such option, the applicable issuer must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 and such debt securities. Such covenant defeasance may occur only if the applicable issuer has delivered to the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under the heading —“Legal Defeasance and Covenant Defeasance” above are satisfied. If the applicable issuer exercises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the applicable issuer and the guarantor (if any) would remain liable for such payments.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the debt securities and the guarantees will be governed by, and construed in accordance with,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Company’s capital stock summarizes general terms and provisions that apply to the Company’s capital stock. Because this is only a summary it does not contain all of the information that may be important to you. The summary is subject to and qualified in its entirety by reference to the Company’s articles of incorporation and by-laws, which are filed as exhibits to the registration statement of which this prospectus is a part and incorporated by reference into this prospectus. See “Where You Can Find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Company’s authorized capital stock consists of 1,800,000,000 shares of common stock, $0.01 par value per share, and 25,000,000 shares of preferred stock, no par value per share. The Company will disclose in an applicable prospectus supplement the number of shares of the Company’s common stock then outstanding. As of the date of this prospectus, no shares of the Company’s preferred stock were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Section 180.1150 of the Wisconsin Business Corporation Law (described below under “— Statutory Provisions”), holders of the Company’s common stock are entitled to one vote for each share of common stock held by them on all matters properly presented to shareholders. Subject to the prior rights of the holders of any shares of the Company’s preferred stock that are outstanding, the Company’s board of directors may at its discretion declare and pay dividends on the Company’s common stock out of the Company’s earnings or assets legally available for the payment of dividends. Subject to the prior rights of the holders of any shares of the Company’s preferred stock that are outstanding, if the Company is liquidated, any amounts remaining after the discharge of outstanding indebtedness will be paid pro rata to the holders of the Company’s common stock. Holders of the Company’s common stock have no preemptive, subscription, redemption or conversion rights. The rights, preferences and privileges of holders of the Company’s common stock are subject to, and may be adversely affected by, the rights of the holders of shares of any series of preferred stock that the Company may designate and issue in the future.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Company’s board of directors is authorized to issue the Company’s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offers preferred stock, the Company will file the terms of the preferred stock with the SEC and the prospectus supplement relating to that offering will include a description of the specific terms of the offering, including the following specific terms:</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the number of shares offered and the liquidation value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the dates on which the dividends will be payable and other terms relating to the payment of dividends on the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is redeemable or subject to a sinking fund, and the terms of any such redemption or sinking fund;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is convertible or exchangeable for any other securities, and the terms of any such conversion;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preferred stock.</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shares of preferred stock upon the rights of holders of the Company’s common stock until the board of directors determines the specific rights of the holders of the preferred stock. However, these effects might include:</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Statutory Provisions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180.1150 of the Wisconsin Business Corporation Law provides that the voting power of public Wisconsin corporations such as the Company held by any person or persons acting as a group in excess of 20% of the Company’s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the Company and a significant shareholder, unless the board of directors of the corporation approves the business combination or the shareholder’s acquisition of shares before these shares are acquired.</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at its option, elect to offer fractional interests in shares of preferred stock rather than a full share of preferred stock. In that event, depositary receipts will be issued for depositary shares, each of which will represent a fraction of a share of a particular class or series of preferred stock, as described in the applicable prospectus supplement.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series of preferred stock represented by depositary shares will be deposited under a deposit agreement between Fiserv, Inc. and the depositary. The prospectus supplement relating to a series of depositary shares will set forth the name and address of the depositary for the depositary shares and summarize the material provisions of the deposit agreement. Subject to the terms of the deposit agreement, each owner of a depositary share will be entitled, in proportion to the applicable fraction of a share of preferred stock represented by such depositary share, to all the rights and preferences of the preferred stock represented by such depositary share, including dividend and liquidation rights and any right to convert or exchange the preferred stock into other securities.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describe the particular terms of any depositary shares the Company offers in the applicable prospectus supplement. You should review the documents pursuant to which the depositary shares will be issued, which will be described in more detail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may issue warrants for the purchase of debt securities, preferred stock, common stock or other securities.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the Company and a bank or trust company, as warrant agent, all as will be set forth in the prospectus supplement relating to the particular issue of warrants. The warrant agent will act solely as the Company’s agent in connection with the warrants and will not assume any obligation or relationship of agency or trust for or with any holders of warrants or beneficial owners of warrants.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67" w:lineRule="exact"/>
        <w:rPr>
          <w:sz w:val="20"/>
          <w:szCs w:val="20"/>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currencies, denominations and terms of the series of debt securities purchasable upon exercise of warrants to purchase debt securities and the price at which such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purchasable upon the exercise of warrants to purchase common stock and the price at which such number of shares of common stock may be purchased upon such exercise;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purchasable upon the exercise of warrants to purchase preferred stock and the price at which such number of shares of such series of preferred stock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units of other securities purchasable upon the exercise of warrants to purchase other securities and the price at which such number of units of such other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applicable to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outstanding as of the most recent practicable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Warrants will be issued in registered form only. The exercise price for warrants will be subject to adjustment in accordance with provisions described in the applicable prospectus supplement. Each warrant will entitle the holder thereof to purchase such principal amount of debt securities or such number of shares of preferred stock, common stock or other securities at such exercise price as will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the Company, unexercised warrants will become void. The place or places where, and the manner in which, warrants may be exercised will be specified in the prospectus supplement relating to such warrants.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debt securities, preferred stock, common stock or other securities, holders of such warrants will not have any of the rights of holders of debt securities, preferred stock, common stock or other securities, as the case may be, purchasable upon such exercise, including the right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receive payments of principal of, premium, if any, or interest, if any, on the debt securities purchasable upon such exercise or to enforce covenants in the indenture, or to receive payments of dividends, if any, on the preferred stock, or common stock purchasable upon such exercise, or to exercise any applicable right to vote.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issue purchase contracts for the purchase or sale of the Company’s debt securities or the Company’s equity securities or securities of third parties including any of the Company’s affiliates, a basket of such securities, an index or indices of such securities or any combination of the above as specified in the applicable prospectus supplement.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may issue purchase contracts obligating holders to purchase from the Company, and obligating the Company to sell to holders, at a future date, a specified or varying number of securities at a purchase price, which may be based on a formula. Alternatively, the Company may issue purchase contracts obligating the Company to purchase from holders, and obligating holders to sell to the Company, at a future date, a specified or varying number of securities at a purchase price, which may be based on a formula. The Company may satisfy the Company’s obligations, if any, with respect to any purchase contract by delivering the subject securities or by delivering the cash value of such purchase contract or the cash value of the property otherwise deliverable, as set forth in the applicable prospectus supplement. The applicable prospectus supplement will specify the methods by which the holders may purchase or sell such securities and any acceleration, cancellation or termination provisions or other provisions relating to the settlement of a purchase contract.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purchase contracts may require the Company to make periodic payments to the holders thereof or vice versa, and these payments may be unsecured or prefunded and may be paid on a current or deferred basis. The purchase contracts may require holders thereof to secure their obligations under the contracts in a specified manner to be described in the applicable prospectus supplement. Alternatively, purchase contracts may require holders to satisfy their obligations thereunder when the purchase contracts are issued as described in the applicable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units comprised of one or more of the other securities described in this prospectus in any combination. Each unit may also include debt obligations or other securities of third parties not affiliated with us, such as U.S. Treasury securities. Each unit will be issued so that the holder of the unit is also the holder of each security included in the unit. Thus, the holder of a unit will have the rights and obligations of a holder of each included security. The applicable unit agreement under which a unit is issued may provide that the securities included in the unit may not be held or transferred separately, at any time or any time before a specified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terms of the units offered pursuant to it, including one or more of the following:</w:t>
      </w:r>
    </w:p>
    <w:p>
      <w:pPr>
        <w:spacing w:after="0" w:line="131" w:lineRule="exact"/>
        <w:rPr>
          <w:sz w:val="20"/>
          <w:szCs w:val="20"/>
          <w:color w:val="auto"/>
        </w:rPr>
      </w:pPr>
    </w:p>
    <w:p>
      <w:pPr>
        <w:ind w:left="1080" w:right="3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agreements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preceding description and any description of units in the applicable prospectus supplement does not purport to be complete and is subject to and is qualified in its entirety by reference to each unit agreement and, if applicable, collateral arrangements relating to such units.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may register shares of common stock covered by this prospectus for re-offers and resales by any selling shareholders to be named in a prospectus supplement. Because the Company is a well-known seasoned issuer, as defined in Rule 405 of the Securities Act of 1933, as amended (the “Securities Act”), the Company may add secondary sales of shares of the Company’s common stock by any selling shareholders by filing a prospectus supplement with the SEC. The Company may register these shares to permit selling shareholders to resell their shares when they deem appropriate. A selling shareholder may resell all, a portion or none of such shareholder’s shares at any time and from time to time. Selling shareholders may also sell, transfer or otherwise dispose of some or all of their shares of the Company’s common stock in transactions exempt from the registration requirements of the Securities Act. The Company does not know when or in what amounts the selling shareholders may offer shares for sale under this prospectus and any prospectus supplement. The Company will not receive any proceeds from any sale of shares by a selling shareholder under this prospectus and any prospectus supplement. The Company may pay all expenses incurred with respect to the registration of the shares of common stock owned by the selling shareholders, other than underwriting fees, discounts or commissions, which will be borne by the selling shareholders. The Company will provide you with a prospectus supplement naming the selling shareholders, the amount of shares to be registered and sold and any other terms of the shares of common stock being sold by each selling shareholder.</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of the Company and Fiserv Funding may sell its securities, and any selling shareholder may sell shares of the Company’s common stock, in any one or more of the following ways from time to time: (i) through agents; (ii) to or through underwriters; (iii) through brokers or dealers; (iv) directly by us or any selling shareholders to purchasers, including through a specific bidding, auction or other process; or (v) through a combination of any of these methods of sale. The applicable prospectus supplement will contain the terms of the transaction, name or names of any underwriters, dealers, agents and the respective amounts of securities underwritten or purchased by them, the initial public offering price of the securities, and the applicable agent’s commission, dealer’s purchase price or underwriter’s discount. Any selling shareholders, dealers and agents participating in the distribution of the securities may be deemed to be underwriters, and compensation received by them on resale of the securities may be deemed to be underwriting discounts. Additionally, because selling shareholders may be deemed to be “underwriters” within the meaning of Section 2(11) of the Securities Act, selling shareholders may be subject to the prospectus delivery requirements of the Securities Act.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initial offering price, dealer purchase price, discount or commission may be changed from time to time.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any selling shareholder or by agents designated by us from time to time. Any such agent may be deemed to be an underwriter, as that term is defined in the Securities Act, of the securities so offered and sold.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they purchase any of them.</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the Company or Fiserv Funding, as applicable, will sell such securities, and any selling shareholder will sell shares of the Company’s common stock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 In addition, any selling shareholder may sell shares of the Company’s common stock in ordinary brokerage transactions or in transactions in which a broker solicits purchases.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the Company or Fiserv Funding or by any selling shareholder and the sale thereof may be made by the Company or Fiserv Funding or by any selling shareholder directly to institutional investors or others, who may be deemed to be underwriters within the meaning of the Securities Act with respect to any resale thereof.</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selling shareholders may also resell all or a portion of their shares of the Company’s common stock in transactions exempt from the registration requirements of the Securities Act in reliance upon Rule 144 under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Securities Act provided they meet the criteria and conform to the requirements of that rule, Section 4(1) of the Securities Act or other applicable exemptions, regardless of whether the securities are covered by the registration statement of which this prospectus forms a part.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any selling shareholder may authorize agents and underwriters to solicit offers by certain institutions to purchase securities from us or any selling shareholder at the public offering price set forth in the applicable prospectus supplement pursuant to delayed delivery contracts providing for payment and delivery on the date or dates stated in the applicable prospectus supplement. Such delayed delivery contracts will be subject only to those conditions set forth in the applicable prospectus supplement.</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Agents, underwriters and dealers may be entitled under relevant agreements with the Company or Fiserv Funding or any selling shareholder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 applicable prospectus supplement. The Company may pay all expenses incurred with respect to the registration of the shares of common stock owned by any selling shareholders, other than underwriting fees, discounts or commissions, which will be borne by the selling shareholders.</w:t>
      </w:r>
    </w:p>
    <w:p>
      <w:pPr>
        <w:spacing w:after="0" w:line="168"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Company or any selling shareholder may also sell shares of the Company’s common stock through various arrangements involving mandatorily or optionally exchangeable securities, and this prospectus may be delivered in connection with those sales.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Fiserv Funding or any selling shareholder may enter into derivative, sale or forward sale transactions with third parties, or sell securities not covered by this prospectus to third parties in privately negotiated transactions. If the applicable prospectus supplement indicates, in connection with those transactions, the third parties may sell securities covered by this prospectus and the applicable prospectus supplement, including in short sale transactions and by issuing securities not covered by this prospectus but convertible into, or exchangeable for or representing beneficial interests in such securities covered by this prospectus, or the return of which is derived in whole or in part from the value of such securities. The third parties may use securities received under derivative, sale or forward sale transactions, or securities pledged by us or any selling shareholder or borrowed from us, any selling shareholder or others to settle those sales or to close out any related open borrowings of stock, and may use securities received from us or any selling shareholder in settlement of those transactions to close out any related open borrowings of stock. The third party in such sale transactions will be an underwriter and will be identified in the applicable prospectus supplement (or a post-effective amendment).</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any selling shareholder may engage in hedging transactions with broker-dealers in connection with distributions of shares or otherwise. In those transactions, broker-dealers may engage in short sales of shares in the course of hedging the positions they assume with such selling shareholder. Any selling shareholder also may sell shares short and redeliver shares to close out such short positions. Any selling shareholder may also enter into option or other transactions with broker-dealers which require the delivery of shares to the broker-dealer. The broker-dealer may then resell or otherwise transfer such shares pursuant to this prospectus. Any selling shareholder also may loan or pledge shares, and the borrower or pledgee may sell or otherwise transfer the shares so loaned or pledged pursuant to this prospectus. Such borrower or pledgee also may transfer those shares to investors in our securities or the selling shareholder’s securities or in connection with the offering of other securities not covered by this prospectus.</w:t>
      </w:r>
    </w:p>
    <w:p>
      <w:pPr>
        <w:spacing w:after="0" w:line="18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receive compensation in the form of commissions, discounts or concessions from us or any selling shareholder.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broker-dealers engaged by us or any selling shareholder may arrange for other broker-dealers to participate in the resales.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securities offered other than common stock will be a new issue and, other than the common stock, which is listed on the New York Stock Exchange, will have no established trading market. We may elect to list any series of securities on an exchange, and in the case of the common stock, on any additional exchange, but, unless otherwise specified in the applicable prospectus supplement, we shall not be obligated to do so. No assurance can be given as to the liquidity of the trading market for any of the securities.</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the Company, its subsidiaries (including Fiserv Funding), or any selling shareholder in the ordinary course of business.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Securities Exchange Act of 1934, as amended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New York Stock Exchange, in the over-the-counter market or otherwise.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place and time of delivery for securities will be set forth in the accompanying prospectus supplement for such securities.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also filed a registration statement on Form S-3, including exhibits, under the Securities Act with respect to the securities offered by this prospectus. This prospectus is a part of the registration statement, but does not contain all of the information included in the registration statement or the exhibits. The SEC maintains a website, www.sec.gov, that contains reports, proxy and information statements and other information regarding issuers that file electronically with the SEC.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“incorporating by reference” specified documents that we file with the SEC, which means:</w:t>
      </w:r>
    </w:p>
    <w:p>
      <w:pPr>
        <w:spacing w:after="0" w:line="13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documents are considered part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disclosing important information to you by referring you to those documents;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we file with the SEC will automatically update and supersede information contained in this prospectus.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Sections 13(a), 13(c), 14 or 15(d) of the Exchange Act after the date of this prospectus and before the end of the offering of the securities pursuant to this prospectus:</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as filed with the SEC on </w:t>
      </w:r>
      <w:hyperlink r:id="rId120">
        <w:r>
          <w:rPr>
            <w:rFonts w:ascii="Times New Roman" w:cs="Times New Roman" w:eastAsia="Times New Roman" w:hAnsi="Times New Roman"/>
            <w:sz w:val="18"/>
            <w:szCs w:val="18"/>
            <w:u w:val="single" w:color="auto"/>
            <w:color w:val="0000EE"/>
          </w:rPr>
          <w:t>January 23, 2025</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2">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w:t>
      </w:r>
      <w:hyperlink r:id="rId12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our 2025 annual meeting filed with the SEC on April 2, 2025 that is incorporated by reference into our Annual Report on </w:t>
      </w:r>
      <w:hyperlink r:id="rId1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162" w:lineRule="exact"/>
        <w:rPr>
          <w:rFonts w:ascii="Times New Roman" w:cs="Times New Roman" w:eastAsia="Times New Roman" w:hAnsi="Times New Roman"/>
          <w:sz w:val="18"/>
          <w:szCs w:val="18"/>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Notwithstanding the foregoing, documents or portions thereof containing information furnished under Items 2.02 and 7.01 of any Current Report on Form 8-K, including the related exhibits under Item 9.01, are not incorporated by reference in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any of these filings, at no cost, by request directed to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600 N. Vel R. Phillips Avenue</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Milwaukee, Wisconsin 53203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879-5000</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Secretary</w:t>
      </w:r>
    </w:p>
    <w:p>
      <w:pPr>
        <w:spacing w:after="0" w:line="207" w:lineRule="exact"/>
        <w:rPr>
          <w:rFonts w:ascii="Times New Roman" w:cs="Times New Roman" w:eastAsia="Times New Roman" w:hAnsi="Times New Roman"/>
          <w:sz w:val="18"/>
          <w:szCs w:val="18"/>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can also find these filings on our website at www.fiserv.com. We are not incorporating the information on our website other than these filings into this prospectus.</w:t>
      </w:r>
    </w:p>
    <w:p>
      <w:pPr>
        <w:spacing w:after="0" w:line="162" w:lineRule="exact"/>
        <w:rPr>
          <w:rFonts w:ascii="Times New Roman" w:cs="Times New Roman" w:eastAsia="Times New Roman" w:hAnsi="Times New Roman"/>
          <w:sz w:val="18"/>
          <w:szCs w:val="18"/>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respective date of such documents. Our business, financial condition, results of operations and prospects may have changed since that date.</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Foley &amp; Lardner LLP, Sullivan &amp; Cromwell, LLP, DLA Piper Ireland LLP, and Eric Nelson, the Company’s SVP, General Counsel and Secretary. The validity of the securities offered by this prospectus will be passed upon for any underwriters or agents by counsel named in the applicable prospectus supplement. The opinions of counsel may be conditioned upon and may be subject to assumptions regarding future action required to be taken by us and any underwriters, dealers or agents in connection with the issuance of any securities. The opinions of counsel may be subject to other conditions and assumptions, as indicated in the prospectus supplement.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Fiserv, Inc. incorporated by reference in this prospectus by reference to Fiserv, Inc.’s Annual Report on Form 10-K for the year ended December 31, 2024, and the effectiveness of Fiserv,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344170</wp:posOffset>
            </wp:positionV>
            <wp:extent cx="925830" cy="4540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9258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20"/>
        <w:spacing w:after="0"/>
        <w:tabs>
          <w:tab w:leader="none" w:pos="4860" w:val="left"/>
        </w:tabs>
        <w:rPr>
          <w:sz w:val="20"/>
          <w:szCs w:val="20"/>
          <w:color w:val="auto"/>
        </w:rPr>
      </w:pPr>
      <w:r>
        <w:rPr>
          <w:rFonts w:ascii="Times New Roman" w:cs="Times New Roman" w:eastAsia="Times New Roman" w:hAnsi="Times New Roman"/>
          <w:sz w:val="25"/>
          <w:szCs w:val="25"/>
          <w:b w:val="1"/>
          <w:bCs w:val="1"/>
          <w:color w:val="auto"/>
        </w:rPr>
        <w:t xml:space="preserve">€       </w:t>
        <w:tab/>
        <w:t>% Senior Notes due 20</w:t>
      </w:r>
    </w:p>
    <w:p>
      <w:pPr>
        <w:spacing w:after="0" w:line="44" w:lineRule="exact"/>
        <w:rPr>
          <w:sz w:val="20"/>
          <w:szCs w:val="20"/>
          <w:color w:val="auto"/>
        </w:rPr>
      </w:pPr>
    </w:p>
    <w:p>
      <w:pPr>
        <w:ind w:left="3920"/>
        <w:spacing w:after="0"/>
        <w:tabs>
          <w:tab w:leader="none" w:pos="4860" w:val="left"/>
        </w:tabs>
        <w:rPr>
          <w:sz w:val="20"/>
          <w:szCs w:val="20"/>
          <w:color w:val="auto"/>
        </w:rPr>
      </w:pPr>
      <w:r>
        <w:rPr>
          <w:rFonts w:ascii="Times New Roman" w:cs="Times New Roman" w:eastAsia="Times New Roman" w:hAnsi="Times New Roman"/>
          <w:sz w:val="25"/>
          <w:szCs w:val="25"/>
          <w:b w:val="1"/>
          <w:bCs w:val="1"/>
          <w:color w:val="auto"/>
        </w:rPr>
        <w:t xml:space="preserve">€       </w:t>
        <w:tab/>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868680</wp:posOffset>
            </wp:positionV>
            <wp:extent cx="1474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Citigroup</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J.P. Morgan</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TD Securities</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Wells Fargo Securities</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BofA Securities</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MUFG</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PNC Capital Markets LLC</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Truist Securities</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US Bancorp</w:t>
      </w:r>
    </w:p>
    <w:p>
      <w:pPr>
        <w:spacing w:after="0" w:line="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Santander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887095</wp:posOffset>
            </wp:positionV>
            <wp:extent cx="1474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262"/>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2"/>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62"/>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lowerLetter"/>
      <w:start w:val="1"/>
    </w:lvl>
    <w:lvl w:ilvl="1">
      <w:lvlJc w:val="left"/>
      <w:lvlText w:val="(%2)"/>
      <w:numFmt w:val="lowerLetter"/>
      <w:start w:val="1"/>
    </w:lvl>
  </w:abstractNum>
  <w:abstractNum w:abstractNumId="22">
    <w:nsid w:val="3855585C"/>
    <w:multiLevelType w:val="hybridMultilevel"/>
    <w:lvl w:ilvl="0">
      <w:lvlJc w:val="left"/>
      <w:lvlText w:val="(%1)"/>
      <w:numFmt w:val="lowerLetter"/>
      <w:start w:val="61"/>
    </w:lvl>
    <w:lvl w:ilvl="1">
      <w:lvlJc w:val="left"/>
      <w:lvlText w:val="(%2)"/>
      <w:numFmt w:val="lowerLetter"/>
      <w:start w:val="5"/>
    </w:lvl>
  </w:abstractNum>
  <w:abstractNum w:abstractNumId="23">
    <w:nsid w:val="70A64E2A"/>
    <w:multiLevelType w:val="hybridMultilevel"/>
    <w:lvl w:ilvl="0">
      <w:lvlJc w:val="left"/>
      <w:lvlText w:val="(%1)"/>
      <w:numFmt w:val="lowerLetter"/>
      <w:start w:val="7"/>
    </w:lvl>
  </w:abstractNum>
  <w:abstractNum w:abstractNumId="24">
    <w:nsid w:val="6A2342EC"/>
    <w:multiLevelType w:val="hybridMultilevel"/>
    <w:lvl w:ilvl="0">
      <w:lvlJc w:val="left"/>
      <w:lvlText w:val="(%1)"/>
      <w:numFmt w:val="lowerLetter"/>
      <w:start w:val="19"/>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lvl w:ilvl="1">
      <w:lvlJc w:val="left"/>
      <w:lvlText w:val="•"/>
      <w:numFmt w:val="bullet"/>
      <w:start w:val="1"/>
    </w:lvl>
  </w:abstractNum>
  <w:abstractNum w:abstractNumId="34">
    <w:nsid w:val="38437FDB"/>
    <w:multiLevelType w:val="hybridMultilevel"/>
    <w:lvl w:ilvl="0">
      <w:lvlJc w:val="left"/>
      <w:lvlText w:val="(%1)"/>
      <w:numFmt w:val="lowerRoman"/>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2"/>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lvl w:ilvl="1">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2"/>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1)"/>
      <w:numFmt w:val="decimal"/>
      <w:start w:val="26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jpe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jpe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 Type="http://schemas.openxmlformats.org/officeDocument/2006/relationships/hyperlink" Target="http://www.sec.gov/ix?doc=/Archives/edgar/data/0000798354/000079835426000009/fi-20251231.htm" TargetMode="External"/><Relationship Id="rId14" Type="http://schemas.openxmlformats.org/officeDocument/2006/relationships/hyperlink" Target="http://www.sec.gov/ix?doc=/Archives/edgar/data/0000798354/000079835426000018/fisv-20260331.htm" TargetMode="External"/><Relationship Id="rId15" Type="http://schemas.openxmlformats.org/officeDocument/2006/relationships/hyperlink" Target="http://www.sec.gov/ix?doc=/Archives/edgar/data/0000798354/000119312526060345/d38810d8k.htm" TargetMode="External"/><Relationship Id="rId16" Type="http://schemas.openxmlformats.org/officeDocument/2006/relationships/hyperlink" Target="http://www.sec.gov/ix?doc=/Archives/edgar/data/0000798354/000119312526237041/d140530d8k.htm" TargetMode="External"/><Relationship Id="rId17" Type="http://schemas.openxmlformats.org/officeDocument/2006/relationships/hyperlink" Target="http://www.sec.gov/ix?doc=/Archives/edgar/data/0000798354/000119312526270336/d153349d8k.htm" TargetMode="External"/><Relationship Id="rId18" Type="http://schemas.openxmlformats.org/officeDocument/2006/relationships/hyperlink" Target="http://www.sec.gov/ix?doc=/Archives/edgar/data/0000798354/000114036126013003/ny20062579x1_def14a.htm" TargetMode="External"/><Relationship Id="rId119" Type="http://schemas.openxmlformats.org/officeDocument/2006/relationships/hyperlink" Target="http://www.sec.gov/ix?doc=/Archives/edgar/data/0000798354/000079835425000047/fi-20241231.htm" TargetMode="External"/><Relationship Id="rId120" Type="http://schemas.openxmlformats.org/officeDocument/2006/relationships/hyperlink" Target="http://www.sec.gov/ix?doc=/Archives/edgar/data/798354/000119312525011514/d878275d8k.htm" TargetMode="External"/><Relationship Id="rId121" Type="http://schemas.openxmlformats.org/officeDocument/2006/relationships/hyperlink" Target="http://www.sec.gov/ix?doc=/Archives/edgar/data/0000798354/000119312525055674/d808558d8k.htm" TargetMode="External"/><Relationship Id="rId122" Type="http://schemas.openxmlformats.org/officeDocument/2006/relationships/hyperlink" Target="http://www.sec.gov/ix?doc=/Archives/edgar/data/0000798354/000119312525070953/d892958d8k.htm" TargetMode="External"/><Relationship Id="rId123" Type="http://schemas.openxmlformats.org/officeDocument/2006/relationships/hyperlink" Target="http://www.sec.gov/ix?doc=/Archives/edgar/data/0000798354/000114036125011869/ny20041471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2026-06-16T05:12:53Z</dcterms:created>
  <dcterms:modified xsi:type="dcterms:W3CDTF">2026-06-16T05:12:53Z</dcterms:modified>
</cp:coreProperties>
</file>