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4852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203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Simons Doyle</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FISERV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FISV</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09/30/2019</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6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6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340" w:space="720"/>
            <w:col w:w="3254" w:space="720"/>
            <w:col w:w="3486"/>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BROOKFIELD</w:t>
            </w:r>
          </w:p>
        </w:tc>
        <w:tc>
          <w:tcPr>
            <w:tcW w:w="920" w:type="dxa"/>
            <w:vAlign w:val="bottom"/>
          </w:tcPr>
          <w:p>
            <w:pPr>
              <w:ind w:left="10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53045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0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900" w:type="dxa"/>
            <w:vAlign w:val="bottom"/>
          </w:tcPr>
          <w:p>
            <w:pPr>
              <w:ind w:left="60"/>
              <w:spacing w:after="0" w:line="147" w:lineRule="exact"/>
              <w:rPr>
                <w:sz w:val="20"/>
                <w:szCs w:val="20"/>
                <w:color w:val="auto"/>
              </w:rPr>
            </w:pPr>
            <w:r>
              <w:rPr>
                <w:rFonts w:ascii="Arial" w:cs="Arial" w:eastAsia="Arial" w:hAnsi="Arial"/>
                <w:sz w:val="13"/>
                <w:szCs w:val="13"/>
                <w:color w:val="0000FF"/>
                <w:w w:val="97"/>
              </w:rPr>
              <w:t>Compensation</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20" w:type="dxa"/>
            <w:vAlign w:val="bottom"/>
            <w:vMerge w:val="restart"/>
          </w:tcPr>
          <w:p>
            <w:pPr>
              <w:jc w:val="right"/>
              <w:ind w:right="178"/>
              <w:spacing w:after="0"/>
              <w:rPr>
                <w:sz w:val="20"/>
                <w:szCs w:val="20"/>
                <w:color w:val="auto"/>
              </w:rPr>
            </w:pPr>
            <w:r>
              <w:rPr>
                <w:rFonts w:ascii="Arial" w:cs="Arial" w:eastAsia="Arial" w:hAnsi="Arial"/>
                <w:sz w:val="13"/>
                <w:szCs w:val="13"/>
                <w:color w:val="0000FF"/>
              </w:rPr>
              <w:t>09/30/2019</w:t>
            </w:r>
          </w:p>
        </w:tc>
        <w:tc>
          <w:tcPr>
            <w:tcW w:w="1120" w:type="dxa"/>
            <w:vAlign w:val="bottom"/>
          </w:tcPr>
          <w:p>
            <w:pPr>
              <w:spacing w:after="0"/>
              <w:rPr>
                <w:sz w:val="12"/>
                <w:szCs w:val="12"/>
                <w:color w:val="auto"/>
              </w:rPr>
            </w:pPr>
          </w:p>
        </w:tc>
        <w:tc>
          <w:tcPr>
            <w:tcW w:w="84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233</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21"/>
              <w:spacing w:after="0"/>
              <w:rPr>
                <w:sz w:val="20"/>
                <w:szCs w:val="20"/>
                <w:color w:val="auto"/>
              </w:rPr>
            </w:pPr>
            <w:r>
              <w:rPr>
                <w:rFonts w:ascii="Arial" w:cs="Arial" w:eastAsia="Arial" w:hAnsi="Arial"/>
                <w:sz w:val="11"/>
                <w:szCs w:val="11"/>
                <w:color w:val="008000"/>
              </w:rPr>
              <w:t>(1)</w:t>
            </w:r>
          </w:p>
        </w:tc>
        <w:tc>
          <w:tcPr>
            <w:tcW w:w="720" w:type="dxa"/>
            <w:vAlign w:val="bottom"/>
          </w:tcPr>
          <w:p>
            <w:pPr>
              <w:ind w:left="8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100"/>
              <w:spacing w:after="0"/>
              <w:rPr>
                <w:sz w:val="20"/>
                <w:szCs w:val="20"/>
                <w:color w:val="auto"/>
              </w:rPr>
            </w:pPr>
            <w:r>
              <w:rPr>
                <w:rFonts w:ascii="Arial" w:cs="Arial" w:eastAsia="Arial" w:hAnsi="Arial"/>
                <w:sz w:val="17"/>
                <w:szCs w:val="17"/>
                <w:color w:val="0000FF"/>
              </w:rPr>
              <w:t>233</w:t>
            </w:r>
          </w:p>
        </w:tc>
        <w:tc>
          <w:tcPr>
            <w:tcW w:w="700" w:type="dxa"/>
            <w:vAlign w:val="bottom"/>
            <w:vMerge w:val="restart"/>
          </w:tcPr>
          <w:p>
            <w:pPr>
              <w:ind w:left="8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103.59</w:t>
            </w:r>
            <w:r>
              <w:rPr>
                <w:rFonts w:ascii="Arial" w:cs="Arial" w:eastAsia="Arial" w:hAnsi="Arial"/>
                <w:sz w:val="22"/>
                <w:szCs w:val="22"/>
                <w:color w:val="008000"/>
                <w:w w:val="93"/>
                <w:vertAlign w:val="superscript"/>
              </w:rPr>
              <w:t>(1)</w:t>
            </w:r>
          </w:p>
        </w:tc>
        <w:tc>
          <w:tcPr>
            <w:tcW w:w="980" w:type="dxa"/>
            <w:vAlign w:val="bottom"/>
            <w:vMerge w:val="restart"/>
          </w:tcPr>
          <w:p>
            <w:pPr>
              <w:ind w:left="320"/>
              <w:spacing w:after="0"/>
              <w:rPr>
                <w:sz w:val="20"/>
                <w:szCs w:val="20"/>
                <w:color w:val="auto"/>
              </w:rPr>
            </w:pPr>
            <w:r>
              <w:rPr>
                <w:rFonts w:ascii="Arial" w:cs="Arial" w:eastAsia="Arial" w:hAnsi="Arial"/>
                <w:sz w:val="13"/>
                <w:szCs w:val="13"/>
                <w:color w:val="0000FF"/>
              </w:rPr>
              <w:t>39,394</w:t>
            </w:r>
          </w:p>
        </w:tc>
        <w:tc>
          <w:tcPr>
            <w:tcW w:w="7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00" w:type="dxa"/>
            <w:vAlign w:val="bottom"/>
            <w:vMerge w:val="restart"/>
          </w:tcPr>
          <w:p>
            <w:pPr>
              <w:ind w:left="60"/>
              <w:spacing w:after="0"/>
              <w:rPr>
                <w:sz w:val="20"/>
                <w:szCs w:val="20"/>
                <w:color w:val="auto"/>
              </w:rPr>
            </w:pPr>
            <w:r>
              <w:rPr>
                <w:rFonts w:ascii="Arial" w:cs="Arial" w:eastAsia="Arial" w:hAnsi="Arial"/>
                <w:sz w:val="13"/>
                <w:szCs w:val="13"/>
                <w:color w:val="0000FF"/>
              </w:rPr>
              <w:t>Notional</w:t>
            </w:r>
          </w:p>
        </w:tc>
        <w:tc>
          <w:tcPr>
            <w:tcW w:w="80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9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20" w:firstLine="7"/>
        <w:spacing w:after="0" w:line="24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September 30, 2019 in respect of $24,038 of deferred compensation. The number of notional units credited is calculated by dividing the amount of compensation that is deferred by the closing price of the company's common stock on the date of deferral, or last business day prior. On September 30, 2019, the closing price of Fiserv's common stock was $103.59 per share. Following cessation of the reporting person's service to the company, each notional unit will be settled in shares of Fiserv common stock on a one-for-one basis.</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0" w:lineRule="auto"/>
        <w:rPr>
          <w:sz w:val="20"/>
          <w:szCs w:val="20"/>
          <w:color w:val="auto"/>
        </w:rPr>
      </w:pPr>
      <w:r>
        <w:rPr>
          <w:rFonts w:ascii="Arial" w:cs="Arial" w:eastAsia="Arial" w:hAnsi="Arial"/>
          <w:sz w:val="17"/>
          <w:szCs w:val="17"/>
          <w:color w:val="0000FF"/>
        </w:rPr>
        <w:t xml:space="preserve">/s/ Lynn S. McCreary (attorney- </w:t>
      </w:r>
      <w:r>
        <w:rPr>
          <w:rFonts w:ascii="Arial" w:cs="Arial" w:eastAsia="Arial" w:hAnsi="Arial"/>
          <w:sz w:val="34"/>
          <w:szCs w:val="34"/>
          <w:color w:val="0000FF"/>
          <w:vertAlign w:val="subscript"/>
        </w:rPr>
        <w:t>10/01/2019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-27940</wp:posOffset>
            </wp:positionV>
            <wp:extent cx="14090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90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-17145</wp:posOffset>
            </wp:positionV>
            <wp:extent cx="323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23850"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1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pacing w:after="0" w:line="45"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5922"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2019-12-24T04:58:02Z</dcterms:created>
  <dcterms:modified xsi:type="dcterms:W3CDTF">2019-12-24T04:58:02Z</dcterms:modified>
</cp:coreProperties>
</file>