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tbl>
      <w:tblPr>
        <w:tblW w:w="9462" w:type="dxa"/>
        <w:jc w:val="left"/>
        <w:tblInd w:w="0" w:type="dxa"/>
        <w:tblLayout w:type="fixed"/>
        <w:tblCellMar>
          <w:top w:w="28" w:type="dxa"/>
          <w:left w:w="28" w:type="dxa"/>
          <w:bottom w:w="28" w:type="dxa"/>
          <w:right w:w="28" w:type="dxa"/>
        </w:tblCellMar>
      </w:tblPr>
      <w:tblGrid>
        <w:gridCol w:w="124"/>
        <w:gridCol w:w="109"/>
        <w:gridCol w:w="109"/>
        <w:gridCol w:w="1420"/>
        <w:gridCol w:w="1420"/>
        <w:gridCol w:w="1420"/>
        <w:gridCol w:w="1420"/>
        <w:gridCol w:w="1420"/>
        <w:gridCol w:w="2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13 OR 15(d) OF THE SECURITIES EXCHANGE ACT OF 1934</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r>
    </w:tbl>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p>
            <w:pPr>
              <w:pStyle w:val="TableContents"/>
              <w:bidi w:val="0"/>
              <w:spacing w:lineRule="auto" w:line="240" w:before="60" w:after="283"/>
              <w:jc w:val="left"/>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tc>
      </w:tr>
    </w:tbl>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1-38962 </w:t>
      </w:r>
    </w:p>
    <w:p>
      <w:pPr>
        <w:pStyle w:val="TextBody"/>
        <w:bidi w:val="0"/>
        <w:spacing w:lineRule="auto" w:line="288" w:before="60" w:after="283"/>
        <w:jc w:val="center"/>
        <w:rPr>
          <w:rFonts w:ascii="Times New Roman;serif" w:hAnsi="Times New Roman;serif"/>
          <w:b w:val="false"/>
          <w:color w:val="000000"/>
          <w:sz w:val="36"/>
        </w:rPr>
      </w:pPr>
      <w:r>
        <w:rPr>
          <w:rFonts w:ascii="Times New Roman;serif" w:hAnsi="Times New Roman;serif"/>
          <w:b w:val="false"/>
          <w:color w:val="000000"/>
          <w:sz w:val="36"/>
        </w:rPr>
        <w:t xml:space="preserve">Fiserv,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85" w:type="dxa"/>
        <w:jc w:val="left"/>
        <w:tblInd w:w="0" w:type="dxa"/>
        <w:tblLayout w:type="fixed"/>
        <w:tblCellMar>
          <w:top w:w="28" w:type="dxa"/>
          <w:left w:w="28" w:type="dxa"/>
          <w:bottom w:w="28" w:type="dxa"/>
          <w:right w:w="28" w:type="dxa"/>
        </w:tblCellMar>
      </w:tblPr>
      <w:tblGrid>
        <w:gridCol w:w="943"/>
        <w:gridCol w:w="831"/>
        <w:gridCol w:w="835"/>
        <w:gridCol w:w="109"/>
        <w:gridCol w:w="109"/>
        <w:gridCol w:w="109"/>
        <w:gridCol w:w="481"/>
        <w:gridCol w:w="481"/>
        <w:gridCol w:w="687"/>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39-1506125</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 R. S. Employer</w:t>
              <w:br/>
              <w:t>Identification No.)</w:t>
            </w:r>
          </w:p>
        </w:tc>
      </w:tr>
    </w:tbl>
    <w:tbl>
      <w:tblPr>
        <w:tblW w:w="4695" w:type="dxa"/>
        <w:jc w:val="center"/>
        <w:tblInd w:w="0" w:type="dxa"/>
        <w:tblLayout w:type="fixed"/>
        <w:tblCellMar>
          <w:top w:w="28" w:type="dxa"/>
          <w:left w:w="28" w:type="dxa"/>
          <w:bottom w:w="28" w:type="dxa"/>
          <w:right w:w="28" w:type="dxa"/>
        </w:tblCellMar>
      </w:tblPr>
      <w:tblGrid>
        <w:gridCol w:w="945"/>
        <w:gridCol w:w="830"/>
        <w:gridCol w:w="834"/>
        <w:gridCol w:w="354"/>
        <w:gridCol w:w="354"/>
        <w:gridCol w:w="356"/>
        <w:gridCol w:w="115"/>
        <w:gridCol w:w="115"/>
        <w:gridCol w:w="116"/>
        <w:gridCol w:w="198"/>
        <w:gridCol w:w="198"/>
        <w:gridCol w:w="280"/>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N. Vel R. Phillips Avenue,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Milwaukee,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53203</w:t>
            </w:r>
          </w:p>
        </w:tc>
      </w:tr>
      <w:tr>
        <w:trPr/>
        <w:tc>
          <w:tcPr>
            <w:tcW w:w="46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(262) 879-5000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40" w:after="283"/>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20"/>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40" w:after="283"/>
        <w:jc w:val="center"/>
        <w:rPr/>
      </w:pPr>
      <w:r>
        <w:rPr/>
      </w:r>
    </w:p>
    <w:p>
      <w:pPr>
        <w:pStyle w:val="TextBody"/>
        <w:bidi w:val="0"/>
        <w:spacing w:lineRule="auto" w:line="288" w:before="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common stock of the registrant held by non-affiliates as of June 30, 2025 (the last trading day of the second fiscal quarter) was $93,881,636,110 based on the closing price of the registrant’s common stock on the New York Stock Exchange on that date. The number of shares of the registrant’s common stock, $0.01 par value per share, outstanding at February 13, 2026 was 534,777,512.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Part III of this report incorporates information by reference to the registrant’s proxy statement for its 2026 annual meeting of shareholders, which proxy statement will be filed with the Securities and Exchange Commission no later than 120 days after the close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2883"/>
        <w:gridCol w:w="2803"/>
        <w:gridCol w:w="2816"/>
        <w:gridCol w:w="245"/>
        <w:gridCol w:w="245"/>
        <w:gridCol w:w="246"/>
        <w:gridCol w:w="15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u w:val="single"/>
              </w:rPr>
              <w:t>Page</w:t>
            </w: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6">
              <w:r>
                <w:rPr>
                  <w:rStyle w:val="InternetLink"/>
                  <w:rFonts w:ascii="Times New Roman;serif" w:hAnsi="Times New Roman;serif"/>
                  <w:b w:val="false"/>
                  <w:color w:val="0000FF"/>
                  <w:sz w:val="20"/>
                  <w:u w:val="single"/>
                </w:rPr>
                <w:t>Business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6">
              <w:r>
                <w:rPr>
                  <w:rStyle w:val="InternetLink"/>
                  <w:rFonts w:ascii="Times New Roman;serif" w:hAnsi="Times New Roman;serif"/>
                  <w:b w:val="false"/>
                  <w:strike w:val="false"/>
                  <w:dstrike w:val="false"/>
                  <w:color w:val="000000"/>
                  <w:sz w:val="20"/>
                  <w:u w:val="none"/>
                  <w:effect w:val="none"/>
                </w:rPr>
                <w:t>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46">
              <w:r>
                <w:rPr>
                  <w:rStyle w:val="InternetLink"/>
                  <w:rFonts w:ascii="Times New Roman;serif" w:hAnsi="Times New Roman;serif"/>
                  <w:b w:val="false"/>
                  <w:color w:val="0000FF"/>
                  <w:sz w:val="20"/>
                  <w:u w:val="single"/>
                </w:rPr>
                <w:t>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46">
              <w:r>
                <w:rPr>
                  <w:rStyle w:val="InternetLink"/>
                  <w:rFonts w:ascii="Times New Roman;serif" w:hAnsi="Times New Roman;serif"/>
                  <w:b w:val="false"/>
                  <w:strike w:val="false"/>
                  <w:dstrike w:val="false"/>
                  <w:color w:val="000000"/>
                  <w:sz w:val="20"/>
                  <w:u w:val="none"/>
                  <w:effect w:val="none"/>
                </w:rPr>
                <w:t>11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49">
              <w:r>
                <w:rPr>
                  <w:rStyle w:val="InternetLink"/>
                  <w:rFonts w:ascii="Times New Roman;serif" w:hAnsi="Times New Roman;serif"/>
                  <w:b w:val="false"/>
                  <w:color w:val="0000FF"/>
                  <w:sz w:val="20"/>
                  <w:u w:val="single"/>
                </w:rPr>
                <w:t>Unresolved Staff Comments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49">
              <w:r>
                <w:rPr>
                  <w:rStyle w:val="InternetLink"/>
                  <w:rFonts w:ascii="Times New Roman;serif" w:hAnsi="Times New Roman;serif"/>
                  <w:b w:val="false"/>
                  <w:strike w:val="false"/>
                  <w:dstrike w:val="false"/>
                  <w:color w:val="000000"/>
                  <w:sz w:val="20"/>
                  <w:u w:val="none"/>
                  <w:effect w:val="none"/>
                </w:rPr>
                <w:t>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52">
              <w:r>
                <w:rPr>
                  <w:rStyle w:val="InternetLink"/>
                  <w:rFonts w:ascii="Times New Roman;serif" w:hAnsi="Times New Roman;serif"/>
                  <w:b w:val="false"/>
                  <w:color w:val="0000FF"/>
                  <w:sz w:val="20"/>
                  <w:u w:val="single"/>
                </w:rPr>
                <w:t>Cybersecurity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52">
              <w:r>
                <w:rPr>
                  <w:rStyle w:val="InternetLink"/>
                  <w:rFonts w:ascii="Times New Roman;serif" w:hAnsi="Times New Roman;serif"/>
                  <w:b w:val="false"/>
                  <w:strike w:val="false"/>
                  <w:dstrike w:val="false"/>
                  <w:color w:val="000000"/>
                  <w:sz w:val="20"/>
                  <w:u w:val="none"/>
                  <w:effect w:val="none"/>
                </w:rPr>
                <w:t>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55">
              <w:r>
                <w:rPr>
                  <w:rStyle w:val="InternetLink"/>
                  <w:rFonts w:ascii="Times New Roman;serif" w:hAnsi="Times New Roman;serif"/>
                  <w:b w:val="false"/>
                  <w:color w:val="0000FF"/>
                  <w:sz w:val="20"/>
                  <w:u w:val="single"/>
                </w:rPr>
                <w:t>Properties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55">
              <w:r>
                <w:rPr>
                  <w:rStyle w:val="InternetLink"/>
                  <w:rFonts w:ascii="Times New Roman;serif" w:hAnsi="Times New Roman;serif"/>
                  <w:b w:val="false"/>
                  <w:strike w:val="false"/>
                  <w:dstrike w:val="false"/>
                  <w:color w:val="000000"/>
                  <w:sz w:val="20"/>
                  <w:u w:val="none"/>
                  <w:effect w:val="none"/>
                </w:rPr>
                <w:t>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58">
              <w:r>
                <w:rPr>
                  <w:rStyle w:val="InternetLink"/>
                  <w:rFonts w:ascii="Times New Roman;serif" w:hAnsi="Times New Roman;serif"/>
                  <w:b w:val="false"/>
                  <w:color w:val="0000FF"/>
                  <w:sz w:val="20"/>
                  <w:u w:val="single"/>
                </w:rPr>
                <w:t>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58">
              <w:r>
                <w:rPr>
                  <w:rStyle w:val="InternetLink"/>
                  <w:rFonts w:ascii="Times New Roman;serif" w:hAnsi="Times New Roman;serif"/>
                  <w:b w:val="false"/>
                  <w:strike w:val="false"/>
                  <w:dstrike w:val="false"/>
                  <w:color w:val="000000"/>
                  <w:sz w:val="20"/>
                  <w:u w:val="none"/>
                  <w:effect w:val="none"/>
                </w:rPr>
                <w:t>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61">
              <w:r>
                <w:rPr>
                  <w:rStyle w:val="InternetLink"/>
                  <w:rFonts w:ascii="Times New Roman;serif" w:hAnsi="Times New Roman;serif"/>
                  <w:b w:val="false"/>
                  <w:color w:val="0000FF"/>
                  <w:sz w:val="20"/>
                  <w:u w:val="single"/>
                </w:rPr>
                <w:t>Mine Safety Disclosures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61">
              <w:r>
                <w:rPr>
                  <w:rStyle w:val="InternetLink"/>
                  <w:rFonts w:ascii="Times New Roman;serif" w:hAnsi="Times New Roman;serif"/>
                  <w:b w:val="false"/>
                  <w:strike w:val="false"/>
                  <w:dstrike w:val="false"/>
                  <w:color w:val="000000"/>
                  <w:sz w:val="20"/>
                  <w:u w:val="none"/>
                  <w:effect w:val="none"/>
                </w:rPr>
                <w:t>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64">
              <w:r>
                <w:rPr>
                  <w:rStyle w:val="InternetLink"/>
                  <w:rFonts w:ascii="Times New Roman;serif" w:hAnsi="Times New Roman;serif"/>
                  <w:b w:val="false"/>
                  <w:color w:val="0000FF"/>
                  <w:sz w:val="20"/>
                  <w:u w:val="single"/>
                </w:rPr>
                <w:t>Information About Our Executive Officers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64">
              <w:r>
                <w:rPr>
                  <w:rStyle w:val="InternetLink"/>
                  <w:rFonts w:ascii="Times New Roman;serif" w:hAnsi="Times New Roman;serif"/>
                  <w:b w:val="false"/>
                  <w:strike w:val="false"/>
                  <w:dstrike w:val="false"/>
                  <w:color w:val="000000"/>
                  <w:sz w:val="20"/>
                  <w:u w:val="none"/>
                  <w:effect w:val="none"/>
                </w:rPr>
                <w:t>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7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70">
              <w:r>
                <w:rPr>
                  <w:rStyle w:val="InternetLink"/>
                  <w:rFonts w:ascii="Times New Roman;serif" w:hAnsi="Times New Roman;serif"/>
                  <w:b w:val="false"/>
                  <w:strike w:val="false"/>
                  <w:dstrike w:val="false"/>
                  <w:color w:val="000000"/>
                  <w:sz w:val="20"/>
                  <w:u w:val="none"/>
                  <w:effect w:val="none"/>
                </w:rPr>
                <w:t>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73">
              <w:r>
                <w:rPr>
                  <w:rStyle w:val="InternetLink"/>
                  <w:rFonts w:ascii="Times New Roman;serif" w:hAnsi="Times New Roman;serif"/>
                  <w:b w:val="false"/>
                  <w:color w:val="0000FF"/>
                  <w:sz w:val="20"/>
                  <w:u w:val="single"/>
                </w:rPr>
                <w:t>[Reserved]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73">
              <w:r>
                <w:rPr>
                  <w:rStyle w:val="InternetLink"/>
                  <w:rFonts w:ascii="Times New Roman;serif" w:hAnsi="Times New Roman;serif"/>
                  <w:b w:val="false"/>
                  <w:strike w:val="false"/>
                  <w:dstrike w:val="false"/>
                  <w:color w:val="000000"/>
                  <w:sz w:val="20"/>
                  <w:u w:val="none"/>
                  <w:effect w:val="none"/>
                </w:rPr>
                <w:t>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79">
              <w:r>
                <w:rPr>
                  <w:rStyle w:val="InternetLink"/>
                  <w:rFonts w:ascii="Times New Roman;serif" w:hAnsi="Times New Roman;serif"/>
                  <w:b w:val="false"/>
                  <w:strike w:val="false"/>
                  <w:dstrike w:val="false"/>
                  <w:color w:val="000000"/>
                  <w:sz w:val="20"/>
                  <w:u w:val="none"/>
                  <w:effect w:val="none"/>
                </w:rPr>
                <w:t>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48">
              <w:r>
                <w:rPr>
                  <w:rStyle w:val="InternetLink"/>
                  <w:rFonts w:ascii="Times New Roman;serif" w:hAnsi="Times New Roman;serif"/>
                  <w:b w:val="false"/>
                  <w:color w:val="0000FF"/>
                  <w:sz w:val="20"/>
                  <w:u w:val="single"/>
                </w:rPr>
                <w:t>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48">
              <w:r>
                <w:rPr>
                  <w:rStyle w:val="InternetLink"/>
                  <w:rFonts w:ascii="Times New Roman;serif" w:hAnsi="Times New Roman;serif"/>
                  <w:b w:val="false"/>
                  <w:strike w:val="false"/>
                  <w:dstrike w:val="false"/>
                  <w:color w:val="000000"/>
                  <w:sz w:val="20"/>
                  <w:u w:val="none"/>
                  <w:effect w:val="none"/>
                </w:rPr>
                <w:t>44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54">
              <w:r>
                <w:rPr>
                  <w:rStyle w:val="InternetLink"/>
                  <w:rFonts w:ascii="Times New Roman;serif" w:hAnsi="Times New Roman;serif"/>
                  <w:b w:val="false"/>
                  <w:color w:val="0000FF"/>
                  <w:sz w:val="20"/>
                  <w:u w:val="single"/>
                </w:rPr>
                <w:t>Financial Statements and Supplementary Data</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54">
              <w:r>
                <w:rPr>
                  <w:rStyle w:val="InternetLink"/>
                  <w:rFonts w:ascii="Times New Roman;serif" w:hAnsi="Times New Roman;serif"/>
                  <w:b w:val="false"/>
                  <w:strike w:val="false"/>
                  <w:dstrike w:val="false"/>
                  <w:color w:val="000000"/>
                  <w:sz w:val="20"/>
                  <w:u w:val="none"/>
                  <w:effect w:val="none"/>
                </w:rPr>
                <w:t>46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5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53">
              <w:r>
                <w:rPr>
                  <w:rStyle w:val="InternetLink"/>
                  <w:rFonts w:ascii="Times New Roman;serif" w:hAnsi="Times New Roman;serif"/>
                  <w:b w:val="false"/>
                  <w:strike w:val="false"/>
                  <w:dstrike w:val="false"/>
                  <w:color w:val="000000"/>
                  <w:sz w:val="20"/>
                  <w:u w:val="none"/>
                  <w:effect w:val="none"/>
                </w:rPr>
                <w:t>96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56">
              <w:r>
                <w:rPr>
                  <w:rStyle w:val="InternetLink"/>
                  <w:rFonts w:ascii="Times New Roman;serif" w:hAnsi="Times New Roman;serif"/>
                  <w:b w:val="false"/>
                  <w:color w:val="0000FF"/>
                  <w:sz w:val="20"/>
                  <w:u w:val="single"/>
                </w:rPr>
                <w:t>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56">
              <w:r>
                <w:rPr>
                  <w:rStyle w:val="InternetLink"/>
                  <w:rFonts w:ascii="Times New Roman;serif" w:hAnsi="Times New Roman;serif"/>
                  <w:b w:val="false"/>
                  <w:strike w:val="false"/>
                  <w:dstrike w:val="false"/>
                  <w:color w:val="000000"/>
                  <w:sz w:val="20"/>
                  <w:u w:val="none"/>
                  <w:effect w:val="none"/>
                </w:rPr>
                <w:t>96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62">
              <w:r>
                <w:rPr>
                  <w:rStyle w:val="InternetLink"/>
                  <w:rFonts w:ascii="Times New Roman;serif" w:hAnsi="Times New Roman;serif"/>
                  <w:b w:val="false"/>
                  <w:color w:val="0000FF"/>
                  <w:sz w:val="20"/>
                  <w:u w:val="single"/>
                </w:rPr>
                <w:t>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62">
              <w:r>
                <w:rPr>
                  <w:rStyle w:val="InternetLink"/>
                  <w:rFonts w:ascii="Times New Roman;serif" w:hAnsi="Times New Roman;serif"/>
                  <w:b w:val="false"/>
                  <w:strike w:val="false"/>
                  <w:dstrike w:val="false"/>
                  <w:color w:val="000000"/>
                  <w:sz w:val="20"/>
                  <w:u w:val="none"/>
                  <w:effect w:val="none"/>
                </w:rPr>
                <w:t>98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d51169c966740c6938bec9db1147923_268">
              <w:r>
                <w:rPr>
                  <w:rStyle w:val="InternetLink"/>
                  <w:rFonts w:ascii="Times New Roman;serif" w:hAnsi="Times New Roman;serif"/>
                  <w:b w:val="false"/>
                  <w:color w:val="0000FF"/>
                  <w:sz w:val="20"/>
                  <w:u w:val="single"/>
                </w:rPr>
                <w:t>Disclosure Regarding Foreign Jurisdictions that Prevent Inspections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68">
              <w:r>
                <w:rPr>
                  <w:rStyle w:val="InternetLink"/>
                  <w:rFonts w:ascii="Times New Roman;serif" w:hAnsi="Times New Roman;serif"/>
                  <w:b w:val="false"/>
                  <w:strike w:val="false"/>
                  <w:dstrike w:val="false"/>
                  <w:color w:val="000000"/>
                  <w:sz w:val="20"/>
                  <w:u w:val="none"/>
                  <w:effect w:val="none"/>
                </w:rPr>
                <w:t>98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74">
              <w:r>
                <w:rPr>
                  <w:rStyle w:val="InternetLink"/>
                  <w:rFonts w:ascii="Times New Roman;serif" w:hAnsi="Times New Roman;serif"/>
                  <w:b w:val="false"/>
                  <w:color w:val="0000FF"/>
                  <w:sz w:val="20"/>
                  <w:u w:val="single"/>
                </w:rPr>
                <w:t>Directors, Executive Officers and Corporate Governance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74">
              <w:r>
                <w:rPr>
                  <w:rStyle w:val="InternetLink"/>
                  <w:rFonts w:ascii="Times New Roman;serif" w:hAnsi="Times New Roman;serif"/>
                  <w:b w:val="false"/>
                  <w:strike w:val="false"/>
                  <w:dstrike w:val="false"/>
                  <w:color w:val="000000"/>
                  <w:sz w:val="20"/>
                  <w:u w:val="none"/>
                  <w:effect w:val="none"/>
                </w:rPr>
                <w:t>98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77">
              <w:r>
                <w:rPr>
                  <w:rStyle w:val="InternetLink"/>
                  <w:rFonts w:ascii="Times New Roman;serif" w:hAnsi="Times New Roman;serif"/>
                  <w:b w:val="false"/>
                  <w:color w:val="0000FF"/>
                  <w:sz w:val="20"/>
                  <w:u w:val="single"/>
                </w:rPr>
                <w:t>Executive Compensation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77">
              <w:r>
                <w:rPr>
                  <w:rStyle w:val="InternetLink"/>
                  <w:rFonts w:ascii="Times New Roman;serif" w:hAnsi="Times New Roman;serif"/>
                  <w:b w:val="false"/>
                  <w:strike w:val="false"/>
                  <w:dstrike w:val="false"/>
                  <w:color w:val="000000"/>
                  <w:sz w:val="20"/>
                  <w:u w:val="none"/>
                  <w:effect w:val="none"/>
                </w:rPr>
                <w:t>98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8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80">
              <w:r>
                <w:rPr>
                  <w:rStyle w:val="InternetLink"/>
                  <w:rFonts w:ascii="Times New Roman;serif" w:hAnsi="Times New Roman;serif"/>
                  <w:b w:val="false"/>
                  <w:strike w:val="false"/>
                  <w:dstrike w:val="false"/>
                  <w:color w:val="000000"/>
                  <w:sz w:val="20"/>
                  <w:u w:val="none"/>
                  <w:effect w:val="none"/>
                </w:rPr>
                <w:t>98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83">
              <w:r>
                <w:rPr>
                  <w:rStyle w:val="InternetLink"/>
                  <w:rFonts w:ascii="Times New Roman;serif" w:hAnsi="Times New Roman;serif"/>
                  <w:b w:val="false"/>
                  <w:color w:val="0000FF"/>
                  <w:sz w:val="20"/>
                  <w:u w:val="single"/>
                </w:rPr>
                <w:t>Certain Relationships and Related Transactions, and Director Independence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83">
              <w:r>
                <w:rPr>
                  <w:rStyle w:val="InternetLink"/>
                  <w:rFonts w:ascii="Times New Roman;serif" w:hAnsi="Times New Roman;serif"/>
                  <w:b w:val="false"/>
                  <w:strike w:val="false"/>
                  <w:dstrike w:val="false"/>
                  <w:color w:val="000000"/>
                  <w:sz w:val="20"/>
                  <w:u w:val="none"/>
                  <w:effect w:val="none"/>
                </w:rPr>
                <w:t>99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86">
              <w:r>
                <w:rPr>
                  <w:rStyle w:val="InternetLink"/>
                  <w:rFonts w:ascii="Times New Roman;serif" w:hAnsi="Times New Roman;serif"/>
                  <w:b w:val="false"/>
                  <w:color w:val="0000FF"/>
                  <w:sz w:val="20"/>
                  <w:u w:val="single"/>
                </w:rPr>
                <w:t>Principal Accounting Fees and Services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86">
              <w:r>
                <w:rPr>
                  <w:rStyle w:val="InternetLink"/>
                  <w:rFonts w:ascii="Times New Roman;serif" w:hAnsi="Times New Roman;serif"/>
                  <w:b w:val="false"/>
                  <w:strike w:val="false"/>
                  <w:dstrike w:val="false"/>
                  <w:color w:val="000000"/>
                  <w:sz w:val="20"/>
                  <w:u w:val="none"/>
                  <w:effect w:val="none"/>
                </w:rPr>
                <w:t>99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92">
              <w:r>
                <w:rPr>
                  <w:rStyle w:val="InternetLink"/>
                  <w:rFonts w:ascii="Times New Roman;serif" w:hAnsi="Times New Roman;serif"/>
                  <w:b w:val="false"/>
                  <w:color w:val="0000FF"/>
                  <w:sz w:val="20"/>
                  <w:u w:val="single"/>
                </w:rPr>
                <w:t>Exhibits, Financial Statement Schedules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92">
              <w:r>
                <w:rPr>
                  <w:rStyle w:val="InternetLink"/>
                  <w:rFonts w:ascii="Times New Roman;serif" w:hAnsi="Times New Roman;serif"/>
                  <w:b w:val="false"/>
                  <w:strike w:val="false"/>
                  <w:dstrike w:val="false"/>
                  <w:color w:val="000000"/>
                  <w:sz w:val="20"/>
                  <w:u w:val="none"/>
                  <w:effect w:val="none"/>
                </w:rPr>
                <w:t>100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98">
              <w:r>
                <w:rPr>
                  <w:rStyle w:val="InternetLink"/>
                  <w:rFonts w:ascii="Times New Roman;serif" w:hAnsi="Times New Roman;serif"/>
                  <w:b w:val="false"/>
                  <w:color w:val="0000FF"/>
                  <w:sz w:val="20"/>
                  <w:u w:val="single"/>
                </w:rPr>
                <w:t>Form 10-K Summary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98">
              <w:r>
                <w:rPr>
                  <w:rStyle w:val="InternetLink"/>
                  <w:rFonts w:ascii="Times New Roman;serif" w:hAnsi="Times New Roman;serif"/>
                  <w:b w:val="false"/>
                  <w:strike w:val="false"/>
                  <w:dstrike w:val="false"/>
                  <w:color w:val="000000"/>
                  <w:sz w:val="20"/>
                  <w:u w:val="none"/>
                  <w:effect w:val="none"/>
                </w:rPr>
                <w:t>104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301">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301">
              <w:r>
                <w:rPr>
                  <w:rStyle w:val="InternetLink"/>
                  <w:rFonts w:ascii="Times New Roman;serif" w:hAnsi="Times New Roman;serif"/>
                  <w:b w:val="false"/>
                  <w:strike w:val="false"/>
                  <w:dstrike w:val="false"/>
                  <w:color w:val="000000"/>
                  <w:sz w:val="20"/>
                  <w:u w:val="none"/>
                  <w:effect w:val="none"/>
                </w:rPr>
                <w:t>105</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this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report, all references to “we,” “us,” “our” and “Fiserv” refer to Fiserv, Inc. (“Fiserv”), and, unless the context otherwise requires,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left"/>
        <w:rPr/>
      </w:pPr>
      <w:r>
        <w:rPr>
          <w:rFonts w:ascii="Times New Roman;serif" w:hAnsi="Times New Roman;serif"/>
          <w:b w:val="false"/>
          <w:color w:val="000000"/>
          <w:sz w:val="20"/>
        </w:rPr>
        <w:t>Fiserv, Inc. is a leading global provider of payments and financial services technology solutions. We are publicly traded on the NASDAQ Global Select Market and part of the S&amp;P 500 Index.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2025, we had $21.2 billion in total revenue, $5.8 billion in operating income and $6.1 billion of net cash provided by operating activities. Processing and services revenue, which in 2025 represented 80% of our total revenue, is primarily generated from account- and transaction-based fees under multi-year contracts that generally have high renewal rates. We have operations and offices located both within the U.S. and Canada, and internationally, which as a percentage of total revenue were as follows:</w:t>
      </w:r>
    </w:p>
    <w:tbl>
      <w:tblPr>
        <w:tblW w:w="6089" w:type="dxa"/>
        <w:jc w:val="left"/>
        <w:tblInd w:w="0" w:type="dxa"/>
        <w:tblLayout w:type="fixed"/>
        <w:tblCellMar>
          <w:top w:w="28" w:type="dxa"/>
          <w:left w:w="28" w:type="dxa"/>
          <w:bottom w:w="28" w:type="dxa"/>
          <w:right w:w="28" w:type="dxa"/>
        </w:tblCellMar>
      </w:tblPr>
      <w:tblGrid>
        <w:gridCol w:w="528"/>
        <w:gridCol w:w="461"/>
        <w:gridCol w:w="465"/>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5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revenue in the following international regions: EMEA (Europe, Middle East and Africa), LATAM (Latin America) and APAC (Asia-Pacific).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grown our business organically by signing new clients, as well as through acquisitions, expanding the products and services we provide to existing clients, offering new and enhanced products and services developed through innovation and acquisition, and extending our capabilities geographically, all of which have enabled us to deliver a wide range of products and services and created new opportunities for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headquarters are located at 600 N. Vel R. Phillips Avenue, Milwaukee, Wisconsin 53203, and our telephone number is (262) 879-5000.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Merchant Solutions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(“SaaS”); POS devices; and pay-by-bank solutions. The business lines aggregated within the Merchant segment consist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Small Business –</w:t>
      </w:r>
      <w:r>
        <w:rPr>
          <w:color w:val="000000"/>
        </w:rPr>
        <w:t xml:space="preserve"> </w:t>
      </w:r>
      <w:r>
        <w:rPr>
          <w:rFonts w:ascii="Times New Roman;serif" w:hAnsi="Times New Roman;serif"/>
          <w:b w:val="false"/>
          <w:color w:val="000000"/>
          <w:sz w:val="20"/>
        </w:rPr>
        <w:t>provides products and services to small businesses and independent software vendors (“ISVs”), including Clover</w:t>
      </w:r>
      <w:r>
        <w:rPr>
          <w:rFonts w:ascii="Times New Roman;serif" w:hAnsi="Times New Roman;serif"/>
          <w:b w:val="false"/>
          <w:color w:val="000000"/>
          <w:sz w:val="13"/>
        </w:rPr>
        <w:t>®</w:t>
      </w:r>
      <w:r>
        <w:rPr>
          <w:rFonts w:ascii="Times New Roman;serif" w:hAnsi="Times New Roman;serif"/>
          <w:b w:val="false"/>
          <w:color w:val="000000"/>
          <w:sz w:val="20"/>
        </w:rPr>
        <w:t>, our POS and business management platform for small business clients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Enterprise –</w:t>
      </w:r>
      <w:r>
        <w:rPr>
          <w:color w:val="000000"/>
        </w:rPr>
        <w:t xml:space="preserve"> </w:t>
      </w:r>
      <w:r>
        <w:rPr>
          <w:rFonts w:ascii="Times New Roman;serif" w:hAnsi="Times New Roman;serif"/>
          <w:b w:val="false"/>
          <w:color w:val="000000"/>
          <w:sz w:val="20"/>
        </w:rPr>
        <w:t>provides products and services to large businesses, including our integrated omnichannel operating system for enterprise clients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Processing – </w:t>
      </w:r>
      <w:r>
        <w:rPr>
          <w:rFonts w:ascii="Times New Roman;serif" w:hAnsi="Times New Roman;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distribute the products and services in the Merchant segment businesses through a variety of channels, including direct sales teams, strategic partnerships with agent sales forces, ISVs, independent sales organizations (“ISOs”), financial institutions and other strategic partners in the form of joint venture alliances, revenue sharing alliances and referral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Small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offer merchant acquiring solutions to enable small businesses to securely accept payment transactions online or in-person. Payment transactions include credit, debit, gift card and loyalty payments online or through a physical POS or mobile device, such as a smartphone or tablet. Additionally, we provide small businesses with comprehensive solutions that streamline operations, support seamless commerce across multiple channels, and deliver consistent and convenient customer experiences. By optimizing payment performance and enhancing customer engagement, we help small businesses drive value, increase savings, and deliver exceptional experiences that drive growth and loyalty. We also have enhanced our financial offerings for small businesses by providing access to working capital.</w:t>
      </w:r>
    </w:p>
    <w:p>
      <w:pPr>
        <w:pStyle w:val="TextBody"/>
        <w:bidi w:val="0"/>
        <w:spacing w:lineRule="auto" w:line="288" w:before="0" w:after="180"/>
        <w:jc w:val="left"/>
        <w:rPr/>
      </w:pPr>
      <w:r>
        <w:rPr>
          <w:rFonts w:ascii="Times New Roman;serif" w:hAnsi="Times New Roman;serif"/>
          <w:b w:val="false"/>
          <w:color w:val="000000"/>
          <w:sz w:val="20"/>
        </w:rPr>
        <w:t>Our global POS and business management platform, Clover</w:t>
      </w:r>
      <w:r>
        <w:rPr>
          <w:rFonts w:ascii="Times New Roman;serif" w:hAnsi="Times New Roman;serif"/>
          <w:b w:val="false"/>
          <w:color w:val="000000"/>
          <w:sz w:val="13"/>
        </w:rPr>
        <w:t>®</w:t>
      </w:r>
      <w:r>
        <w:rPr>
          <w:rFonts w:ascii="Times New Roman;serif" w:hAnsi="Times New Roman;serif"/>
          <w:b w:val="false"/>
          <w:color w:val="000000"/>
          <w:sz w:val="20"/>
        </w:rPr>
        <w:t xml:space="preserve">, includes hardware and software technology necessary to enable small business merchants to manage and accept payments; take orders; schedule pick-up and delivery services; manage cash flow, teams, customer engagement, and operational efficiency; and provide vertical specific business management tools. By integrating next-generation hardware and SaaS capabilities, along with value-added services, Clover has become a leader in enabling omnichannel commerce solutions for small businesses. We also offer small business owners advance access to capital, primarily through our Clover Capital program. We are growing Clover through new and expanded partnerships, industries and geographies. Our focus remains on high-growth industry verticals such as healthcare, e-commerce, and professional services, while maintaining a strong presence in restaurant and retail. We are strengthening Clover’s global presence by establishing or expanding offerings in multiple international markets, including Australia, Singapore, Brazil, Mexico, Belgium, Spain and Japan.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we enable ISVs to embed secure, omnichannel payment capabilities directly into their platforms, complemented by Clover hardware integration and value-added services. This integration enables ISVs to scale quickly and monetize transactions, while delivering secure and convenient payment experiences to their customers.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Enterprise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provide products and services to large businesses that are designed to enable clients to engage in commerce through various channels including online and mobile, drive value and savings through transactions, and engage more customers. Our integrated omnichannel operating system allows enterprise clients to orchestrate payments and create consistent customer commerce experiences, delivered how and when their customers want. These solutions help clients maximize approval rates, reduce declines, lower fraud and chargebacks, reduce costs and improve the customer experience. Through this integrated platform, a variety of payment and commerce solutions can be accessed, including payment acceptance, payments optimization, fraud mitigation, online electronic benefits transfers, pay-by-bank and digital payouts. We also offer a single platform for payment facilitators, marketplaces, software companies, and acquiring banks to manage boarding, credit and risk, and money movement for sub-merchants. Clients can access our enterprise services through Commerce Hub™, our payment gateway and merchant orchestration layer that provides full-function e-commerce, omnichannel and multi-acquirer solutions that ease development effort and maintenance.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Enterprise business also provides end-to-end, omnichannel solutions to implement and manage stored value programs such as gift cards and loyalty, which help clients drive revenue and customer engagement. These solutions include physical and digital gift card fulfillment, program management, e-commerce gift card storefronts, security and fraud protection, transaction processing services, incentive and rebate cards as well as reloadable and non-reloadable prepaid cards that may be used with a variety of mobile applications. We help our clients consolidate their forms of stored value in a single digital wallet that is enabled in-store for true omnichannel customer engagement. Additionally, we provide payment services to companies, such as utilities, telephone and cable companies, lending institutions and insurance providers. These services enable our clients to reduce costs, collect payments faster through multiple channels and increase customer satisfaction, providing customers flexible, easy-to-use ways to view and pay their bills.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Processing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provide payment processing products and services to financial institutions, joint ventures, and other third-party resellers such as ISOs, which have direct relationships with merchants. We provide these distribution partners with integrated merchant technology solutions to help them grow their businesses and manage their portfolios. Partner technology tools enable real-time access to portfolio activity and pricing management. These strategic alliances combine our commerce-enabling technology, processing capabilities and management expertise with the distribution capabilities, footprint and customer relationships of our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Solutions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businesses in our Financial segment provide products and services to financial institutions, corporate and public sector clients across the world, enabling the processing of customer loan and deposit accounts, digital payments and card transactions. The business lines aggregated within the Financial segment consist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Digital Payments</w:t>
      </w:r>
      <w:r>
        <w:rPr>
          <w:color w:val="000000"/>
        </w:rPr>
        <w:t xml:space="preserve"> – </w:t>
      </w:r>
      <w:r>
        <w:rPr>
          <w:rFonts w:ascii="Times New Roman;serif" w:hAnsi="Times New Roman;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Issuing</w:t>
      </w:r>
      <w:r>
        <w:rPr>
          <w:color w:val="000000"/>
        </w:rPr>
        <w:t xml:space="preserve"> – </w:t>
      </w:r>
      <w:r>
        <w:rPr>
          <w:rFonts w:ascii="Times New Roman;serif" w:hAnsi="Times New Roman;serif"/>
          <w:b w:val="false"/>
          <w:color w:val="000000"/>
          <w:sz w:val="20"/>
        </w:rPr>
        <w:t>provides credit card processing services; prepaid card processing services; card production services; print services; government payment processing; and student loan processing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Banking</w:t>
      </w:r>
      <w:r>
        <w:rPr>
          <w:color w:val="000000"/>
        </w:rPr>
        <w:t xml:space="preserve"> – </w:t>
      </w:r>
      <w:r>
        <w:rPr>
          <w:rFonts w:ascii="Times New Roman;serif" w:hAnsi="Times New Roman;serif"/>
          <w:b w:val="false"/>
          <w:color w:val="000000"/>
          <w:sz w:val="20"/>
        </w:rPr>
        <w:t>provides customer loan and deposit account processing; digital banking; financial and risk management; professional services and consulting; and check processing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Digital Payments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leading enabler of digital payment capabilities to financial institutions of all sizes, including solutions that help clients enable debit card processing services, peer-to-peer payments, account-to-account transfers, bill payment capabilities, and Automated Clearing House (“ACH”) and real-time payments.</w:t>
      </w:r>
    </w:p>
    <w:p>
      <w:pPr>
        <w:pStyle w:val="TextBody"/>
        <w:bidi w:val="0"/>
        <w:spacing w:lineRule="auto" w:line="288" w:before="0" w:after="180"/>
        <w:jc w:val="left"/>
        <w:rPr/>
      </w:pPr>
      <w:r>
        <w:rPr>
          <w:rFonts w:ascii="Times New Roman;serif" w:hAnsi="Times New Roman;serif"/>
          <w:b w:val="false"/>
          <w:color w:val="000000"/>
          <w:sz w:val="20"/>
        </w:rPr>
        <w:t>We provide debit card processing services, which include tokenization, loyalty and reward programs; customized authorization processing; gateway processing to payment networks; ATM managed services and cash and logistics management; and risk management products. We also provide security, risk and fraud management solutions, which incorporate machine learning-based predictive technology, that help financial institutions operate and grow their business by preventing fraud. CardHub provides our clients’ customers with mobile, customizable card management and alert tools that drive engagement and revenue for card issuers. We also own and operate the Accel</w:t>
      </w:r>
      <w:r>
        <w:rPr>
          <w:rFonts w:ascii="Times New Roman;serif" w:hAnsi="Times New Roman;serif"/>
          <w:b w:val="false"/>
          <w:color w:val="000000"/>
          <w:sz w:val="13"/>
        </w:rPr>
        <w:t>®</w:t>
      </w:r>
      <w:r>
        <w:rPr>
          <w:rFonts w:ascii="Times New Roman;serif" w:hAnsi="Times New Roman;serif"/>
          <w:b w:val="false"/>
          <w:color w:val="000000"/>
          <w:sz w:val="20"/>
        </w:rPr>
        <w:t>, STAR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MoneyPass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networks, which provide access to funds for debit card purchases through any physical and online channel. These networks are available to all issuers and merchants in the U.S.</w:t>
      </w:r>
    </w:p>
    <w:p>
      <w:pPr>
        <w:pStyle w:val="TextBody"/>
        <w:bidi w:val="0"/>
        <w:spacing w:lineRule="auto" w:line="288" w:before="0" w:after="180"/>
        <w:jc w:val="left"/>
        <w:rPr/>
      </w:pPr>
      <w:r>
        <w:rPr>
          <w:rFonts w:ascii="Times New Roman;serif" w:hAnsi="Times New Roman;serif"/>
          <w:b w:val="false"/>
          <w:color w:val="000000"/>
          <w:sz w:val="20"/>
        </w:rPr>
        <w:t>Our person-to-person payment and account-to-account transfer services allow consumers a convenient way to send and receive money while offering financial institutions the opportunity to generate new transaction-based revenue, attract new accounts and increase loyalty among existing customers. We offer a turnkey implementation of Zelle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real-time person-to-person payments service. Our electronic bill payment and presentment product for financial and other institutions, CheckFree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RXP</w:t>
      </w:r>
      <w:r>
        <w:rPr>
          <w:rFonts w:ascii="Times New Roman;serif" w:hAnsi="Times New Roman;serif"/>
          <w:b w:val="false"/>
          <w:color w:val="000000"/>
          <w:sz w:val="13"/>
        </w:rPr>
        <w:t>®</w:t>
      </w:r>
      <w:r>
        <w:rPr>
          <w:rFonts w:ascii="Times New Roman;serif" w:hAnsi="Times New Roman;serif"/>
          <w:b w:val="false"/>
          <w:color w:val="000000"/>
          <w:sz w:val="20"/>
        </w:rPr>
        <w:t>, allows our clients’ customers to manage household bills via an easy-to-use, online tool; view billing and payment information; pay and manage their bills in one place; and complete same-day or next-day bill payments to a wide range of billers and others. In addition, CashFlow Central</w:t>
      </w:r>
      <w:r>
        <w:rPr>
          <w:color w:val="000000"/>
        </w:rPr>
        <w:t>℠</w:t>
      </w:r>
      <w:r>
        <w:rPr>
          <w:rFonts w:ascii="Times New Roman;serif" w:hAnsi="Times New Roman;serif"/>
          <w:b w:val="false"/>
          <w:color w:val="000000"/>
          <w:sz w:val="20"/>
        </w:rPr>
        <w:t>, an integrated digital payment and cash flow management product, enables financial institutions to meet the payments needs of small businesses. This turnkey, easy-to-use accounts receivable and payable solution is created for clients to offer a complete small and medium-sized business (“SMB”) solution to their customers and members to manage their working capital, while our client’s grow deposits, revenue and their SMB portfolio.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offer products and services that enable operating efficiencies and management insight by providing financial institutions with the infrastructure they need to process, route and settle non-card-based electronic payments, including ACH, wire and instant payments, and to efficiently manage associated information flows. These products and services provide multiple payment capabilities, including domestic and international wire transfers and real time payments connection to the FedNow Service and RTP Network. PEP+ is an enterprise payment solution that allows financial institutions to automatically receive and originate electronic payments through the ACH network in a straight-through processing manner. Clients may use our payment platform applications on a licensed or hosted basis, and as an add-on to existing legacy technology or as a stand-alone comprehensive modern payments platform.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Issuing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credit card processing services; card production services; print services; prepaid card processing services; government payment processing; and student loan processing. </w:t>
      </w:r>
    </w:p>
    <w:p>
      <w:pPr>
        <w:pStyle w:val="TextBody"/>
        <w:bidi w:val="0"/>
        <w:spacing w:lineRule="auto" w:line="288" w:before="0" w:after="180"/>
        <w:jc w:val="left"/>
        <w:rPr/>
      </w:pPr>
      <w:r>
        <w:rPr>
          <w:rFonts w:ascii="Times New Roman;serif" w:hAnsi="Times New Roman;serif"/>
          <w:b w:val="false"/>
          <w:color w:val="000000"/>
          <w:sz w:val="20"/>
        </w:rPr>
        <w:t>Our credit card processing services provide solutions to financial institutions and other issuers of credit, such as group service providers, retailers and consumer finance companies, to enable them to process credit card transactions on behalf of their customers. Depending on the needs of our client, we deliver these solutions through our proprietary processing platforms, software application licenses, or SaaS hosted in the cloud. Our solutions in North America primarily use our Optis</w:t>
      </w:r>
      <w:r>
        <w:rPr>
          <w:color w:val="000000"/>
        </w:rPr>
        <w:t xml:space="preserve">℠ </w:t>
      </w:r>
      <w:r>
        <w:rPr>
          <w:rFonts w:ascii="Times New Roman;serif" w:hAnsi="Times New Roman;serif"/>
          <w:b w:val="false"/>
          <w:color w:val="000000"/>
          <w:sz w:val="20"/>
        </w:rPr>
        <w:t>platform to provide transaction authorization and posting, account maintenance and settlement. Our FirstVision</w:t>
      </w:r>
      <w:r>
        <w:rPr>
          <w:color w:val="000000"/>
        </w:rPr>
        <w:t xml:space="preserve">™ </w:t>
      </w:r>
      <w:r>
        <w:rPr>
          <w:rFonts w:ascii="Times New Roman;serif" w:hAnsi="Times New Roman;serif"/>
          <w:b w:val="false"/>
          <w:color w:val="000000"/>
          <w:sz w:val="20"/>
        </w:rPr>
        <w:t>and VisionPLUS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are used globally to provide transaction processing services or are licensed to enable clients to process transactions on their own. We have introduced VisionNext</w:t>
      </w:r>
      <w:r>
        <w:rPr>
          <w:color w:val="000000"/>
        </w:rPr>
        <w:t>™</w:t>
      </w:r>
      <w:r>
        <w:rPr>
          <w:rFonts w:ascii="Times New Roman;serif" w:hAnsi="Times New Roman;serif"/>
          <w:b w:val="false"/>
          <w:color w:val="000000"/>
          <w:sz w:val="20"/>
        </w:rPr>
        <w:t xml:space="preserve">, our modernized cloud-based suite of payment solutions, and a platform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finance. We also provide financial institutions with solutions that support the lifecycle of a cardholder, including acquisition, fraud detection, credit risk management, servicing, collections and professional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provide business statement and card products and services to clients across a wide variety of industries, including financial services, healthcare, retail, utilities, telecommunications, insurance and travel and entertainment. Our products and services include electronic document management through our electronic document delivery products and services; card manufacturing, personalization and mailing; statement production and mailing; and design and fulfillment of direct mail services.</w:t>
      </w:r>
    </w:p>
    <w:p>
      <w:pPr>
        <w:pStyle w:val="TextBody"/>
        <w:bidi w:val="0"/>
        <w:spacing w:lineRule="auto" w:line="288" w:before="0" w:after="180"/>
        <w:jc w:val="left"/>
        <w:rPr/>
      </w:pPr>
      <w:r>
        <w:rPr>
          <w:rFonts w:ascii="Times New Roman;serif" w:hAnsi="Times New Roman;serif"/>
          <w:b w:val="false"/>
          <w:color w:val="000000"/>
          <w:sz w:val="20"/>
        </w:rPr>
        <w:t>Our prepaid card processing services include stored value cards offered by our Money Network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businesses. The Money Network service simplifies payment distribution for organizations while reducing or eliminating expenses associated with issuing traditional paper checks. This service also provides consumers without bank accounts with fast, digital access to their money, including wages. Money Network solutions include payroll prepaid cards, government disbursements, digital disbursements and corporate incentives as well as single-load and reloadable prepaid account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government payment and student loan processing services generally relate to the processing of consumer payment activity. We provide entitlement payments for state entities, unemployment, and disability debit card payments, as well as technology that enables our clients to provide student loan support services.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Banking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provide customer loan and deposit account processing; digital banking; financial and risk management; professional services and consulting; and check processing. The lines between merchant acquiring, payment processing and banking are increasingly interconnected, as more banking and payment transactions are initiated at different touchpoints within merchant engagement.</w:t>
      </w:r>
    </w:p>
    <w:p>
      <w:pPr>
        <w:pStyle w:val="TextBody"/>
        <w:bidi w:val="0"/>
        <w:spacing w:lineRule="auto" w:line="288" w:before="0" w:after="180"/>
        <w:jc w:val="left"/>
        <w:rPr/>
      </w:pPr>
      <w:r>
        <w:rPr>
          <w:rFonts w:ascii="Times New Roman;serif" w:hAnsi="Times New Roman;serif"/>
          <w:b w:val="false"/>
          <w:color w:val="000000"/>
          <w:sz w:val="20"/>
        </w:rPr>
        <w:t>Account processing solutions enable financial institutions to operate systems that process customer deposit and loan accounts, an institution’s general ledger, central information files and other financial information. These solutions also include security, reporting and other features that financial institutions need to process transactions for their customers.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 The principal account processing solutions used by our depository institution clients are DNA</w:t>
      </w:r>
      <w:r>
        <w:rPr>
          <w:rFonts w:ascii="Times New Roman;serif" w:hAnsi="Times New Roman;serif"/>
          <w:b w:val="false"/>
          <w:color w:val="000000"/>
          <w:sz w:val="13"/>
        </w:rPr>
        <w:t>®</w:t>
      </w:r>
      <w:r>
        <w:rPr>
          <w:rFonts w:ascii="Times New Roman;serif" w:hAnsi="Times New Roman;serif"/>
          <w:b w:val="false"/>
          <w:color w:val="000000"/>
          <w:sz w:val="20"/>
        </w:rPr>
        <w:t>, Finxact, Premier</w:t>
      </w:r>
      <w:r>
        <w:rPr>
          <w:rFonts w:ascii="Times New Roman;serif" w:hAnsi="Times New Roman;serif"/>
          <w:b w:val="false"/>
          <w:color w:val="000000"/>
          <w:sz w:val="13"/>
        </w:rPr>
        <w:t>®</w:t>
      </w:r>
      <w:r>
        <w:rPr>
          <w:rFonts w:ascii="Times New Roman;serif" w:hAnsi="Times New Roman;serif"/>
          <w:b w:val="false"/>
          <w:color w:val="000000"/>
          <w:sz w:val="20"/>
        </w:rPr>
        <w:t>, CoreAdvance, Portico</w:t>
      </w:r>
      <w:r>
        <w:rPr>
          <w:rFonts w:ascii="Times New Roman;serif" w:hAnsi="Times New Roman;serif"/>
          <w:b w:val="false"/>
          <w:color w:val="000000"/>
          <w:sz w:val="13"/>
        </w:rPr>
        <w:t>®</w:t>
      </w:r>
      <w:r>
        <w:rPr>
          <w:rFonts w:ascii="Times New Roman;serif" w:hAnsi="Times New Roman;serif"/>
          <w:b w:val="false"/>
          <w:color w:val="000000"/>
          <w:sz w:val="20"/>
        </w:rPr>
        <w:t>, and Signature</w:t>
      </w:r>
      <w:r>
        <w:rPr>
          <w:rFonts w:ascii="Times New Roman;serif" w:hAnsi="Times New Roman;serif"/>
          <w:b w:val="false"/>
          <w:color w:val="000000"/>
          <w:sz w:val="13"/>
        </w:rPr>
        <w:t>®</w:t>
      </w:r>
      <w:r>
        <w:rPr>
          <w:rFonts w:ascii="Times New Roman;serif" w:hAnsi="Times New Roman;serif"/>
          <w:b w:val="false"/>
          <w:color w:val="000000"/>
          <w:sz w:val="20"/>
        </w:rPr>
        <w:t>. CoreAdvance is our newest solution offering a more flexible architecture, modern user interface, real-time processing, and personalization capabilities, all of which enable increased efficiency. We are embedding artificial intelligence (“AI”) capabilities in our account processing solutions, led by Finxact. All of these solutions are available in the U.S., and the DNA, Finxact and Signature solutions are also available globally. Account processing solutions are offered primarily as an outsourced service or can be installed on client-owned computer systems or those hosted by third parties.</w:t>
      </w:r>
    </w:p>
    <w:p>
      <w:pPr>
        <w:pStyle w:val="TextBody"/>
        <w:bidi w:val="0"/>
        <w:spacing w:lineRule="auto" w:line="288" w:before="0" w:after="180"/>
        <w:jc w:val="left"/>
        <w:rPr/>
      </w:pPr>
      <w:r>
        <w:rPr>
          <w:rFonts w:ascii="Times New Roman;serif" w:hAnsi="Times New Roman;serif"/>
          <w:b w:val="false"/>
          <w:color w:val="000000"/>
          <w:sz w:val="20"/>
        </w:rPr>
        <w:t>Our principal consumer and business digital banking platform, Experience Digital (“XD”), builds on our Configure</w:t>
      </w:r>
      <w:r>
        <w:rPr>
          <w:color w:val="000000"/>
        </w:rPr>
        <w:t>™</w:t>
      </w:r>
      <w:r>
        <w:rPr>
          <w:rFonts w:ascii="Times New Roman;serif" w:hAnsi="Times New Roman;serif"/>
          <w:b w:val="false"/>
          <w:color w:val="000000"/>
          <w:sz w:val="20"/>
        </w:rPr>
        <w:t>, Architect</w:t>
      </w:r>
      <w:r>
        <w:rPr>
          <w:color w:val="000000"/>
        </w:rPr>
        <w:t>™</w:t>
      </w:r>
      <w:r>
        <w:rPr>
          <w:rFonts w:ascii="Times New Roman;serif" w:hAnsi="Times New Roman;serif"/>
          <w:b w:val="false"/>
          <w:color w:val="000000"/>
          <w:sz w:val="20"/>
        </w:rPr>
        <w:t>, Corillian Online</w:t>
      </w:r>
      <w:r>
        <w:rPr>
          <w:rFonts w:ascii="Times New Roman;serif" w:hAnsi="Times New Roman;serif"/>
          <w:b w:val="false"/>
          <w:color w:val="000000"/>
          <w:sz w:val="13"/>
        </w:rPr>
        <w:t>®</w:t>
      </w:r>
      <w:r>
        <w:rPr>
          <w:rFonts w:ascii="Times New Roman;serif" w:hAnsi="Times New Roman;serif"/>
          <w:b w:val="false"/>
          <w:color w:val="000000"/>
          <w:sz w:val="20"/>
        </w:rPr>
        <w:t>, Mobiliti</w:t>
      </w:r>
      <w:r>
        <w:rPr>
          <w:color w:val="000000"/>
        </w:rPr>
        <w:t xml:space="preserve">™ </w:t>
      </w:r>
      <w:r>
        <w:rPr>
          <w:rFonts w:ascii="Times New Roman;serif" w:hAnsi="Times New Roman;serif"/>
          <w:b w:val="false"/>
          <w:color w:val="000000"/>
          <w:sz w:val="20"/>
        </w:rPr>
        <w:t>and Create</w:t>
      </w:r>
      <w:r>
        <w:rPr>
          <w:color w:val="000000"/>
        </w:rPr>
        <w:t xml:space="preserve">™ </w:t>
      </w:r>
      <w:r>
        <w:rPr>
          <w:rFonts w:ascii="Times New Roman;serif" w:hAnsi="Times New Roman;serif"/>
          <w:b w:val="false"/>
          <w:color w:val="000000"/>
          <w:sz w:val="20"/>
        </w:rPr>
        <w:t>products. XD is a cloud-based platform that enables customers to perform balance inquiries, view their transaction history and access electronic bill payments, person-to-person digital payments, card services, account and loan originations, funds transfer and personal financial management tools. XD can be highly customized and integrated to multiple products and services, allowing clients to deploy new services quickly and efficiently to increase customer acquisition, engagement and insights.</w:t>
      </w:r>
    </w:p>
    <w:p>
      <w:pPr>
        <w:pStyle w:val="TextBody"/>
        <w:bidi w:val="0"/>
        <w:spacing w:lineRule="auto" w:line="288" w:before="0" w:after="180"/>
        <w:jc w:val="left"/>
        <w:rPr/>
      </w:pPr>
      <w:r>
        <w:rPr>
          <w:rFonts w:ascii="Times New Roman;serif" w:hAnsi="Times New Roman;serif"/>
          <w:b w:val="false"/>
          <w:color w:val="000000"/>
          <w:sz w:val="20"/>
        </w:rPr>
        <w:t>Additionally, our embedded finance solutions enable merchants and others to deliver personalized financial experiences to their customers through a combination of Fiserv solutions including Finxact, Payfare, Commerce Hub</w:t>
      </w:r>
      <w:r>
        <w:rPr>
          <w:color w:val="000000"/>
        </w:rPr>
        <w:t>™</w:t>
      </w:r>
      <w:r>
        <w:rPr>
          <w:rFonts w:ascii="Times New Roman;serif" w:hAnsi="Times New Roman;serif"/>
          <w:b w:val="false"/>
          <w:color w:val="000000"/>
          <w:sz w:val="20"/>
        </w:rPr>
        <w:t>, card manufacturing and processing, as well as third-party services. We have developed a comprehensive end-to-end embedded finance solution that supports various payment flows. This solution is built on a sophisticated ledger powered by Finxact to record transactions between buyers and sellers; an orchestration layer powered by Payfare to manage each transaction; and payment acceptance powered by Commerce Hub. Together, these components support all payment flows for payouts, returns, and reconciliations.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Through our acquisition of StoneCastle Cash Management, we enable our network of depository institutions to easily access stable, cost-efficient deposit funding. This allows us to become a technology-enabled source of institutional deposits, helping financial institutions strengthen their balance sheets by integrating insured deposit products alongside their core account processing, digital banking, payments and cash-management capabilities across the Fiserv ecosystem.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help clients create an infrastructure that they can use and deploy to their clients. We are building our stablecoin capabilities with the launch of FIUSD, embedded within our existing banking and payments ecosystem, which allows customers access to more efficient and interoperable digital asset service. Additionally, we offer consulting services,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operations services and related software products that enable the transition of check capture from branch and teller channels to digital self-service deposit channels, including mobile, merchant and ATM. Other products and services include check clearing and image exchange services, image archive with online retrieval, in-clearings, exceptions and returns, statements, and fraud detection.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committed to delivering exceptional client service, world-class execution, and innovative value-added solutions. Our leading payment platforms and robust portfolio of value-added technology solutions position us at the intersection of finance and commerce. Our SaaS platforms, gateways, orchestration layers, and value-added services provide compelling, innovative solutions that address our clients’ most critical needs. We are building a world-class team and fostering a customer-centric, execution-oriented culture. We have strong conviction in our assets, talent, strategy and our ability to execute and innovate. Consistent with this focus, we launched our One Fiserv action plan and are operating our business under the following strategic framework: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Operating with a client-first mindset to win new enterprise clients and grow average revenue per client</w:t>
      </w:r>
      <w:r>
        <w:rPr>
          <w:rFonts w:ascii="Times New Roman;serif" w:hAnsi="Times New Roman;serif"/>
          <w:b w:val="false"/>
          <w:color w:val="000000"/>
          <w:sz w:val="20"/>
        </w:rPr>
        <w:t>. We expect to increase the number and breadth of our client relationships by, among other actions: continuing to integrate our products and services to deliver enhanced, integrated value propositions; introducing new products and services that meet the needs of our clients and their customers; and delivering quality service and support for our clients.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Building the pre-eminent small business operating platform through Clover</w:t>
      </w:r>
      <w:r>
        <w:rPr>
          <w:rFonts w:ascii="Times New Roman;serif" w:hAnsi="Times New Roman;serif"/>
          <w:b w:val="false"/>
          <w:color w:val="000000"/>
          <w:sz w:val="13"/>
        </w:rPr>
        <w:t>®</w:t>
      </w:r>
      <w:r>
        <w:rPr>
          <w:rFonts w:ascii="Times New Roman;serif" w:hAnsi="Times New Roman;serif"/>
          <w:b w:val="false"/>
          <w:color w:val="000000"/>
          <w:sz w:val="20"/>
        </w:rPr>
        <w:t>. We plan to grow our Clover small business operating system through enhanced product features and functionality and client service; new and expanded industries, partnerships and geographies; and the integration of Clover into Commerce Hub</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embedded finance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Creating differentiated, innovative platforms in finance and commerce, including embedded finance and stablecoin</w:t>
      </w:r>
      <w:r>
        <w:rPr>
          <w:rFonts w:ascii="Times New Roman;serif" w:hAnsi="Times New Roman;serif"/>
          <w:b w:val="false"/>
          <w:color w:val="000000"/>
          <w:sz w:val="20"/>
        </w:rPr>
        <w:t>. We are investing in modern innovative platforms, building our key merchant orchestration layers and payment gateways, and growing our digital asset capabilities, including with the launch of FIUSD, each of which are anticipated to drive our embedded finance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Delivering operational excellence enabled by AI</w:t>
      </w:r>
      <w:r>
        <w:rPr>
          <w:rFonts w:ascii="Times New Roman;serif" w:hAnsi="Times New Roman;serif"/>
          <w:b w:val="false"/>
          <w:color w:val="000000"/>
          <w:sz w:val="20"/>
        </w:rPr>
        <w:t xml:space="preserve">. We plan to use our data and AI to create new products and services, enhance existing products and services, and deliver high-quality customer service experiences through platform analytics and fraud mitigation across multiple solutions. Through Project Elevate, our business transformation initiative, we are enhancing our operations through the use of AI and by simplifying and standardizing business processes.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Employing disciplined capital allocation for the long-term</w:t>
      </w:r>
      <w:r>
        <w:rPr>
          <w:rFonts w:ascii="Times New Roman;serif" w:hAnsi="Times New Roman;serif"/>
          <w:b w:val="false"/>
          <w:color w:val="000000"/>
          <w:sz w:val="20"/>
        </w:rPr>
        <w:t>. We intend to make capital allocation decisions that offer the best prospects for our long-term growth and profitability, which may include, among other actions internal investment, repayment of debt, return capital to shareholders, including through the repurchases of our own shares, and strategic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Servicing the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technology industry is highly dynamic, with new innovations entering the market and driving the expectations of our clients globally. The products and services we offer seek to meet the needs of our clients and their customers, with strong emphasis on quality, security, service reliability, timely introduction of new capabilities and features, flexibility and value. This requires us to continue our focus on product and service delivery, integration and innovation to meet and exceed the specific needs of our clients. We believe that our financial strength and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Product Development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meet the changing technology needs of our clients, we continually develop, maintain and enhance our products and services. Our development and technology operations apply the expertise of multiple teams to design, develop and maintain specialized products and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Resources</w:t>
      </w:r>
    </w:p>
    <w:p>
      <w:pPr>
        <w:pStyle w:val="TextBody"/>
        <w:bidi w:val="0"/>
        <w:spacing w:lineRule="auto" w:line="288" w:before="0" w:after="180"/>
        <w:jc w:val="left"/>
        <w:rPr/>
      </w:pPr>
      <w:r>
        <w:rPr>
          <w:rFonts w:ascii="Times New Roman;serif" w:hAnsi="Times New Roman;serif"/>
          <w:b w:val="false"/>
          <w:color w:val="000000"/>
          <w:sz w:val="20"/>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and security) and management; access to financial and telecommunication networks; computers, servers, mainframes, microchips and other computer equipment; and Clover and other POS devices. We periodically review our resource requirements and sources, as well as our relationships with key vendors, to meet the needs of our business including global sourcing efforts and alternate supplier resourcing. We believe we have access to the resources necessary for our current business needs. More information regarding supply chain risks can be found under the headings “Operational and Security Risks</w:t>
      </w:r>
      <w:r>
        <w:rPr>
          <w:color w:val="000000"/>
        </w:rPr>
        <w:t xml:space="preserve">” </w:t>
      </w:r>
      <w:r>
        <w:rPr>
          <w:rFonts w:ascii="Times New Roman;serif" w:hAnsi="Times New Roman;serif"/>
          <w:b w:val="false"/>
          <w:color w:val="000000"/>
          <w:sz w:val="20"/>
        </w:rPr>
        <w:t>and “Global Market Risks” in the Risk Factors section of this report and our human capital resources can be found below under the heading “Human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regard our hardware,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the proprietary rights necessary to conduct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 for technology products and services is fragmented, highly competitive, and served by a multitude of large and small businesses. Our principal competitors include other large, integrated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Merchant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products and services in our Merchant segment compete with merchant acquirers and financial institutions that provide acquiring and processing services to businesses on their own. In many cases, our alliance and commercial partners, such as ISOs and ISVs, compete against each other. We also compete with merchant services providers and, in a number of countries outside of the U.S., our Merchant segment competes with a growing number of local and regional providers. In addition, payment networks and large technology, media and other integrated payments software providers are increasingly offering products and services that compete with our suite of merchant acquiring solutions.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products and services in our Financial segment compete with large, diversified software and service companies, independent suppliers of software products, businesses that offer consumer and business payment solutions and a number of payment and card issuer processors.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 In addition, we compete with vendors that offer similar transaction processing products and services to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Government Regulation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the products and services that we offer, are subject to various U.S. federal, state and local regulations, as well as regulations outside the U.S. We are also subject to non-government-issued rules and requirements, such as those promulgated by various payment networks. Failure to comply with these rules and regulations may result in the suspension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revocation of licenses or registrations, the limitation, suspension or termination of service and the imposition of civil and criminal penalties, including fines. We may also be required, among other things, to make significant additional investments to comply with rules and regulations, to modify our products or services or the manner in which they are provided, or to limit or change the amount or types of revenue we are able to generate. </w:t>
      </w:r>
    </w:p>
    <w:p>
      <w:pPr>
        <w:pStyle w:val="TextBody"/>
        <w:bidi w:val="0"/>
        <w:spacing w:lineRule="auto" w:line="288" w:before="0" w:after="180"/>
        <w:jc w:val="left"/>
        <w:rPr/>
      </w:pPr>
      <w:r>
        <w:rPr>
          <w:rFonts w:ascii="Times New Roman;serif" w:hAnsi="Times New Roman;serif"/>
          <w:b/>
          <w:i/>
          <w:color w:val="000000"/>
          <w:sz w:val="20"/>
        </w:rPr>
        <w:t>Financial Institution Regulations.</w:t>
      </w:r>
      <w:r>
        <w:rPr>
          <w:color w:val="000000"/>
        </w:rPr>
        <w:t xml:space="preserve"> </w:t>
      </w:r>
      <w:r>
        <w:rPr>
          <w:rFonts w:ascii="Times New Roman;serif" w:hAnsi="Times New Roman;serif"/>
          <w:b w:val="false"/>
          <w:color w:val="000000"/>
          <w:sz w:val="20"/>
        </w:rPr>
        <w:t>Because a number of our businesses provide services to regulated financial institutions, we are considered to be a significant service provider under the Bank Service Company Act and, as a result, we are subject to examination by the U.S. Federal Banking Agencies, which are comprised of the Board of Governors of the Federal Reserve System, the Federal Deposit Insurance Corporation, and the Office of the Comptroller of the Currency. We are regulated based on the uniform principles, standards, and guidance created by the Federal Financial Institutions Examination Council (“FFIEC”). The FFIEC is a formal interagency body empowered to standardize and promote uniformity in supervision of financial institutions. The member agencies of the FFIEC include the Federal Reserve Board, the Federal Deposit Insurance Corporation, the Office of the Comptroller of the Currency, the National Credit Union Administration, and the Consumer Financial Protection Bureau (“CFPB”), which are empowered to conduct rule-making and supervision related to, and enforcement of, federal consumer financial laws, some of which apply to products and services offered by our clients.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U.S., we are subject to the Dodd-Frank Wall Street Reform and Consumer Protection Act, which, among other things, and in conjunction with the Federal Reserve Board’s Regulation II, caps debit interchange rates for certain debit and prepaid card issuers; prohibits card issuers and payment networks from restricting the ability of merchants to direct the routing of debit card transactions; requires all debit card issuers in the U.S. to participate in at least two unaffiliated debit payment card networks; prohibits payment card networks from restricting debit and prepaid card issuers from contracting with other payment card networks; and generally prohibits network exclusivity arrangements for debit card and prepaid card issuers. These regulations impact our card processing and debit network businesses.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hold payment institution or electronic money licenses. These subsidiaries are subject to regulation and oversight in the jurisdictions in which they operate and may be required to meet minimum capital maintenance requirements or other obligations. We are also subject to regulation by the Georgia Department of Banking and Finance in connection with our subsidiary’s Merchant Acquirer Limited Purpose Bank (“MALPB”) in Georgia, by the New Hampshire Banking Department in connection with our subsidiary’s trust company in New Hampshire and by the Colorado Division of Banking in connection with our subsidiary’s trust company in Colorado. In addition, several of our subsidiaries outside of the U.S. provide services such as merchant terminal leasing, debit processing, acquiring, issuing, factoring and settlement that make them subject to regulation by financial services supervisory agencies.</w:t>
      </w:r>
    </w:p>
    <w:p>
      <w:pPr>
        <w:pStyle w:val="TextBody"/>
        <w:bidi w:val="0"/>
        <w:spacing w:lineRule="auto" w:line="288" w:before="0" w:after="180"/>
        <w:jc w:val="left"/>
        <w:rPr/>
      </w:pPr>
      <w:r>
        <w:rPr>
          <w:rFonts w:ascii="Times New Roman;serif" w:hAnsi="Times New Roman;serif"/>
          <w:b/>
          <w:i/>
          <w:color w:val="000000"/>
          <w:sz w:val="20"/>
        </w:rPr>
        <w:t xml:space="preserve">Association and Network Rules. </w:t>
      </w:r>
      <w:r>
        <w:rPr>
          <w:rFonts w:ascii="Times New Roman;serif" w:hAnsi="Times New Roman;serif"/>
          <w:b w:val="false"/>
          <w:color w:val="000000"/>
          <w:sz w:val="20"/>
        </w:rPr>
        <w:t>We are subject to the rules of various payment networks, such as Visa and Mastercard. In order to provide processing services, a number of our subsidiaries are registered with Visa and/or Mastercard as service providers for member institutions. Our MALPB subsidiary and a number of our subsidiaries outside the U.S. are direct members or associate members of Visa and Mastercard for purposes of conducting merchant acquiring. Various subsidiaries are also processor level members of other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pStyle w:val="TextBody"/>
        <w:bidi w:val="0"/>
        <w:spacing w:lineRule="auto" w:line="288" w:before="0" w:after="180"/>
        <w:jc w:val="left"/>
        <w:rPr/>
      </w:pPr>
      <w:r>
        <w:rPr>
          <w:rFonts w:ascii="Times New Roman;serif" w:hAnsi="Times New Roman;serif"/>
          <w:b/>
          <w:i/>
          <w:color w:val="000000"/>
          <w:sz w:val="20"/>
        </w:rPr>
        <w:t>Privacy and Cybersecurity Regulations.</w:t>
      </w:r>
      <w:r>
        <w:rPr>
          <w:color w:val="000000"/>
        </w:rPr>
        <w:t xml:space="preserve"> </w:t>
      </w:r>
      <w:r>
        <w:rPr>
          <w:rFonts w:ascii="Times New Roman;serif" w:hAnsi="Times New Roman;serif"/>
          <w:b w:val="false"/>
          <w:color w:val="000000"/>
          <w:sz w:val="20"/>
        </w:rPr>
        <w:t>We provide services that involve the collection and processing of significant amounts of personal, financial, and other sensitive data which subject our offerings to various federal, state, local and foreign privacy and cybersecurity laws and regulations, as well as association and network privacy and cybersecurity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registrations or certifications for non-compliance.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we are subject to various federal and state privacy and cybersecurity laws and regulations. The U.S. Gramm-Leach-Bliley Act (“GLBA”) requires financial institutions to explain their information sharing practices to their customers and to safeguard customer data. In some circumstances, we are subject to GLBA and we have privacy and information security obligations to our clients who are regulated by the GLBA. In certain circumstances, we are subject to the U.S. Health Insurance Portability and Accountability Act (“HIPAA”), which governs the use and disclosure of protected health information in healthcare treatment, payment and operations by covered entities and their business associates. We are also subject to the Federal Trade Commission Act which empowers the U.S. Federal Trade Commission (“FTC”) to prohibit unfair and deceptive practices, including those related to privacy and cybersecurity. In addition to the Federal Trade Commission Act, the FTC, along with the CFPB, is responsible for overseeing and enforcing the privacy and information security provisions over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aspects of GLBA and the Fair Credit Reporting Act (“FCRA”), each of which is applicable to our businesses in certain circumstances. We also have obligations under various state privacy and cybersecurity laws, such as the California Consumer Privacy Act, which, among other things, give consumers more control over the personal information businesses hold about them.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European Union (“E.U.”) and the U.K., we are subject to the General Data Protection Regulation (“GDPR”), which imposes a comprehensive approach to personal data protection and includes penalties for non-compliance of up to the greater of 20 million Euro (or 17.5 million British Pound) or four percent of a company’s consolidated global revenue. There are numerous additional privacy laws and regulations that apply to our businesses around the world which also provide for significant penalties. Some of these data protection laws, including in the E.U., Argentina, Uruguay, Brazil, India, United Arab Emirates and China, impose requirements regarding data rights and security and either prohibit the international transfer of personal data or restrict such transfers absent lawfully recognized transfer mechanisms. Because we provide services in the financial services industry or are considered to be providing critical infrastructure to our clients additional obligations apply to us, including under the SOCI Act in Australia, the EBA Outsourcing Requirements and the Digital Operational Resilience Act in the E.U., and the CERT-In obligations in India.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information about privacy and cybersecurity regulation applicable to our business can be found in the Risk Factors section of this report under the heading “Regulatory and Compliance Risks.”</w:t>
      </w:r>
    </w:p>
    <w:p>
      <w:pPr>
        <w:pStyle w:val="TextBody"/>
        <w:bidi w:val="0"/>
        <w:spacing w:lineRule="auto" w:line="288" w:before="0" w:after="180"/>
        <w:jc w:val="left"/>
        <w:rPr/>
      </w:pPr>
      <w:r>
        <w:rPr>
          <w:rFonts w:ascii="Times New Roman;serif" w:hAnsi="Times New Roman;serif"/>
          <w:b/>
          <w:i/>
          <w:color w:val="000000"/>
          <w:sz w:val="20"/>
        </w:rPr>
        <w:t>Money Transmission and Payment Instrument Licensing and Regulations.</w:t>
      </w:r>
      <w:r>
        <w:rPr>
          <w:color w:val="000000"/>
        </w:rPr>
        <w:t xml:space="preserve"> </w:t>
      </w:r>
      <w:r>
        <w:rPr>
          <w:rFonts w:ascii="Times New Roman;serif" w:hAnsi="Times New Roman;serif"/>
          <w:b w:val="false"/>
          <w:color w:val="000000"/>
          <w:sz w:val="20"/>
        </w:rPr>
        <w:t xml:space="preserve">We are subject to various U.S. federal, state and foreign laws and 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 their agents to comply with federal and state anti-money laundering laws and regulations and often require the licensee to maintain certain levels of net worth. </w:t>
      </w:r>
    </w:p>
    <w:p>
      <w:pPr>
        <w:pStyle w:val="TextBody"/>
        <w:bidi w:val="0"/>
        <w:spacing w:lineRule="auto" w:line="288" w:before="0" w:after="180"/>
        <w:jc w:val="left"/>
        <w:rPr/>
      </w:pPr>
      <w:r>
        <w:rPr>
          <w:rFonts w:ascii="Times New Roman;serif" w:hAnsi="Times New Roman;serif"/>
          <w:b/>
          <w:i/>
          <w:color w:val="000000"/>
          <w:sz w:val="20"/>
        </w:rPr>
        <w:t>Stablecoin Regulations.</w:t>
      </w:r>
      <w:r>
        <w:rPr>
          <w:color w:val="000000"/>
        </w:rPr>
        <w:t xml:space="preserve"> </w:t>
      </w:r>
      <w:r>
        <w:rPr>
          <w:rFonts w:ascii="Times New Roman;serif" w:hAnsi="Times New Roman;serif"/>
          <w:b w:val="false"/>
          <w:color w:val="000000"/>
          <w:sz w:val="20"/>
        </w:rPr>
        <w:t>In 2025, the U.S. enacted the Guiding and Establishing National Innovation for U.S. Stablecoins Act (“GENIUS Act”), which provides a regulatory framework for payment stablecoins, and will become effective on the earlier of January 18, 2027, or 120 days after the issuance of final regulations implementing the GENIUS Act. Among other provisions, the GENIUS Act will subject payment stablecoin issuers to certain technical, disclosure, capital, liquidity and risk management requirements, require issuers to meet reserve backing and redemption standards, and subject issuers to regulatory supervision.</w:t>
      </w:r>
    </w:p>
    <w:p>
      <w:pPr>
        <w:pStyle w:val="TextBody"/>
        <w:bidi w:val="0"/>
        <w:spacing w:lineRule="auto" w:line="288" w:before="0" w:after="180"/>
        <w:jc w:val="left"/>
        <w:rPr/>
      </w:pPr>
      <w:r>
        <w:rPr>
          <w:rFonts w:ascii="Times New Roman;serif" w:hAnsi="Times New Roman;serif"/>
          <w:b/>
          <w:i/>
          <w:color w:val="000000"/>
          <w:sz w:val="20"/>
        </w:rPr>
        <w:t>Credit Reporting and Debt Collections Regulations.</w:t>
      </w:r>
      <w:r>
        <w:rPr>
          <w:color w:val="000000"/>
        </w:rPr>
        <w:t xml:space="preserve"> </w:t>
      </w:r>
      <w:r>
        <w:rPr>
          <w:rFonts w:ascii="Times New Roman;serif" w:hAnsi="Times New Roman;serif"/>
          <w:b w:val="false"/>
          <w:color w:val="000000"/>
          <w:sz w:val="20"/>
        </w:rPr>
        <w:t>TeleCheck, our check acceptance business, is subject to FCRA and various similar state laws. The 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In addition, several of our subsidiaries are subject to comparable local laws regarding collection activities and obtaining credit reports and the U.K. branch of our subsidiary FDR Limited, LLC also holds FCA permissions for debt collection activities.</w:t>
      </w:r>
    </w:p>
    <w:p>
      <w:pPr>
        <w:pStyle w:val="TextBody"/>
        <w:bidi w:val="0"/>
        <w:spacing w:lineRule="auto" w:line="288" w:before="0" w:after="180"/>
        <w:jc w:val="left"/>
        <w:rPr/>
      </w:pPr>
      <w:r>
        <w:rPr>
          <w:rFonts w:ascii="Times New Roman;serif" w:hAnsi="Times New Roman;serif"/>
          <w:b/>
          <w:i/>
          <w:color w:val="000000"/>
          <w:sz w:val="20"/>
        </w:rPr>
        <w:t>Unfair Trade Practice Regulations.</w:t>
      </w:r>
      <w:r>
        <w:rPr>
          <w:color w:val="000000"/>
        </w:rPr>
        <w:t xml:space="preserve"> </w:t>
      </w:r>
      <w:r>
        <w:rPr>
          <w:rFonts w:ascii="Times New Roman;serif" w:hAnsi="Times New Roman;serif"/>
          <w:b w:val="false"/>
          <w:color w:val="000000"/>
          <w:sz w:val="20"/>
        </w:rPr>
        <w:t>We and our clients are subject to various U.S. federal, state and foreign laws prohibiting unfair or deceptive trade 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pStyle w:val="TextBody"/>
        <w:bidi w:val="0"/>
        <w:spacing w:lineRule="auto" w:line="288" w:before="0" w:after="180"/>
        <w:jc w:val="left"/>
        <w:rPr/>
      </w:pPr>
      <w:r>
        <w:rPr>
          <w:rFonts w:ascii="Times New Roman;serif" w:hAnsi="Times New Roman;serif"/>
          <w:b/>
          <w:i/>
          <w:color w:val="000000"/>
          <w:sz w:val="20"/>
        </w:rPr>
        <w:t>Anti-Money Laundering, Anti-Bribery, and Sanctions Regulations.</w:t>
      </w:r>
      <w:r>
        <w:rPr>
          <w:color w:val="000000"/>
        </w:rPr>
        <w:t xml:space="preserve"> </w:t>
      </w:r>
      <w:r>
        <w:rPr>
          <w:rFonts w:ascii="Times New Roman;serif" w:hAnsi="Times New Roman;serif"/>
          <w:b w:val="false"/>
          <w:color w:val="000000"/>
          <w:sz w:val="20"/>
        </w:rPr>
        <w:t>We are subject to anti-money laundering laws and regulations, including the U.S. Bank Secrecy Act (“BSA”). Among other things, the BSA requires money services businesses, such as money transmitters, issuers of money orders and official checks, and providers of prepaid access, to develop and implement anti-money laundering programs. Our U.S. MALPB and non-U.S. acquiring businesses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and similar anti-bribery and anti-corruption laws in the countries in which we operate. 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 designated nationals of those countries, including narcotics traffickers and terrorists or terrorist organizations. Other entities may be subject to additional local sanctions requirements in other relevant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pStyle w:val="TextBody"/>
        <w:bidi w:val="0"/>
        <w:spacing w:lineRule="auto" w:line="288" w:before="0" w:after="180"/>
        <w:jc w:val="left"/>
        <w:rPr/>
      </w:pPr>
      <w:r>
        <w:rPr>
          <w:rFonts w:ascii="Times New Roman;serif" w:hAnsi="Times New Roman;serif"/>
          <w:b/>
          <w:i/>
          <w:color w:val="000000"/>
          <w:sz w:val="20"/>
        </w:rPr>
        <w:t xml:space="preserve">Communications Laws. </w:t>
      </w:r>
      <w:r>
        <w:rPr>
          <w:rFonts w:ascii="Times New Roman;serif" w:hAnsi="Times New Roman;serif"/>
          <w:b w:val="false"/>
          <w:color w:val="000000"/>
          <w:sz w:val="20"/>
        </w:rPr>
        <w:t>We are subject to various federal and state laws that govern telephone calls and the issuance of text messages to clients and consumers in the U.S. as well as to regulations that impose requirements on marketing emails sent to U.S residents. Our foreign subsidiaries are subject to equivalent laws in applicable jurisdictions.</w:t>
      </w:r>
    </w:p>
    <w:p>
      <w:pPr>
        <w:pStyle w:val="TextBody"/>
        <w:bidi w:val="0"/>
        <w:spacing w:lineRule="auto" w:line="288" w:before="0" w:after="180"/>
        <w:jc w:val="left"/>
        <w:rPr/>
      </w:pPr>
      <w:r>
        <w:rPr>
          <w:rFonts w:ascii="Times New Roman;serif" w:hAnsi="Times New Roman;serif"/>
          <w:b/>
          <w:i/>
          <w:color w:val="000000"/>
          <w:sz w:val="20"/>
        </w:rPr>
        <w:t>Indirect Regulatory Requirements.</w:t>
      </w:r>
      <w:r>
        <w:rPr>
          <w:color w:val="000000"/>
        </w:rPr>
        <w:t xml:space="preserve"> </w:t>
      </w:r>
      <w:r>
        <w:rPr>
          <w:rFonts w:ascii="Times New Roman;serif" w:hAnsi="Times New Roman;serif"/>
          <w:b w:val="false"/>
          <w:color w:val="000000"/>
          <w:sz w:val="20"/>
        </w:rPr>
        <w:t>A number of our clients are subject to various regulations and compliance obligations that do not apply directly to us but impact the services that we provide to our clients. To remain competitive, we have invested, and expect to continue to invest,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Talent and Compensation Committee of our Board of Directors assists the Board of Directors in establishing our compensation philosophy and strategy and overseeing our human capital management strategy which includes maintaining a culture committed to attracting, developing and retaining top talent, fostering innovation, and promoting employee engagement, safety and well-being. As of December 31, 2025, we had over 38,000 employees worldwide.</w:t>
      </w:r>
    </w:p>
    <w:p>
      <w:pPr>
        <w:pStyle w:val="TextBody"/>
        <w:bidi w:val="0"/>
        <w:spacing w:lineRule="auto" w:line="288" w:before="0" w:after="180"/>
        <w:jc w:val="left"/>
        <w:rPr/>
      </w:pPr>
      <w:r>
        <w:rPr>
          <w:rFonts w:ascii="Times New Roman;serif" w:hAnsi="Times New Roman;serif"/>
          <w:b/>
          <w:i/>
          <w:color w:val="000000"/>
          <w:sz w:val="20"/>
        </w:rPr>
        <w:t>Development and Retention</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 high-performance culture that consistently delivers excellence for our clients and long-term value for our shareholders while providing a workplace experience for our employees that values collaboration, innovation and diversity. Career development and internal mobility are important aspects of our value proposition for employees. We provide employees with numerous training and development opportunities, including through an e-learning platform specifically geared toward global technology employees; our Top Talent program, designed to accelerate the professional growth of our top talent across each of our global regions; our Leading Fiserv program, designed to develop critical leadership skills for frontline managers; our Vision to Results leadership program, focused on driving enterprise goals; and an online platform that provides global access to over 10,000 learning opportunities. Internal mobility is generally our preferred approach for filling open positions and fostering career advancement for our employees. To encourage internal mobility, we maintain an internal talent pipeline, increasing employee retention, job satisfaction and personal and professional growth opportunities.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adopted a pay-for-performance philosophy that is designed to recognize performance and reward achievement of our strategic business objectives and financial results. Total compensation consists of a competitive base pay and annual incentive opportunity typically delivered in a mix of cash and equity that is designed to promote retention and reward the attainment of defined performance goals. We are committed to providing fair pay to our employees regardless of gender, race, ethnicity or any other protected characteristic, and we regularly measure and evaluate employee compensation. In addition, throughout the year, we celebrate employee contributions and achievements through a peer-based global recognition program that enables recognition and financial rewards.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Engagement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value employee engagement and feedback. Throughout the year, we engage with our employees through events such as lunch-and-learns, quarterly all-hands meetings, town halls, leadership meetings and other forums. We encourage managers to meet regularly with their teams and encourage skip-level discussions.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assess employee engagement, we periodically collect employee feedback through employee engagement surveys, including annual enterprise-wide surveys and issue-specific surveys. These surveys cover a variety of topics, such as engagement, well-being, client experience, employee experience, communication, teamwork, manager effectiveness and trust. In addition to assessing engagement, the survey results enable us to gain insight into employee perspectives and issues which we use to enhance processes, set priorities and respond to employee concerns. In 2025, 90% of our employees participated in our engagement survey.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Safety and Well-Being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committed to the safety of our workforce and maintain a global safety program that is designed to protect the safety and well-being of our employees in the workplace, minimize injury and accident frequency and severity, minimize loss to property, equipment and operational disruption, and enable greater employee satisfaction and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committed to providing comprehensive and competitive benefits to our employees that are responsive to their physical, financial, social and emotional needs. Our benefit offerings include a variety of medical and dental plan choices, mental health and counseling programs, caregiver support programs, enhanced family forming and planning resources, and paid time off. We seek to control the cost of health care benefits for our employees despite the increased cost of such benefits to the company. Investing in our employees in this way helps us retain top talent and demonstrates our commitment to our employees, our most important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Competitive and Business Risks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operate in a competitive business environment and may not be able to compete effectively.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 business combinations, alliances and consolidations that may strengthen their existing products and services or create new products and services that compete with ours.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If we fail to keep pace with technological change, including as a result of artificial intelligence, we could lose clients or have trouble attracting new clients.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and services are characterized by constant and rapid technological change, evolving industry standards, frequent introduction of new products and services, and increasing client expectations. Our ability to respond timely to these changes, including by enhancing our current products and services and developing and introducing new products and services, will significantly affect our future success. In addition, competitors and other third parties may incorporate artificial intelligence into products and offerings more quickly or more successfully than we do, which could impair our ability to compete effectively and adversely affect our results of operations. Furthermore, the success of certain of our products and services rely, in part, on financial institutions, business partners and other third parties promoting the use of or distributing our products and services. If we are unsuccessful in developing, marketing and selling products or services that gain market acceptance, or if third parties insufficiently promote or distribute our products and services, it would likely have a material adverse effect on our ability to retain existing clients, to attract new ones and to grow profitably.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use artificial intelligence in our business, and challenges with properly managing its use could result in legal liability or reputational harm.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data, and the insights enabled by data, can be used to create or enhance the products and services that we offer to our clients. As a result, we are using, and expect to continue to expand our use of, artificial intelligence and machine learning in our product development processes, services and operations. The use of artificial intelligence technologies carries inherent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risks, and there can be no assurance that our use of artificial intelligence will enhance our products or services or achieve any improvements in innovation or efficiency. If the content, analyses or recommendations that artificial intelligence applications assist in producing are or are alleged to be inaccurate, deficient or biased, our business, financial condition and results of operations may be adversely affected. Furthermore, our services that integrate third-party artificial intelligence models may rely on certain safeguards implemented by the third-party providers of the underlying artificial intelligence models, including those related to the accuracy, bias and other variables of the data, and these safeguards may be insufficient. Legislation and regulations governing the development or use of artificial intelligence and automated-decision making have been implemented or are under consideration in the U.S. at the state and local level, as well as internationally. Such legislation and regulations may impose obligations related to our development, offering, and use of artificial intelligence, particularly those use cases that are deemed by the law to be “high risk”, and expose us to increased risk of regulatory enforcement and litigation. As a result, our ability to use artificial intelligence and machine learning may be constrained by current or future laws, regulatory or self-regulatory requirements.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One Fiserv action plan may not generate the benefits that we anticipate.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2025, we announced a strategic plan, referred to as the One Fiserv action plan, that focuses on: operating with a client-first mindset to win new enterprise clients and grow average revenue per client; building the pre-eminent small business operating platform through Clover; creating differentiated, innovative platforms in finance and commerce, including embedded finance and stablecoin; delivering operational excellence enabled by artificial intelligence; and employing disciplined capital allocation for the long-term. To successfully execute the plan, we must implement operational, technological and cultural changes across our organization, which may be difficult to do. In addition, although we have planned for a certain level of expense in implementing the plan, there are factors beyond our control that could cause the total amount or the timing of the expenses we may incur to be different than anticipated. As a result, the actual benefits of the plan may be less significant than anticipated. Furthermore, we may not be able to achieve expected benefits of the plan on our anticipated timeline or at all.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If we are unable to renew contracts on favorable terms or if contracts are terminated prematurely, we could lose clients and our results of operations and financial condition may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seek reduced fees due to pricing competition, their own financial condition or pressure from their customers.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have contracts with U.S. federal, state and local governments. The contracts with these clients may contain terms that are not typical for non-government clients, such as the right to terminate for convenience, the right to unilaterally modify or reduce work to be provided under the contract, significant or unlimited indemnification obligations and being subject to appropriation of funds for the government contract program. In addition, if any of our government contracts were to be terminated for default, we could be suspended or debarred from contracting with that entity in the future, which could also provide other government clients the right to terminate.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factors could result in lower revenue from a client than we had anticipated based on our agreement with that client. If we are not successful in achieving high contract renewal rates and favorable contract terms, if contracts are terminated, or if we are prevented from performing work for these clients in the future, our results of operations and financial condition may be materially and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card association and debit network fees or products could increase costs or otherwise limit our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card associations and debit networks, including the card networks which we own,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depends, in part, on our merchant relationships and alliances, and if we are unable to maintain these relationships and alliances, our business may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Consolidations in the banking and financial services industry could adversely affect our revenue by eliminating existing or potential clients and making us more dependent on fewer clients.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make significant investments in emerging, innovative areas of financial services and technology that may not achieve expected returns.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continue to make significant investments in research, development, and marketing for new and existing products, services, and technologies, including embedded finance, stablecoin and artificial intelligence based products and services. We may not achieve significant revenue from our investment in innovative platforms and product offerings for several years, if at all, due to regulatory uncertainty, competitors’ success with similar offerings, lack of demand from our customer base for these offerings, our inability to successfully integrate these offerings into our established platforms, or other factors. New products and services may not be profitable or may not achieve operating margins as high as we have experienced historically.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costs associated with developing, integrating and deploying these product offerings may be higher than anticipated, and these product offerings may require significant additional investment. Competitors may identify and develop applications for these technologies that reduce our ability achieve our desired financial returns. Our customers’ rate of adoption of novel product offerings may be slower than we anticipate and impact the feasibility of these product offerings going forward.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Among the new services we intend to offer is custody for stablecoin reserves held under the GENIUS Act and other stablecoin regulations to help financial institutions retain funds associated with FIUSD stablecoin issuance. Our stablecoin offering has only recently been enabled by regulation. We have made certain assumptions about future stablecoin regulation, but there is no certainty about the favorability of the final regulatory environment. Additionally, given the relative recency of the GENIUS Act, it is not clear what the market demand will be for our stablecoin offering from our financial institution customers.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embedded finance business is an emerging product area that could expose us to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embedded finance business involves providing financial services to a merchant’s customers. These financial services may be branded in the name of a merchant. In addition, these financial services may be incorporated into the merchant’s products or services or may be used to facilitate financial transactions that permit the merchant to sell more products or services. In some cases, we resell the services of third parties, including financial institutions, technology providers, or program managers.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third-party services may be integrated with our own technology or services. We are exposed to financial and performance risks related to the third parties whose services we resell. In addition, we may be contractually entitled to a percentage of the revenue earned by the financial institution or other third party, and accordingly, we may assume risks, either contractually or as a matter of law, that would ordinarily be risks assumed by a financial institution and not by a technology provider. These risks include credit risk, consumer fraud risk, operational risk, and compliance risk. It is possible that state or federal regulators may determine that we are directly subject to regulations that have not previously applied directly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Operational and Security Risks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Security incidents or other technological risks involving our systems and data, or those of our clients, partners or vendors, could expose us to liability or damage our reputation.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operations depend on receiving, storing, processing and transmitting sensitive information pertaining to our business, our employees, our clients and their customers. Under the card network rules, various federal, state and foreign laws, and client contracts, we are responsible for information provided to us by financial institutions, merchants, ISOs, third-party service providers and others. Preserving the confidentiality of sensitive business and personal information is critical to our business. Any unauthorized access, intrusion, infiltration, network disruption, ransom, denial of service or similar incident could disrupt the integrity, continuity, security and trust of our systems or data, or the systems or data of our clients, partners, vendors or service providers. These incidents are often difficult to detect and are constantly evolving. We expect that unauthorized parties will continue to attempt to gain access to our systems or facilities, and those of our clients, partners, vendors and service providers, through various means and with increasing sophistication, particularly as cybercriminals attempt to profit from increased online banking, e-commerce and other online activity. State-sponsored cybersecurity attacks on financial service providers and financial systems could also adversely affect our business.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have invested and expect to continue to invest significant resources to maintain and enhance our information security and controls or to investigate and mitigate security vulnerabilities. Although we believe that we maintain a robust program of information security and controls and that none of the events that we have encountered to date have materially affected us, we cannot be certain that the security measures and procedures we have in place to detect security incidents and protect sensitive data, will be successful or sufficient to counter all current and emerging risks and threats. While we maintain cybersecurity insurance, our insurance may be insufficient or may not cover all liabilities incurred by such attacks. The impact of a material event involving our systems and data, or those of our clients, partners, vendors or service providers,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Operational failures and resulting interruptions in the availability of our products or services could harm our business and reputation.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operate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Disruptions of operations of other participants in the global financial system could prevent us from delivering our products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pStyle w:val="TextBody"/>
        <w:bidi w:val="0"/>
        <w:spacing w:lineRule="auto" w:line="288" w:before="0" w:after="180"/>
        <w:jc w:val="left"/>
        <w:rPr/>
      </w:pPr>
      <w:r>
        <w:rPr>
          <w:rFonts w:ascii="Times New Roman;serif" w:hAnsi="Times New Roman;serif"/>
          <w:b/>
          <w:color w:val="000000"/>
          <w:sz w:val="20"/>
          <w:shd w:fill="FFFFFF" w:val="clear"/>
        </w:rPr>
        <w:t xml:space="preserve">We rely on third parties to provide products and services and if we are unable to obtain such products or services in the future or if </w:t>
      </w:r>
      <w:r>
        <w:rPr>
          <w:rFonts w:ascii="Times New Roman;serif" w:hAnsi="Times New Roman;serif"/>
          <w:b/>
          <w:color w:val="000000"/>
          <w:sz w:val="20"/>
        </w:rPr>
        <w:t>these third parties fail to perform these services adequately</w:t>
      </w:r>
      <w:r>
        <w:rPr>
          <w:rFonts w:ascii="Times New Roman;serif" w:hAnsi="Times New Roman;serif"/>
          <w:b/>
          <w:color w:val="000000"/>
          <w:sz w:val="20"/>
          <w:shd w:fill="FFFFFF" w:val="clear"/>
        </w:rPr>
        <w:t>, our business may be materially and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 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 terms acceptable to us or at all, and we are not able to find timely suitable alternatives, we may no longer be able to provide certain services to customers, which could expose us and our clients to information security, financial, compliance and reputational risks. We may be negatively impacted by a disruption to our supply chain or third-party delivery service providers, including if the factories that manufacture our point-of-sale devices, payment cards or computer chips for payment cards, or paper stock are temporarily closed or experience workforce shortages; shipping services are interrupted or delayed; there are increased lead times, shortages or higher costs for certain materials and components; or there are workforce shortages at our third-party customer support, software development or technology hosting facilities. If we are unable to renew our existing contracts with key vendors and service providers, we might not be able to replace the related product or service at all or at the same cost. Any of these risks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may experience software defects, development delays or installation difficulties, which would harm our business and reputation and expose us to potential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Market Risks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may be adversely affected by geopolitical and other risks associated with operations outside of the U.S. and, as we continue to expand internationally, we may incur higher than anticipated costs and may become more susceptible to these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offer merchant acquiring, processing and issuing services outside of the U.S.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or economic instability, regulatory or policy changes and other events outside of our or our suppliers’ control. As we continue to expand internationally and grow our client base outside of the U.S., we may face challenges due to the presence of more established competitors, changes in local market conditions and our relative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is impacted by U.S. and global market and economic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to continue to derive revenue primarily from products and services we provide to the financial services industry and from our merchant acquiring business. Given this focus, we are exposed to global economic conditions, regulatory or policy changes and adverse economic trends that may accelerate the timing, or increase the impact of, risks to our financial performance. Such trends may include, but are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inflation, trade policy and tariffs, embargoes and trade sanctions, taxes, foreign currency fluctuations, interest rates, declining economies, social unrest, natural disasters, public health crises, including the occurrence of a contagious disease or illness, and the pace of economic recovery can change consumer spending behaviors, on which a significant portion of our revenues are dependent;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low levels of consumer and business confidence typically associated with recessionary environments and those markets experiencing relatively high inflation, taxes, tariffs, interest rates, and/or unemployment, may cause decreased spending by cardholders;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budgetary concerns in the U.S. and other countries around the world could affect the U.S. and other specific sovereign credit ratings, impact consumer confidence and spending, and increase the risks of operating in those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emerging market economies tend to be more volatile than the more established markets we serve, and adverse economic trends, including high rates of inflation, may be more pronounced in such emerging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financial institutions may restrict credit lines to cardholders, increase interest rates or limit the issuance of new cards to mitigate cardholder defaults;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uncertainty and volatility in the performance of our clients’ businesses may make estimates of our revenues, rebates, incentives, and realization of prepaid assets less predictable;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clients may decrease spending for value-added services, or may choose another provider with lower processing fees;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government intervention, including the effect of laws, regulations, treaties, trade agreements and/or government investments in our clients, may have potential negative effects on our business, operations and our relationships with our clients or otherwise alter their strategic direction away from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weakening in the economy or competition among retailers could force some retailers to close, resulting in exposure to potential credit losses and declines in transactions, and reduced earnings on transactions due to a potential shift to merchants with whom we may have less economically favorable contractual terms. Additionally, credit card issuers may reduce credit limits, increase fees and interest rates and become more selective in their card issuance practices.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prolonged poor economic environment, including a potential recession in the U.S. or other economies in which our business operates, could result in significant decreases in demand by current and potential clients for our products and services and in the number or dollar amount of transactions we process or accounts we service, which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Potential tariffs or trade wars could increase the cost of our products, which could adversely impact the competitiveness of our products and our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U.S. has imposed tariffs, and may impose new or increased tariffs, on certain imports from other countries, which may lead to retaliatory tariffs imposed by other governments. If the U.S. administration or other countries impose new or increased tariffs, trade restrictions or restrictions on the cross-border flow of data, our procurement of hardware devices, supply of materials and access to certain markets, could be impacted. Although it is difficult to predict how current or future tariffs on items imported from or exported to other countries will impact our business, the cost of our products manufactured in other countries and imported into the U.S. or elsewhere, or manufactured in the U.S. and exported elsewhere, could increase, which could adversely affect the demand for these products and have a material adverse effect on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Regulatory and Compliance Risks</w:t>
      </w:r>
    </w:p>
    <w:p>
      <w:pPr>
        <w:pStyle w:val="TextBody"/>
        <w:bidi w:val="0"/>
        <w:spacing w:lineRule="auto" w:line="288" w:before="0" w:after="180"/>
        <w:jc w:val="left"/>
        <w:rPr/>
      </w:pPr>
      <w:r>
        <w:rPr>
          <w:rFonts w:ascii="Times New Roman;serif" w:hAnsi="Times New Roman;serif"/>
          <w:b/>
          <w:color w:val="000000"/>
          <w:sz w:val="20"/>
        </w:rPr>
        <w:t>We have claims and lawsuits against us and have received governmental inquiries that may result in adverse outcomes.</w:t>
      </w:r>
      <w:r>
        <w:rPr>
          <w:color w:val="00808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currently, and may in the future, be subject to claims, lawsuits and governmental inquiries arising from the operation of our business, including those related to new product releases, significant business transactions, employee matters, artificial intelligence activities, and regulation. As described in Note 17. Commitments and Contingencies - Litigation and Investigation Matters to our consolidated financial statements, we are also currently subject to federal securities law complaints, derivative complaints and governmental investigations. As we continue to expand our business and offerings, we may be subject to additional types of legal claims. Any claims asserted against us, regardless of merit or eventual outcome, may harm our reputation. Litigation could be costly, time-consuming and divert attention of our management and employees from daily operational needs. There is no guarantee that we will be successful in defending ourselves in pending or future litigation or similar matters under various laws.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If we or third parties with whom we partner or contract fail to comply with applicable laws and regulations, we could be subject to liability and our business could be harmed.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businesses are subject to state, federal, and foreign laws and regulations, including payment, cybersecurity, consumer protection, money transmission, data privacy, artificial intelligence, anti-money laundering, anti-bribery, economic and trade sanctions, payment institution, electronic money licensing, credit reporting and debt collection laws and regulations.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change, and new laws, regulations and interpretations are regularly adopted.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volume and complexity of the regulations that impact our business, directly or indirectly, will continue to increase our cost of doing business. If we or third parties with whom we partner or contract fail to comply with applicable laws and regulations, we could be exposed to litigation or regulatory proceedings, our client relationships and reputation could be harmed, our ability to obtain new clients could be inhibited, we could be required to change the manner in which we conduct our business or suspend or terminate certain services, and we could incur significant fines, penalties, or losses, all of which could have a material adverse impact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If we fail to comply with the applicable requirements of the payment card networks and Nacha, they could seek to fine us, suspend us or terminate our registrations, which could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fund transfer and electronic benefits transactions,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heightened regulatory environment in the financial services industry may have an adverse impact on our clients and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Since the enactment of the Dodd-Frank Wall Street Reform and Consumer Protection Act, a number of substantial regulations affecting the supervision and operation of the financial services industry within the U.S. have been adopted, including those that establish the Consumer Financial Protection Bureau (“CFPB”). The CFPB has issued regulations and guidance under U.S. consumer financial protection laws that apply to, and conducts direct examinations of, “supervised banks and nonbanks” as well as “supervised service providers” like us. CFPB rules, examinations and enforcement actions may require us to adjust our activities and may increase our compliance costs. Changes to applicable financial services laws or regulations could adversely impact our debit network business and other businesses. In addition, certain of our alliance partners are subject to regulation by federal and state authorities and, as a result, could pass through some of those compliance obligations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regulation, examination or oversight of our business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including in respect of audits, investigations or enforcement actions related to us or third parties; or limit our ability to update our existing products and services, or require us to develop new ones. If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Any of these events, if realized,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Legislative or regulatory initiatives on cybersecurity and data privacy could adversely impact our business and financial results.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and data privacy risks have received heightened legislative and regulatory attention. In Europe and the U.K., their respective General Data Protection Regulations (collectively, “GDPR”) extends the scope of their data protection laws to companies processing data of individuals within the E.U. and the U.K., regardless of the company’s location, subject to certain limitations. The law requires companies to meet stringent requirements regarding the handling of personal data. E.U. and U.K. data protection law continuously develops and requires significant changes to our policies and procedures. GDPR imposes strict rules on the transfer of personal data out of the E.U. or U.K. to a “third country,” including the United States, unless particular transfer mechanisms are implemented. The mechanisms that we and many other companies rely upon for such data transfers are the subject of legal challenges, regulatory interpretations, and judicial decisions. In the E.U., U.K. and other markets, potential new rules and restrictions on the flow of data across borders could increase the cost and complexity of doing business in those regions. Additionally, we are subject to the E.U. Regulation known as the Digital Operational Resilience Act (“DORA”). DORA is intended to strengthen the information technology systems of covered financial entities to mitigate risks associated with operational disruptions. Our efforts to comply with E.U., U.K. and other cybersecurity, privacy and data protection laws around the world that apply to our businesses could involve substantial expenses, divert resources from other initiatives and projects and limit the services we are able to offer. There is also increased focus on data localization requirements around the world in countries such as the United Arab Emirates, China and India which could impact our business model with respect to our storage and transfer of personal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U.S. regulators, including the U.S. Federal Banking Agencies and the U.S. Federal Trade Commission (“FTC”) have adopted or proposed enhanced cyber and privacy security standards that apply to us and our financial institution clients and address privacy requirements for processing data of individuals, cyber risk governance and management, management of internal and external dependencies, and incident response, cyber resilience and situational awareness. The FTC and many state attorneys general are also interpreting federal and state consumer protection laws as imposing standards for the collection, use, dissemination, and security of data. Additionally, over a third of U.S. states have proposed or enacted comprehensive consumer privacy laws (such as the California Consumer Privacy Act) that have taken effect or will take effect in coming years. We cannot fully predict the impact of recently proposed or enacted laws or regulations on our business or operations, but compliance may require us to modify our data processing practices and policies incurring costs and expense. Legislation and regulations on cybersecurity, data privacy and data localization may compel us to enhance or modify our systems, invest in new systems or alter our business practices or our policies on how we process personal information, data governance and privacy. If any of these outcomes were to occur, our operational costs could increase significantly. Failure to comply with applicable laws in this area could also result in significant fines, penalties and reputational damage.</w:t>
      </w:r>
    </w:p>
    <w:p>
      <w:pPr>
        <w:pStyle w:val="TextBody"/>
        <w:bidi w:val="0"/>
        <w:spacing w:lineRule="auto" w:line="288" w:before="0" w:after="180"/>
        <w:jc w:val="left"/>
        <w:rPr/>
      </w:pPr>
      <w:r>
        <w:rPr>
          <w:rFonts w:ascii="Times New Roman;serif" w:hAnsi="Times New Roman;serif"/>
          <w:b/>
          <w:color w:val="000000"/>
          <w:sz w:val="20"/>
        </w:rPr>
        <w:t>Failure to comply with state and federal antitrust requirements could adversely affect</w:t>
      </w:r>
      <w:r>
        <w:rPr>
          <w:color w:val="000000"/>
        </w:rPr>
        <w:t xml:space="preserve"> </w:t>
      </w:r>
      <w:r>
        <w:rPr>
          <w:rFonts w:ascii="Times New Roman;serif" w:hAnsi="Times New Roman;serif"/>
          <w:b/>
          <w:color w:val="000000"/>
          <w:sz w:val="20"/>
        </w:rPr>
        <w:t>our</w:t>
      </w:r>
      <w:r>
        <w:rPr>
          <w:color w:val="000000"/>
        </w:rPr>
        <w:t xml:space="preserve"> </w:t>
      </w:r>
      <w:r>
        <w:rPr>
          <w:rFonts w:ascii="Times New Roman;serif" w:hAnsi="Times New Roman;serif"/>
          <w:b/>
          <w:color w:val="000000"/>
          <w:sz w:val="20"/>
        </w:rPr>
        <w:t>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merchant alliances, we hold an ownership interest in and have commercial relationships with competing merchant acquiring businesses while serving as an electronic processor for those businesses. In order to satisfy state and federal antitrust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may be sued for infringing the intellectual property rights of others.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Misappropriation of our intellectual property and proprietary rights could impair our competitive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In addition, use of artificial intelligence tools may result in the release of confidential or proprietary information which could limit our ability to protect, or prevent us from protecting, our intellectual property rights.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Some of our solutions integrate licensed software, including open source software, and any failure to comply with the terms of one or more of the licenses could adversely affect our business.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the results of which could affect our operations and financial condition.</w:t>
      </w:r>
    </w:p>
    <w:p>
      <w:pPr>
        <w:pStyle w:val="TextBody"/>
        <w:bidi w:val="0"/>
        <w:spacing w:lineRule="auto" w:line="288" w:before="0" w:after="180"/>
        <w:jc w:val="left"/>
        <w:rPr/>
      </w:pPr>
      <w:r>
        <w:rPr>
          <w:rFonts w:ascii="Times New Roman;serif" w:hAnsi="Times New Roman;serif"/>
          <w:b/>
          <w:color w:val="000000"/>
          <w:sz w:val="20"/>
        </w:rPr>
        <w:t>Changes in tax laws and regulations could adversely affect</w:t>
      </w:r>
      <w:r>
        <w:rPr>
          <w:color w:val="000000"/>
        </w:rPr>
        <w:t xml:space="preserve"> </w:t>
      </w:r>
      <w:r>
        <w:rPr>
          <w:rFonts w:ascii="Times New Roman;serif" w:hAnsi="Times New Roman;serif"/>
          <w:b/>
          <w:color w:val="000000"/>
          <w:sz w:val="20"/>
        </w:rPr>
        <w:t>our results of operations and cash flows from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tax by federal, state, local, and international taxing jurisdictions. Changes in tax laws or their interpretations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U.S. Congress, the Organization for Economic Co-operation and Development (the “OECD”) and other government agencies in jurisdictions in which we do business remain focused on the taxation of multinational corporations. The OECD, which represents a coalition of member countries, including the U.S., is contemplating changes to numerous longstanding tax principles, including ensuring all companies pay a global minimum tax and expanding taxing rights of market countries. Because the timing of implementation and the specific measures adopted will vary among participating countries, significant uncertainty remains regarding the impact of these initiatives and their implementation could adversely affect our business or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erif" w:hAnsi="Times New Roman;serif"/>
          <w:b/>
          <w:color w:val="000000"/>
          <w:sz w:val="20"/>
        </w:rPr>
        <w:t>Unfavorable resolution of tax contingencies could adversely affect</w:t>
      </w:r>
      <w:r>
        <w:rPr>
          <w:color w:val="000000"/>
        </w:rPr>
        <w:t xml:space="preserve"> </w:t>
      </w:r>
      <w:r>
        <w:rPr>
          <w:rFonts w:ascii="Times New Roman;serif" w:hAnsi="Times New Roman;serif"/>
          <w:b/>
          <w:color w:val="000000"/>
          <w:sz w:val="20"/>
        </w:rPr>
        <w:t>our results of operations and cash flows from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Organizational and Financial Risks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failure to attract and retain key personnel could have a material adverse effect on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If we are unable to hire or retain the necessary skilled personnel, we may be unable to develop new products, product implementations could be delayed, and our ability to meet the requirements of our customers could be negatively impacted.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Losses due to chargebacks, refunds or returns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be liable if our merchants or other parties that have obligations to deliver goods or services to cardholders fail to satisfy their obligations. For example, we and our merchant acquiring alliances may be subject to contingent liability for transactions originally acquired by us that are disputed by the cardholder and charged back to the merchants or other parties. These disputes could arise from fraud, misuse, unintentional use, settlement delay or failure, insufficiency of funds, returns, a failure to perform a service, or other reasons. If we or the alliance is unable to collect this amount from the merchant or other party because of the merchant’s or other party’s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or others could have a material adverse effect on our business, and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and expose us to fines or other liabilities. Increases in chargebacks, fines or other liabilities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Acquisitions subject us to risks, including assumption of unforeseen liabilities and difficulties in integrating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acquisitions outside of the U.S. often involve additional or increased risks including, for example: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managing geographically separated organizations, systems and facilities;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integrating personnel with diverse business backgrounds and organizational cultures;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complying with non-U.S. regulatory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enforcement of intellectual property rights in some non-U.S.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entering new non-U.S. markets due to, among other things, consumer acceptance and business knowledge of these new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political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 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We may be obligated to indemnify the purchasers of businesses pursuant to the terms of the relevant purchase and sale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balance sheet includes significant amounts of goodwill and intangible assets. The impairment of a significant portion of these assets could negatively affect our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balance sheet includes goodwill and intangible assets that represent approximately 60% of our total assets at December 31, 2025. These assets consist primarily of goodwill and identified intangible assets associated with our acquisitions. We evaluate goodwill for impairment on an annual basis, or more frequently if circumstances indicate possible impairment. In addition, we review intangible assets for impairment whenever events or changes in circumstances indicate the carrying amount of the asset may not be recoverable. If the carrying value of the asset is determined to be impaired, then it is written down to fair value by a non-cash charge to operating earnings. An impairment of a significant portion of goodwill or intangible assets could have a material negative effect on our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Existing or future leverage may harm our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approximately $29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limit our ability to return capital to shareholders, including through share repurchases;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or commercial paper notes are downgraded to below investment grade, we may incur additional interest expense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suffer reputational harm. If we are unable to generate sufficient cash flow from operations in the future to service our debt and meet our other cash requirements, including due to deterioration in economic and market conditions,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pStyle w:val="TextBody"/>
        <w:bidi w:val="0"/>
        <w:spacing w:lineRule="auto" w:line="288" w:before="0" w:after="180"/>
        <w:jc w:val="left"/>
        <w:rPr/>
      </w:pPr>
      <w:r>
        <w:rPr>
          <w:rFonts w:ascii="Times New Roman;serif" w:hAnsi="Times New Roman;serif"/>
          <w:b/>
          <w:color w:val="000000"/>
          <w:sz w:val="20"/>
        </w:rPr>
        <w:t>An increase</w:t>
      </w:r>
      <w:r>
        <w:rPr>
          <w:color w:val="000000"/>
        </w:rPr>
        <w:t xml:space="preserve"> </w:t>
      </w:r>
      <w:r>
        <w:rPr>
          <w:rFonts w:ascii="Times New Roman;serif" w:hAnsi="Times New Roman;serif"/>
          <w:b/>
          <w:color w:val="000000"/>
          <w:sz w:val="20"/>
        </w:rPr>
        <w:t>in interest rates may negatively impact our operating results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of our borrowings, including borrowings under our revolving credit facility, foreign lines of credit and commercial paper programs, are at variable rates of interest. An increase in interest rates would have a negative impact on our funding costs by causing an increase in interest expense. At December 31, 2025, we had approximately $2.1 billion in variable rate debt, which includes an aggregate $950 million drawn on our revolving credit facility and foreign lines of credit, and an aggregate amount of $1.2 billion outstanding under our U.S. dollar and Euro commercial paper programs. Based on outstanding debt balances and interest rates at December 31, 2025, a 1% increase in variable interest rates would result in an increase to annual interest expense of approximately $21 million.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results of operations may be adversely affected by changes in foreign currency exchange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In addition, we may incur material foreign currency exchange losses due to the remeasurement of monetary assets and liabilities in highly inflationary economies. We have also issued foreign currency-denominated senior notes and commercial paper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Enterprise Risk Management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the core of our business, we host, collect, process, use and retain significant amounts of financial, personal and other sensitive data across our own technology environment and the third-party information systems of our vendors, service providers and partners. In order to keep this data secure, we maintain an enterprise risk management (“ERM”) program designed to systematically identify and manage risk including risk from cybersecurity threats. The risk committee of the board of directors oversees our ERM program and it is reviewed annually by both the risk and audit committees of the board of directors. The risk committee also monitors and reports to the board regarding issues arising with respect to the risk governance structure and performance of the risk management function. The board, as a whole and through its committees, regularly engages with the Chief Risk Officer, management and outside advisors to identify, assess and manage risks of the company and to ensure the risk management function has the appropriate resources and authority to fulfill its responsibilities. An executive risk committee, comprised of senior leaders of our lines of business and corporate functions, provides executive level accountability for the ERM program.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an ongoing basis, we identify, categorize, assess, monitor and respond to business risks. We consider the various ways in which risks may affect our business by measuring the impact of those risks against a consistent set of criteria, which include the potential impact to our operations, financial performance, clients, technology, reputation, business strategy and regulatory environment. The risk committee of the board of directors reviews and approves a list of top enterprise risks and the risk appetite relating to such risks. Among the top risks included in our ERM program is cybersecurity risk. Response plans are developed, tracked and implemented for residual risks that are above the acceptable tolerance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Cybersecurity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Management’s Role in Cybersecurity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global cybersecurity services team is responsible for assessing our technology environment, identifying emerging cybersecurity threats and evolving cybersecurity threat capabilities, and implementing business processes and technical defenses to safeguard our technology environment and services. Our management has established a cybersecurity and technology risk committee focused on managing cybersecurity and technology risk and implementing cybersecurity and technology plans, strategies and objectives. The committee is chaired by the Deputy Chief Information Security Officer, who reports to our Co-President through our Chief Information Security Officer (“CISO”), and is comprised of senior business, cybersecurity, and technology leaders responsible for delivering our products and services. Our cybersecurity program is designed to enable us to detect and respond to cybersecurity incidents, continually improve the effectiveness of our cybersecurity controls, and dynamically respond to the evolving threat landscape.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cybersecurity operations center that continuously monitors our environment for cyber events, suspicious activity or unusual behaviors, and responds to minimize operational impact. We use layered security technologies, controls and modern analytics to detect, prevent and respond to threats. Our global cybersecurity services team gathers intelligence from public and private sources about threats, adversary campaigns and vulnerabilities. The global cybersecurity services team combines this external intelligence with our internal intelligence and analytics to assess risk and develop strategies that reduce exposure and improve response.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global cybersecurity policy and supporting standards which incorporate recognized industry standards and best practices from the National Institute of Standards and Technology as well as various industry security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employees play a vital role in protecting our and our clients’ data. We provide annual, mandatory training for all of our employees regarding cybersecurity threats to enable our employees to address cybersecurity threats and to communicate our evolving information security policies, standards, processes and practices. We also maintain a third-party risk management program to identify, assess, mitigate and monitor risks associated with third parties’ software and services that we utilize.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CISO has served in various senior roles in information technology and information security, in both the public and private sector, for over three decades. Similarly, the other members of our global cybersecurity services team have a broad range of cybersecurity training and experience in both the public, including military and law enforcement, and private sectors and maintain various certifications in relevant subjects.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Board Oversight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maintains primary oversight of the company’s strategic, operational and financial risks, including cybersecurity risks. The risk committee of the board of directors assists the board in its oversight of such risks and is primarily responsible for oversight of cybersecurity risks. The risk committee regularly reviews and discusses with management the current cybersecurity threat landscape, emerging trends and developments, and the company’s guidelines, policies and processes for monitoring, managing, and mitigating cybersecurity risks.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and the risk committee receive regular presentations and reports from management as well as outside experts on cybersecurity risks, which address a wide range of topics including recent developments, evolving standards, vulnerability assessments, third-party and independent reviews, the threat environment, technology trends and information security considerations arising with respect to our peers and third parties. On an annual basis, the board and the risk committee discuss our approach to cybersecurity risk management with our Chief Risk Officer, Chief Compliance Officer and Chief Information Security Officer, among others. At each regular board meeting, the risk committee reviews and reports to the board on key cybersecurity risks. The board and the risk committee receive prompt and timely information regarding any cybersecurity incident that meets established reporting thresholds, as well as ongoing updates regarding any such incident until it has been addressed.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Impact of Cybersecurity Threats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financial condition have not been materially affected by cybersecurity threats or incidents to date. However, to assess, identify, and manage material risks from cybersecurity threats, including as a result of previous cybersecurity incidents, we have invested and expect to continue to invest significant resources, including maintaining cybersecurity insurance coverage, to sustain and enhance our information security and controls or to investigate and mitigate security vulnerabilities. As a result, cybersecurity threats and other technological risks involving our systems have materially affected our business strategy and processes. Although we believe that we maintain a robust program of information security and controls and that none of the cybersecurity incidents that we have encountered to date have materially affected us,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cannot be certain that the security measures and procedures we have in place to detect security incidents and protect sensitive data will be successful or sufficient to counter all current and emerging risks and threats. The impact of a material cybersecurity incident involving our systems and data, or those of our clients, partners or vendors, could have a material adverse effect on our business strategy,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information on the impact of cybersecurity threats applicable to our business can be found in the Risk Factors section of this report under the heading “Operational and 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December 31, 2025, we owned 16 and leased 120 properties globally. Our real estate strategy includes developing centralized campus environments in strategic locations, including in Florida, Georgia, Nebraska, New Jersey, Wisconsin and Dublin, Ireland. These locations are used for operational, data center,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See the information set forth in Note 17. Commitments and Contingencies - Litigation and Investigation Matters to the consolidated financial statements, which is incorporated by reference in response to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names of our executive officers as of February 19, 2026, together with their ages, positions and business experience are described below:</w:t>
      </w:r>
    </w:p>
    <w:tbl>
      <w:tblPr>
        <w:tblW w:w="7830" w:type="dxa"/>
        <w:jc w:val="center"/>
        <w:tblInd w:w="0" w:type="dxa"/>
        <w:tblLayout w:type="fixed"/>
        <w:tblCellMar>
          <w:top w:w="28" w:type="dxa"/>
          <w:left w:w="28" w:type="dxa"/>
          <w:bottom w:w="28" w:type="dxa"/>
          <w:right w:w="28" w:type="dxa"/>
        </w:tblCellMar>
      </w:tblPr>
      <w:tblGrid>
        <w:gridCol w:w="1076"/>
        <w:gridCol w:w="945"/>
        <w:gridCol w:w="964"/>
        <w:gridCol w:w="145"/>
        <w:gridCol w:w="145"/>
        <w:gridCol w:w="146"/>
        <w:gridCol w:w="1287"/>
        <w:gridCol w:w="1287"/>
        <w:gridCol w:w="1835"/>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Age</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Lyons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Panagiotis (Takis) Georgakopoulos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L. Rosman</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Officer and Chief Legal Officer</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Dhivya Suryadevara</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180"/>
        <w:jc w:val="left"/>
        <w:rPr/>
      </w:pPr>
      <w:r>
        <w:rPr>
          <w:rFonts w:ascii="Times New Roman;serif" w:hAnsi="Times New Roman;serif"/>
          <w:b w:val="false"/>
          <w:i/>
          <w:color w:val="000000"/>
          <w:sz w:val="20"/>
        </w:rPr>
        <w:t xml:space="preserve">Mr. Lyons </w:t>
      </w:r>
      <w:r>
        <w:rPr>
          <w:rFonts w:ascii="Times New Roman;serif" w:hAnsi="Times New Roman;serif"/>
          <w:b w:val="false"/>
          <w:color w:val="000000"/>
          <w:sz w:val="20"/>
        </w:rPr>
        <w:t>has served as Chief Executive Officer since May 2025 and previously served as President and CEO-Elect from January 2025 to May 2025. Before joining Fiserv, Mr. Lyons served as President of The PNC Financial Services Group, Inc. and its wholly owned subsidiary, PNC Bank, National Association, since February 2024. Prior to that role, he served as Executive Vice President and Head of Corporate and Institutional Banking at PNC from 2011 to February 2024. Prior to joining PNC, from 2010 until 2011, Mr. Lyons served as Head of Corporate Development and Strategic Planning for Bank of America.</w:t>
      </w:r>
    </w:p>
    <w:p>
      <w:pPr>
        <w:pStyle w:val="TextBody"/>
        <w:bidi w:val="0"/>
        <w:spacing w:lineRule="auto" w:line="288" w:before="0" w:after="180"/>
        <w:jc w:val="left"/>
        <w:rPr/>
      </w:pPr>
      <w:r>
        <w:rPr>
          <w:rFonts w:ascii="Times New Roman;serif" w:hAnsi="Times New Roman;serif"/>
          <w:b w:val="false"/>
          <w:i/>
          <w:color w:val="000000"/>
          <w:sz w:val="20"/>
        </w:rPr>
        <w:t xml:space="preserve">Mr. Georgakopoulos </w:t>
      </w:r>
      <w:r>
        <w:rPr>
          <w:rFonts w:ascii="Times New Roman;serif" w:hAnsi="Times New Roman;serif"/>
          <w:b w:val="false"/>
          <w:color w:val="000000"/>
          <w:sz w:val="20"/>
        </w:rPr>
        <w:t>has served as Co-President since October 2025. Mr. Georgakopoulos served as Chief Operating Officer from April 2025 to October 2025 and as an Executive Vice President since September 2024. Before joining Fiserv, Mr. Georgakopoulos served as Global Head of Payments at JPMorgan Chase &amp; Co., a global financial services firm, from 2017 to 2024. From 2007 to 2016, Mr. Georgakopoulos served in various leadership roles at JPMorgan; and from 2000 to 2007, he worked at McKinsey &amp; Company, where he was a partner in the New York office.</w:t>
      </w:r>
    </w:p>
    <w:p>
      <w:pPr>
        <w:pStyle w:val="TextBody"/>
        <w:bidi w:val="0"/>
        <w:spacing w:lineRule="auto" w:line="288" w:before="0" w:after="180"/>
        <w:jc w:val="left"/>
        <w:rPr/>
      </w:pPr>
      <w:r>
        <w:rPr>
          <w:rFonts w:ascii="Times New Roman;serif" w:hAnsi="Times New Roman;serif"/>
          <w:b w:val="false"/>
          <w:i/>
          <w:color w:val="000000"/>
          <w:sz w:val="20"/>
        </w:rPr>
        <w:t>Mr. Rosman</w:t>
      </w:r>
      <w:r>
        <w:rPr>
          <w:color w:val="000000"/>
        </w:rPr>
        <w:t xml:space="preserve"> </w:t>
      </w:r>
      <w:r>
        <w:rPr>
          <w:rFonts w:ascii="Times New Roman;serif" w:hAnsi="Times New Roman;serif"/>
          <w:b w:val="false"/>
          <w:color w:val="000000"/>
          <w:sz w:val="20"/>
        </w:rPr>
        <w:t xml:space="preserve">has served as Chief Administrative Officer and Chief Legal Officer since 2021. Before joining Fiserv, Mr. Rosman was general counsel of OneMain Financial, a consumer lender, from 2020 to 2021. Previously, he served as general counsel of First Data Corporation from 2014 to 2019. Before joining First Data Corporation, Mr. Rosman was group general counsel of Willis Group Holdings plc, </w:t>
      </w:r>
      <w:r>
        <w:rPr>
          <w:rFonts w:ascii="Times New Roman;serif" w:hAnsi="Times New Roman;serif"/>
          <w:b w:val="false"/>
          <w:color w:val="000000"/>
          <w:sz w:val="20"/>
          <w:shd w:fill="FFFFFF" w:val="clear"/>
        </w:rPr>
        <w:t xml:space="preserve">a multinational risk advisor, insurance brokerage, and reinsurance brokerage company, </w:t>
      </w:r>
      <w:r>
        <w:rPr>
          <w:rFonts w:ascii="Times New Roman;serif" w:hAnsi="Times New Roman;serif"/>
          <w:b w:val="false"/>
          <w:color w:val="000000"/>
          <w:sz w:val="20"/>
        </w:rPr>
        <w:t>from 2012 to 2014, and deputy general counsel from 2009 to 2012. Mr. Rosman also previously served as an assistant U.S. attorney and as deputy assistant to the president and deputy staff secretary for President William J. Clinton.</w:t>
      </w:r>
    </w:p>
    <w:p>
      <w:pPr>
        <w:pStyle w:val="TextBody"/>
        <w:bidi w:val="0"/>
        <w:spacing w:lineRule="auto" w:line="288" w:before="0" w:after="180"/>
        <w:jc w:val="left"/>
        <w:rPr/>
      </w:pPr>
      <w:r>
        <w:rPr>
          <w:rFonts w:ascii="Times New Roman;serif" w:hAnsi="Times New Roman;serif"/>
          <w:b w:val="false"/>
          <w:i/>
          <w:color w:val="000000"/>
          <w:sz w:val="20"/>
        </w:rPr>
        <w:t xml:space="preserve">Ms. Suryadevara </w:t>
      </w:r>
      <w:r>
        <w:rPr>
          <w:rFonts w:ascii="Times New Roman;serif" w:hAnsi="Times New Roman;serif"/>
          <w:b w:val="false"/>
          <w:color w:val="000000"/>
          <w:sz w:val="20"/>
        </w:rPr>
        <w:t>has served as Co-President since December 2025. Before joining Fiserv, Ms. Suryadevara served as Chief Executive Officer of Optum Financial Services and Optum Insight at UnitedHealth Group Incorporated, a healthcare company, from February 2024 until September 2025. From 2020 to 2023, Ms. Suryadevara was Chief Financial Officer at Stripe, Inc., a financial technology company. From 2004 to 2020, Ms. Suryadevara held various positions at General Motors Company, an automobile manufacturer, including serving as Chief Financial Officer from 2018 to 2020.</w:t>
      </w:r>
    </w:p>
    <w:p>
      <w:pPr>
        <w:pStyle w:val="TextBody"/>
        <w:bidi w:val="0"/>
        <w:spacing w:lineRule="auto" w:line="288" w:before="0" w:after="180"/>
        <w:jc w:val="left"/>
        <w:rPr/>
      </w:pPr>
      <w:r>
        <w:rPr>
          <w:rFonts w:ascii="Times New Roman;serif" w:hAnsi="Times New Roman;serif"/>
          <w:b w:val="false"/>
          <w:i/>
          <w:color w:val="000000"/>
          <w:sz w:val="20"/>
        </w:rPr>
        <w:t xml:space="preserve">Mr. Todd </w:t>
      </w:r>
      <w:r>
        <w:rPr>
          <w:rFonts w:ascii="Times New Roman;serif" w:hAnsi="Times New Roman;serif"/>
          <w:b w:val="false"/>
          <w:color w:val="000000"/>
          <w:sz w:val="20"/>
        </w:rPr>
        <w:t>has served as Chief Financial Officer since October 2025. Mr. Todd joined Fiserv in September 2025 as a Special Advisor. Before joining Fiserv, he served as a partner of TTV Capital, a venture capital firm focused on fintech, since 2023. Prior to joining TTV, Mr. Todd was senior executive vice president and chief financial officer of Total Systems Services, Inc., a global payments provider, from 2014 until its merger in 2019 with Global Payments, Inc., a payments technology company, and continued in such role at Global Payments until 2022. Mr. Todd previously served as executive vice president for strategy, mergers and acquisitions, product and marketing at Total Systems Services, Inc. from 2008 until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72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Price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(“NASDAQ”) under the ticker symbol “FISV.” On November 11, 2025, we transferred the listing of our common stock to NASDAQ from the New York Stock Exchange, where our common stock had previously traded under the ticker symbol “FI.” At December 31, 2025, our common stock was held by 1,406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with respect to purchases made by or on behalf of us or any “affiliated purchaser” (as defined in Rule 10b-18(a)(3) under the Securities Exchange Act of 1934) of shares of our common stock during the three months ended December 31, 2025:</w:t>
      </w:r>
    </w:p>
    <w:tbl>
      <w:tblPr>
        <w:tblW w:w="9006" w:type="dxa"/>
        <w:jc w:val="left"/>
        <w:tblInd w:w="0" w:type="dxa"/>
        <w:tblLayout w:type="fixed"/>
        <w:tblCellMar>
          <w:top w:w="28" w:type="dxa"/>
          <w:left w:w="28" w:type="dxa"/>
          <w:bottom w:w="28" w:type="dxa"/>
          <w:right w:w="28" w:type="dxa"/>
        </w:tblCellMar>
      </w:tblPr>
      <w:tblGrid>
        <w:gridCol w:w="681"/>
        <w:gridCol w:w="600"/>
        <w:gridCol w:w="609"/>
        <w:gridCol w:w="109"/>
        <w:gridCol w:w="109"/>
        <w:gridCol w:w="109"/>
        <w:gridCol w:w="488"/>
        <w:gridCol w:w="488"/>
        <w:gridCol w:w="461"/>
        <w:gridCol w:w="109"/>
        <w:gridCol w:w="109"/>
        <w:gridCol w:w="109"/>
        <w:gridCol w:w="267"/>
        <w:gridCol w:w="780"/>
        <w:gridCol w:w="139"/>
        <w:gridCol w:w="109"/>
        <w:gridCol w:w="109"/>
        <w:gridCol w:w="109"/>
        <w:gridCol w:w="488"/>
        <w:gridCol w:w="488"/>
        <w:gridCol w:w="486"/>
        <w:gridCol w:w="109"/>
        <w:gridCol w:w="109"/>
        <w:gridCol w:w="109"/>
        <w:gridCol w:w="540"/>
        <w:gridCol w:w="541"/>
        <w:gridCol w:w="642"/>
      </w:tblGrid>
      <w:tr>
        <w:trPr/>
        <w:tc>
          <w:tcPr>
            <w:tcW w:w="68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 xml:space="preserve">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that May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Yet 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 or</w:t>
            </w:r>
          </w:p>
          <w:p>
            <w:pPr>
              <w:pStyle w:val="TableContents"/>
              <w:bidi w:val="0"/>
              <w:spacing w:lineRule="auto" w:line="240" w:before="0" w:after="0"/>
              <w:jc w:val="center"/>
              <w:rPr/>
            </w:pPr>
            <w:r>
              <w:rPr>
                <w:rFonts w:ascii="Times New Roman;serif" w:hAnsi="Times New Roman;serif"/>
                <w:b/>
                <w:color w:val="000000"/>
                <w:sz w:val="16"/>
              </w:rPr>
              <w:t xml:space="preserve">Programs </w:t>
            </w:r>
            <w:r>
              <w:rPr>
                <w:rFonts w:ascii="Times New Roman;serif" w:hAnsi="Times New Roman;serif"/>
                <w:b/>
                <w:color w:val="000000"/>
                <w:sz w:val="10"/>
              </w:rPr>
              <w:t>(1)</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1,275,062 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1,275,062 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47,653,872 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1,779,722 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1,779,722 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45,874,150 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45,874,150 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3,054,784 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3,054,784 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On February 19, 2025, our board of directors authorized the purchase of up to 60.0 million shares of our common stock. This authorization does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shareholder return on our common stock for the five years ended December 31, 2025 with the S&amp;P 500 Index, the S&amp;P 500 Financials Index and the NASDAQ Composite Index. In connection with the transfer of the listing of our common stock to NASDAQ from the New York Stock Exchange in November 2025, we believe the NASDAQ Composite Index is an appropriate index for comparison purposes as it reflects our peer group and aligns with our diversified business model in payments, software, and technology-enabled services. The graph assumes that $100 was invested on December 31, 2020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before="0" w:after="180"/>
        <w:jc w:val="center"/>
        <w:rPr/>
      </w:pPr>
      <w:r>
        <w:rPr/>
        <w:drawing>
          <wp:inline distT="0" distB="0" distL="0" distR="0">
            <wp:extent cx="6029325" cy="447675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029325" cy="4476750"/>
                    </a:xfrm>
                    <a:prstGeom prst="rect">
                      <a:avLst/>
                    </a:prstGeom>
                  </pic:spPr>
                </pic:pic>
              </a:graphicData>
            </a:graphic>
          </wp:inline>
        </w:drawing>
      </w:r>
      <w:bookmarkStart w:id="0" w:name="i-1"/>
      <w:bookmarkEnd w:id="0"/>
    </w:p>
    <w:tbl>
      <w:tblPr>
        <w:tblW w:w="8421" w:type="dxa"/>
        <w:jc w:val="center"/>
        <w:tblInd w:w="0" w:type="dxa"/>
        <w:tblLayout w:type="fixed"/>
        <w:tblCellMar>
          <w:top w:w="28" w:type="dxa"/>
          <w:left w:w="28" w:type="dxa"/>
          <w:bottom w:w="28" w:type="dxa"/>
          <w:right w:w="28" w:type="dxa"/>
        </w:tblCellMar>
      </w:tblPr>
      <w:tblGrid>
        <w:gridCol w:w="846"/>
        <w:gridCol w:w="743"/>
        <w:gridCol w:w="751"/>
        <w:gridCol w:w="211"/>
        <w:gridCol w:w="466"/>
        <w:gridCol w:w="109"/>
        <w:gridCol w:w="109"/>
        <w:gridCol w:w="109"/>
        <w:gridCol w:w="109"/>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S&amp;P 500 Financials Index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left"/>
        <w:rPr/>
      </w:pPr>
      <w:r>
        <w:rPr>
          <w:rFonts w:ascii="Times New Roman;serif" w:hAnsi="Times New Roman;serif"/>
          <w:b w:val="false"/>
          <w:color w:val="000000"/>
          <w:sz w:val="20"/>
        </w:rPr>
        <w:t xml:space="preserve">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This section generally discusses information and results pertaining to the years ended December 31, 2025 and 2024. Information and discussion of results pertaining to the year ended December 31, 2023 not included herein can be found in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of our Annual Report on Form 10-K for fiscal year 2024, filed with the Securities and Exchange Commission on February 20, 2025. Our discussion is organized as follows:</w:t>
      </w:r>
      <w:r>
        <w:rPr>
          <w:color w:val="000000"/>
        </w:rPr>
        <w:t> </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Overview</w:t>
      </w:r>
      <w:r>
        <w:rPr>
          <w:rFonts w:ascii="Times New Roman;serif" w:hAnsi="Times New Roman;serif"/>
          <w:b w:val="false"/>
          <w:color w:val="000000"/>
          <w:sz w:val="20"/>
        </w:rPr>
        <w:t>. This section contains background information on our company and the products and services that we provide, acquisitions and dispositions, our enterprise priorities, and the trends affecting our industry in order to provide context for management’s discussion and analysis of our financial condition and results of operations.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Critical accounting policies and estimates</w:t>
      </w:r>
      <w:r>
        <w:rPr>
          <w:rFonts w:ascii="Times New Roman;serif" w:hAnsi="Times New Roman;serif"/>
          <w:b w:val="false"/>
          <w:color w:val="000000"/>
          <w:sz w:val="20"/>
        </w:rPr>
        <w:t>. This section contains a discussion of the accounting policies that we believe are important to our financial condition and results of operations and that require judgment and estimates on the part of management in their application. Our critical accounting policies are also summarized in Note 1 to the accompanying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Results of operations</w:t>
      </w:r>
      <w:r>
        <w:rPr>
          <w:rFonts w:ascii="Times New Roman;serif" w:hAnsi="Times New Roman;serif"/>
          <w:b w:val="false"/>
          <w:color w:val="000000"/>
          <w:sz w:val="20"/>
        </w:rPr>
        <w:t>. This section contains an analysis of our results of operations presented in the accompanying consolidated statements of income by comparing the results for the year ended December 31, 2025 to the results for the year ended December 31, 2024.</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Liquidity and capital resources</w:t>
      </w:r>
      <w:r>
        <w:rPr>
          <w:rFonts w:ascii="Times New Roman;serif" w:hAnsi="Times New Roman;serif"/>
          <w:b w:val="false"/>
          <w:color w:val="000000"/>
          <w:sz w:val="20"/>
        </w:rPr>
        <w:t>. This section provides an analysis of our cash flows and a discussion of our outstanding debt and commitments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Company Background</w:t>
      </w:r>
    </w:p>
    <w:p>
      <w:pPr>
        <w:pStyle w:val="TextBody"/>
        <w:bidi w:val="0"/>
        <w:spacing w:lineRule="auto" w:line="288" w:before="0" w:after="180"/>
        <w:jc w:val="left"/>
        <w:rPr/>
      </w:pPr>
      <w:r>
        <w:rPr>
          <w:rFonts w:ascii="Times New Roman;serif" w:hAnsi="Times New Roman;serif"/>
          <w:b w:val="false"/>
          <w:color w:val="000000"/>
          <w:sz w:val="20"/>
        </w:rPr>
        <w:t>We are a leading global provider of payments and financial services technology solutions.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 Our operations are comprised of the Merchant Solutions (“Merchant”) segment and Financial Solutions (“Financial”)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(“AI”) in our products, services and business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Small Business –</w:t>
      </w:r>
      <w:r>
        <w:rPr>
          <w:color w:val="000000"/>
        </w:rPr>
        <w:t xml:space="preserve"> </w:t>
      </w:r>
      <w:r>
        <w:rPr>
          <w:rFonts w:ascii="Times New Roman;serif" w:hAnsi="Times New Roman;serif"/>
          <w:b w:val="false"/>
          <w:color w:val="000000"/>
          <w:sz w:val="20"/>
        </w:rPr>
        <w:t>provides products and services to small businesses and independent software vendors (“ISV”), including Clover, our POS and business management platform for small business clients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Enterprise –</w:t>
      </w:r>
      <w:r>
        <w:rPr>
          <w:color w:val="000000"/>
        </w:rPr>
        <w:t xml:space="preserve"> </w:t>
      </w:r>
      <w:r>
        <w:rPr>
          <w:rFonts w:ascii="Times New Roman;serif" w:hAnsi="Times New Roman;serif"/>
          <w:b w:val="false"/>
          <w:color w:val="000000"/>
          <w:sz w:val="20"/>
        </w:rPr>
        <w:t>provides products and services to large businesses, including our integrated omnichannel operating system for enterprise clients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 xml:space="preserve">Processing – </w:t>
      </w:r>
      <w:r>
        <w:rPr>
          <w:rFonts w:ascii="Times New Roman;serif" w:hAnsi="Times New Roman;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distribute the products and services in the Merchant segment businesses through a variety of channels, including direct sales teams, strategic partnerships with agent sales forces, ISV’s, independent sales organizations, financial institutions and other strategic partners in the form of joint venture alliances, revenue sharing alliances and referral agreements.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Digital Payments</w:t>
      </w:r>
      <w:r>
        <w:rPr>
          <w:color w:val="000000"/>
        </w:rPr>
        <w:t xml:space="preserve"> – </w:t>
      </w:r>
      <w:r>
        <w:rPr>
          <w:rFonts w:ascii="Times New Roman;serif" w:hAnsi="Times New Roman;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Issuing</w:t>
      </w:r>
      <w:r>
        <w:rPr>
          <w:color w:val="000000"/>
        </w:rPr>
        <w:t xml:space="preserve"> – </w:t>
      </w:r>
      <w:r>
        <w:rPr>
          <w:rFonts w:ascii="Times New Roman;serif" w:hAnsi="Times New Roman;serif"/>
          <w:b w:val="false"/>
          <w:color w:val="000000"/>
          <w:sz w:val="20"/>
        </w:rPr>
        <w:t>provides credit card processing services; prepaid card processing services; card production services; print services; government payment processing; and student loan processing</w:t>
      </w:r>
    </w:p>
    <w:p>
      <w:pPr>
        <w:pStyle w:val="TextBody"/>
        <w:bidi w:val="0"/>
        <w:spacing w:lineRule="auto" w:line="288" w:before="0" w:after="180"/>
        <w:ind w:left="0" w:right="0" w:hanging="540"/>
        <w:jc w:val="left"/>
        <w:rPr/>
      </w:pPr>
      <w:r>
        <w:rPr>
          <w:color w:val="000000"/>
        </w:rPr>
        <w:t>•</w:t>
      </w:r>
      <w:r>
        <w:rPr>
          <w:rFonts w:ascii="Times New Roman;serif" w:hAnsi="Times New Roman;serif"/>
          <w:b w:val="false"/>
          <w:i/>
          <w:color w:val="000000"/>
          <w:sz w:val="20"/>
        </w:rPr>
        <w:t>Banking</w:t>
      </w:r>
      <w:r>
        <w:rPr>
          <w:color w:val="000000"/>
        </w:rPr>
        <w:t xml:space="preserve"> – </w:t>
      </w:r>
      <w:r>
        <w:rPr>
          <w:rFonts w:ascii="Times New Roman;serif" w:hAnsi="Times New Roman;serif"/>
          <w:b w:val="false"/>
          <w:color w:val="000000"/>
          <w:sz w:val="20"/>
        </w:rPr>
        <w:t>provides customer loan and deposit account processing; digital banking; financial and risk management; professional services and consulting; and check processing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expenses associated with our transformation initiative focused on operational excellence; and postage reimbursements.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One Fiserv Action Plan</w:t>
      </w:r>
    </w:p>
    <w:p>
      <w:pPr>
        <w:pStyle w:val="TextBody"/>
        <w:bidi w:val="0"/>
        <w:spacing w:lineRule="auto" w:line="288" w:before="0" w:after="180"/>
        <w:jc w:val="left"/>
        <w:rPr/>
      </w:pPr>
      <w:r>
        <w:rPr>
          <w:rFonts w:ascii="Times New Roman;serif" w:hAnsi="Times New Roman;serif"/>
          <w:b w:val="false"/>
          <w:color w:val="000000"/>
          <w:sz w:val="20"/>
        </w:rPr>
        <w:t>In the third quarter of 2025, we launched the One Fiserv action plan designed to prioritize and enhance client focus across five strategic pillars. The One Fiserv action plan centers our investments in areas that build on Fiserv’s strengths, including: operating with a client-first mindset to win new enterprise clients and grow average revenue per client; building the pre-eminent small business operating platform through Clover</w:t>
      </w:r>
      <w:r>
        <w:rPr>
          <w:rFonts w:ascii="null;sans-serif" w:hAnsi="null;sans-serif"/>
          <w:b w:val="false"/>
          <w:color w:val="000000"/>
          <w:sz w:val="13"/>
        </w:rPr>
        <w:t>®</w:t>
      </w:r>
      <w:r>
        <w:rPr>
          <w:rFonts w:ascii="null;sans-serif" w:hAnsi="null;sans-serif"/>
          <w:b w:val="false"/>
          <w:color w:val="000000"/>
          <w:sz w:val="20"/>
        </w:rPr>
        <w:t>;</w:t>
      </w:r>
      <w:r>
        <w:rPr>
          <w:color w:val="000000"/>
        </w:rPr>
        <w:t xml:space="preserve"> </w:t>
      </w:r>
      <w:r>
        <w:rPr>
          <w:rFonts w:ascii="Times New Roman;serif" w:hAnsi="Times New Roman;serif"/>
          <w:b w:val="false"/>
          <w:color w:val="000000"/>
          <w:sz w:val="20"/>
        </w:rPr>
        <w:t>creating differentiated, innovative platforms in finance and commerce, including embedded finance and stablecoin; delivering operational excellence enabled by AI; and employing disciplined capital allocation for the long-term.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advance this transformation, we are simplifying and standardizing processes, adopting new ways of working, and embedding AI to create a higher-quality, more productive business. This approach rethinks how business functions operate and aligns our product portfolio for the future. We are modernizing our technology infrastructure, enhancing resiliency, and reengineering our operating model through AI and advanced automation. We expect these efforts to strengthen efficiency, scalability, and innovation to deliver differentiated value and an exceptional experience for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and 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Acquisitions of Businesses</w:t>
      </w:r>
    </w:p>
    <w:p>
      <w:pPr>
        <w:pStyle w:val="TextBody"/>
        <w:bidi w:val="0"/>
        <w:spacing w:lineRule="auto" w:line="288" w:before="0" w:after="180"/>
        <w:jc w:val="left"/>
        <w:rPr/>
      </w:pPr>
      <w:r>
        <w:rPr>
          <w:rFonts w:ascii="Times New Roman;serif" w:hAnsi="Times New Roman;serif"/>
          <w:b w:val="false"/>
          <w:color w:val="000000"/>
          <w:sz w:val="20"/>
        </w:rPr>
        <w:t>On December 17, 2025, we acquired StoneCastle Cash Management, LLC, INDX Processing, LLC and StoneCastle Trust Co. (collectively, “StoneCastle”), a provider of deposit funding solutions. StoneCastle is included within the Financial segment and provides its network of depository institutions easy access to stable, cost efficient deposit funding. On October 1, 2025, we acquired a portion of The Toronto-Dominion Bank’s merchant processing business in Canada (“TD Merchant Canada”). This business is included within the Merchant segment and expands the footprint of our Clover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In connection with this transaction, we signed a multi-year strategic managed services program agreement with The Toronto-Dominion Bank to utilize our technology, including Clover, within its Merchant Solutions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25, 2025, we acquired the Smith Consulting Group, LLC business (“SCG”), an operational consulting service utilized by community banks and credit unions across the U.S. SCG is included within the Financial segment and supports our ability to provide consultative engagement to enhance community banks’ and credit unions’ strategic investments. On September 4, 2025, we acquired CardFree Inc. (“CardFree”), an all-in-one platform delivering integrated order, payment and loyalty solutions for merchants. CardFree is included within the Merchant segment and further expands the capabilities of our Clover platform across the hospitality, restaurant and lodging industries.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 On April 4, 2025, we acquired Pinch Payments NZ Limited (together with Zootive Pty Ltd, “Pinch Payments”), a payment facilitator. Pinch Payments is included within the Merchant segment and expands our flexible payment services for our partners and clients and our presence within the Asia-Pacific region.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18, 2025, we acquired CCV Group B.V. (“CCV”), a supplier of POS payment solutions. CCV is included within the Merchant segment and expands our network of payment solutions, enabling our ability to accelerate the deployment of our Clover POS and business management platform across Europe. 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acquired these businesses for an aggregate purchase price, including deferred payments, of $856 million, net of $84 million of acquired cash and including earn-out provisions estimated at a fair value of $35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2025, we acquired the remaining 49.9% ownership interest, including cash held of $195 million, in AIB Merchant Services (“AIBMS”), a payments solution provider, for $420 million. On April 17, 2025, we acquired the remaining 19% ownership interest in ICICI Merchant Services Private Limited, a merchant acceptance business, for $22 million.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previously held a majority controlling financial interest in each of these subsidiaries, which continue to be consolidated and reported within the Merchant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on April 1, 2025, we received an initial cash payment of $453 million. Completion of the contractual valuation and separation process during the third quarter of 2025 did not result in a significant adjustment to the initial cash payment received. In connection with the non-renewal of WFMS, we entered into a multi-year agreement with Wells Fargo to provide processing for current and future merchant clients as well as other services to Wells Fargo’s merchant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Industry Trends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 These innovations are driving a competitive landscape where customer expectations evolve rapidly as services digitize and choices multiply.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Consumers are increasingly using digital wallets, contactless payments, and mobile-first solutions, making omnichannel strategies that integrate online, mobile, and in-store experiences essential for customer retention. Consumers expect instant and secure checkouts, making simplified payment orchestration critical.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Merchants are moving beyond traditional payment acceptance to offer embedded financial services to deepen customer relationships and create new revenue streams. Unified commerce solutions and value-added services are becoming key differentiators in competitive markets.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 We are at the intersection of finance and commerce, creating opportunities for integrated solutions that combine payment acceptance, financial services, and data-driven insights.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Financial Institutions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institutions must be able to serve their customers with tailored solutions, delivered how and when those customers desire.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innovative payment solutions continues to grow, with a focus on faster, more convenient options across mobile channels, online applications, in-store cards, and digital currencies. Financial institutions are adopting advanced technologies, introducing new solutions, and responding to an increasingly complex regulatory landscape. 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Stablecoins and cryptocurrencies may also become more widely used as digital currencies provide increased accessibility and efficiency. We believe that economies of scale in developing and maintaining the infrastructure, technology, products, services and networks necessary to be competitive in such a dynamic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Market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Global macroeconomic conditions, including changing interest rates; inflation; disruptions in the global supply chain; changes in consumer spending; legislative changes, including potential effects of new tax laws;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operating results in certain foreign countries in which we operate may be adversely impacted by fluctuations in interest rates and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interest rate and foreign exchange rate environment and may enter into derivative instruments and utilize other non-derivative hedging instruments with creditworthy institutions in an effort to manage these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 discussion of risks and potential challenges applicable to our business, results of operations and financial condition, see “Part I. Item 1A. Risk Factors.” For management’s assessment of market risks, including interest rate and foreign currency risks, see “Part II. 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val="false"/>
          <w:color w:val="000000"/>
          <w:sz w:val="20"/>
          <w:u w:val="single"/>
        </w:rPr>
        <w:t>Goodwill and Intangible Assets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carrying value of goodwill for impairment annually, or more frequently if events or circumstances indicate the carrying value may not be recoverable. Goodwill is tested for impairment at a reporting unit level, which is one level below our operating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prevailing factors to determine whether or not to first perform a qualitative test. When performing a qualitative test, we assess numerous factors to determine whether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may be less than its carrying value, we perform a quantitative impairment test.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as appropriate, and engage an independent valuation specialist, when necessary, to assist in the fair value determinations.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October 1, 2025, we performed our annual goodwill impairment assessment and determined that the estimated fair values exceeded the respective carrying values for each of our reporting units. Subsequently, we determined that a triggering event occurred in the fourth quarter of 2025 due to a sustained decline in our stock price and, therefore, performed an additional goodwill impairment test as of December 31, 2025. The impairment assessment performed at December 31, 2025 determined that our goodwill of $37.7 billion was not impaired as the estimated fair values exceeded the respective carrying values for each of our reporting units. At December 31, 2025, fair values exceeded carrying values by less than 15% for eight of our reporting units with an aggregate goodwill balance of $18.5 billion as follows:</w:t>
      </w:r>
    </w:p>
    <w:tbl>
      <w:tblPr>
        <w:tblW w:w="7111" w:type="dxa"/>
        <w:jc w:val="left"/>
        <w:tblInd w:w="0" w:type="dxa"/>
        <w:tblLayout w:type="fixed"/>
        <w:tblCellMar>
          <w:top w:w="28" w:type="dxa"/>
          <w:left w:w="28" w:type="dxa"/>
          <w:bottom w:w="28" w:type="dxa"/>
          <w:right w:w="28" w:type="dxa"/>
        </w:tblCellMar>
      </w:tblPr>
      <w:tblGrid>
        <w:gridCol w:w="543"/>
        <w:gridCol w:w="476"/>
        <w:gridCol w:w="481"/>
        <w:gridCol w:w="365"/>
        <w:gridCol w:w="1066"/>
        <w:gridCol w:w="188"/>
        <w:gridCol w:w="109"/>
        <w:gridCol w:w="109"/>
        <w:gridCol w:w="109"/>
        <w:gridCol w:w="471"/>
        <w:gridCol w:w="806"/>
        <w:gridCol w:w="243"/>
        <w:gridCol w:w="243"/>
        <w:gridCol w:w="243"/>
        <w:gridCol w:w="243"/>
        <w:gridCol w:w="305"/>
        <w:gridCol w:w="243"/>
        <w:gridCol w:w="605"/>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2145" w:type="dxa"/>
            <w:gridSpan w:val="8"/>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to Carrying Value Cushion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Goodwill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263" w:type="dxa"/>
            <w:gridSpan w:val="2"/>
            <w:tcBorders/>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1</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2</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3</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4</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5</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6</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7</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 8</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future operating performance is below our expectations or there are changes to forecasted revenue growth rates or operating margins, risk-adjusted discount rates, foreign currency exchange rates, effective income tax rates, or some combination thereof, a decline in the fair value of the reporting units could result in, and we may be required to record, a goodwill impairment charge. It is also reasonably possible that future developments related to the interest rate environment, sustained decreases in our stock price, a shift in strategic initiatives, or significant changes in the composition of certain of our reporting units could have a future material impact on one or more of the estimates and assumptions used to evaluate goodwill impairment. We have no accumulated goodwill impairment through December 31, 2025. Additional information regarding our goodwill is included in Note 7 to the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intangible assets for impairment whenever events or changes in circumstances indicate the carrying amount of the asset may not be recoverable. We review capitalized software development costs for impairment at each reporting date. In connection with the goodwill impairment assessment triggering event in the fourth quarter of 2025, as described above, we performed an additional evaluation of the recoverability of our intangible assets and determined no impairment as of December 31, 2025. Recoverability of intangible assets is assessed by comparing the carrying amount of the asset group to either the undiscounted future cash flows expected to be generated by the asset group or the net realizable value of the asset group, depending on the type of asset group. Determining future cash flows and net realizable values involves judgment and the use of significant estimates and assumptions regarding future economic and market conditions. Measurement of any impairment loss is based on estimated fair value. Additional information regarding our intangible assets is included in Note 6 to the consolidated financial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 significance of our goodwill and intangible asset balances, an adverse change in the fair value and recoverability of the assets could result in an impairment charge, which may be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is measured based on consideration specified in a contract with a customer, and excludes any amounts collected on behalf of third parties. Contracts with customers are evaluated on a contract-by-contract basis as contracts may include multiple types of goods and services as described below.</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Processing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merchant cash advances; and software maintenance for ongoing client support.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recognize processing and services revenue in the period in which the specific service is performed unless it is not considered distinct from other goods or services, which revenue would then be recognized as control is transferred of the combined goods and services. Our arrangements for processing and services typically consist of an obligation to provide specific services to our customers on a when- and if-needed basis (a stand-ready performance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fixed or monthly minimum processing fees. Fees for our processing and services arrangements are typically billed and paid on a monthly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Product revenue is generated from print and card production, software license, data and analytics, and hardware (primarily POS devices)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We also maintain substantial volumes of payment and transaction data, providing insights into business and consumer activity. We account for the sales of distinct data and analytics as a separate performance obligation and recognize the revenue at its standalone selling price when the customer obtains control of the analytical data. Additionally, we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or leased by a customer. We account for the sale of distinct hardware as a separate performance obligation and recognize the revenue at the standalone selling price when the customer obtains control of the hardware.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Significant Judgments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use the following methods, inputs and assumptions in determining amounts of revenue to recognize. For multi-element arrangements, we account for individual goods or services as a separate performance obligation if they are distinct, if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we obtain control of goods and services prior to their transfer to a customer.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is determined based on the consideration to which we will be entitled in exchange for transferring goods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The transaction price (including any discounts or rebates) is allocated between distinct goods and services in a multi-element arrangement based on their relative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standalone selling prices. For items that are not sold separately, we estimate the standalone selling prices using available information such as market conditions and internally approved pricing guidelines. Judgment may be required to determine standalone selling prices for each performance obligation and whether it depicts the amount we expect to receive in exchange for the related good or service.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recognition for each identified performance obligation. Additional information regarding our revenue recognition policies is included in Note 3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make strategic acquisitions that may have a material impact on our consolidated results of operations or financial position. We allocate the purchase price of acquired businesses to the respective identifiable assets acquired and liabilities assumed in the transaction at their estimated fair values at the date of acquisition.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can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acquired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of businesses is included in Note 4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determination of our provision for income taxes requires management’s judgment in the use of estimates and the interpretation and application of complex tax laws, including certain complexities attributed to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 believe is more likely than not to be realized on settlement with the relevant taxing authority. As additional information becomes available, we evaluate our tax positions and adjust our liability accordingly for known tax exposures.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all or some portion of the deferred tax assets will not be realized. In making this determination, we consider the relative impact of all of the available positive and negative evidence regarding future sources of taxable income and available tax planning strategies. However, there could be a significant impact to our effective income tax rate in the event there is a significant change in our judgment. To the extent our judgment changes, the valuation allowances are then adjusted as appropriate, generally through the provision for income taxes, in the period in which the change in facts and circumstances occurs. Additional information regarding our income taxes is included in Note 16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Components of Revenue and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describes the components of revenue and expenses as presented in our consolidated statements of income.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Processing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 which comprised 80% of our total revenue in 2025, is generated from account- and transaction-based fees under multi-year contracts. Processing and services revenue is most reflective of our business performance as a significant amount of our total operating profit is generated from these services. Cost of processing and services consists of costs directly associated with providing services to clients and includes the following: personnel; equipment and data processing; facility costs, including costs to maintain software applications; client support; certain depreciation and amortization; and other operating expenses directly associated with processing and services 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Product revenue, which comprised 20% of our total revenue in 2025, is derived from print and card production, software license, data and analytics, and hardware (primarily POS devices) sales. Cost of product consists of costs directly associated with the products sold and includes the following: costs of materials and postage; hardware costs (primarily POS devices); personnel; facility costs; certain depreciation and amortization; and other costs directly associated with product 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salaries, wages, commissions and related expenses paid to sales personnel, administrative employees and management; third-party commissions and payments to distribution partners; marketing costs; certain depreciation and amortization; and other general selling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amounts included in our consolidated statements of income, the relative percentage that those amounts represent to revenue and the change in those amounts from year to year. This information should be read together with the consolidated financial statements and accompanying notes. The financial results presented below have been affected by acquisitions, non-cash impairment charges, net gain on sales and distribution of other assets, and foreign currency fluctuations.</w:t>
      </w:r>
    </w:p>
    <w:tbl>
      <w:tblPr>
        <w:tblW w:w="10205" w:type="dxa"/>
        <w:jc w:val="left"/>
        <w:tblInd w:w="0" w:type="dxa"/>
        <w:tblLayout w:type="fixed"/>
        <w:tblCellMar>
          <w:top w:w="28" w:type="dxa"/>
          <w:left w:w="28" w:type="dxa"/>
          <w:bottom w:w="28" w:type="dxa"/>
          <w:right w:w="28" w:type="dxa"/>
        </w:tblCellMar>
      </w:tblPr>
      <w:tblGrid>
        <w:gridCol w:w="1067"/>
        <w:gridCol w:w="669"/>
        <w:gridCol w:w="613"/>
        <w:gridCol w:w="211"/>
        <w:gridCol w:w="721"/>
        <w:gridCol w:w="109"/>
        <w:gridCol w:w="109"/>
        <w:gridCol w:w="109"/>
        <w:gridCol w:w="109"/>
        <w:gridCol w:w="211"/>
        <w:gridCol w:w="721"/>
        <w:gridCol w:w="109"/>
        <w:gridCol w:w="109"/>
        <w:gridCol w:w="109"/>
        <w:gridCol w:w="109"/>
        <w:gridCol w:w="109"/>
        <w:gridCol w:w="109"/>
        <w:gridCol w:w="352"/>
        <w:gridCol w:w="264"/>
        <w:gridCol w:w="300"/>
        <w:gridCol w:w="120"/>
        <w:gridCol w:w="120"/>
        <w:gridCol w:w="120"/>
        <w:gridCol w:w="352"/>
        <w:gridCol w:w="264"/>
        <w:gridCol w:w="300"/>
        <w:gridCol w:w="109"/>
        <w:gridCol w:w="109"/>
        <w:gridCol w:w="109"/>
        <w:gridCol w:w="109"/>
        <w:gridCol w:w="109"/>
        <w:gridCol w:w="214"/>
        <w:gridCol w:w="472"/>
        <w:gridCol w:w="110"/>
        <w:gridCol w:w="110"/>
        <w:gridCol w:w="110"/>
        <w:gridCol w:w="110"/>
        <w:gridCol w:w="191"/>
        <w:gridCol w:w="193"/>
        <w:gridCol w:w="274"/>
        <w:gridCol w:w="109"/>
        <w:gridCol w:w="109"/>
        <w:gridCol w:w="163"/>
      </w:tblGrid>
      <w:tr>
        <w:trPr/>
        <w:tc>
          <w:tcPr>
            <w:tcW w:w="10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9" w:type="dxa"/>
            <w:gridSpan w:val="6"/>
            <w:tcBorders/>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Percentage of Revenue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81" w:type="dxa"/>
            <w:gridSpan w:val="3"/>
            <w:tcBorders/>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gain on sales and distribution of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(loss) from investments in unconsolidated affiliates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 and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Percentage of revenue is calculated as the relevant revenue, expense, or income amount divided by total revenue, except for cost of processing and services and cost of product amounts, which are divided by the related component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tbl>
      <w:tblPr>
        <w:tblW w:w="9611" w:type="dxa"/>
        <w:jc w:val="left"/>
        <w:tblInd w:w="0" w:type="dxa"/>
        <w:tblLayout w:type="fixed"/>
        <w:tblCellMar>
          <w:top w:w="28" w:type="dxa"/>
          <w:left w:w="28" w:type="dxa"/>
          <w:bottom w:w="28" w:type="dxa"/>
          <w:right w:w="28" w:type="dxa"/>
        </w:tblCellMar>
      </w:tblPr>
      <w:tblGrid>
        <w:gridCol w:w="1141"/>
        <w:gridCol w:w="1000"/>
        <w:gridCol w:w="1009"/>
        <w:gridCol w:w="211"/>
        <w:gridCol w:w="721"/>
        <w:gridCol w:w="451"/>
        <w:gridCol w:w="109"/>
        <w:gridCol w:w="109"/>
        <w:gridCol w:w="109"/>
        <w:gridCol w:w="211"/>
        <w:gridCol w:w="616"/>
        <w:gridCol w:w="451"/>
        <w:gridCol w:w="109"/>
        <w:gridCol w:w="109"/>
        <w:gridCol w:w="109"/>
        <w:gridCol w:w="109"/>
        <w:gridCol w:w="109"/>
        <w:gridCol w:w="211"/>
        <w:gridCol w:w="691"/>
        <w:gridCol w:w="271"/>
        <w:gridCol w:w="109"/>
        <w:gridCol w:w="109"/>
        <w:gridCol w:w="109"/>
        <w:gridCol w:w="211"/>
        <w:gridCol w:w="721"/>
        <w:gridCol w:w="496"/>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755"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percentage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growth (decline)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 decline percentage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margin decline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basis point decline in operating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margin percentages are calculated using actual, unrounded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Total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revenue increased $737 million, or 4%, in 2025 compared to 2024, with 5% growth in our Merchant segment and 2% growth in our Financial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in our Merchant segment increased $509 million, or 5%, in 2025 compared to 2024. Small Business contributed 5% to Merchant segment revenue growth in 2025, primarily driven by volume growth, including from our Clover POS and business management platform, as well as the expansion of our merchant relationships through value-added services. Additionally, Enterprise contributed 1% to Merchant segment revenue growth in 2025, primarily driven by transaction growth, as well as an increase in data and analytics sales. A decrease in Processing’s revenue partially offset Merchant segment revenue growth in 2025.</w:t>
      </w:r>
    </w:p>
    <w:p>
      <w:pPr>
        <w:pStyle w:val="TextBody"/>
        <w:bidi w:val="0"/>
        <w:spacing w:lineRule="auto" w:line="288" w:before="0" w:after="180"/>
        <w:jc w:val="left"/>
        <w:rPr/>
      </w:pPr>
      <w:r>
        <w:rPr>
          <w:rFonts w:ascii="Times New Roman;serif" w:hAnsi="Times New Roman;serif"/>
          <w:b w:val="false"/>
          <w:color w:val="000000"/>
          <w:sz w:val="20"/>
        </w:rPr>
        <w:t>Revenue in our Financial segment increased $187 million, or 2%, in 2025 compared to 2024. Digital Payments contributed 1% and Issuing contributed 2% to Financial segment revenue growth, while a decrease in Banking’s revenue partially offset Financial segment revenue growth in 2025. Growth in both Digital Payments and Issuing in 2025 was driven by an increase in data and analytics sales and license revenue, primarily in the first half of the year. Additionally, Digital Payments was favorably impacted by an increase in transaction volume, including growth in Zelle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transactions, and Issuing by an increase in accounts on file in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at Corporate and Other increased $41 million, or 3%, in 2025 compared to 2024 due to increased postage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Total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expenses increased $798 million, or 5%, and total expenses as a percentage of total revenue increased 120 basis points to 72.5% in 2025 compared to 2024. Total expenses as a percentage of total revenue were impacted by higher payments to distribution partners of approximately 60 basis points; higher data processing costs of approximately 40 basis points; costs associated with our One Fiserv transformation program of approximately 40 basis points; and various other items. Total expenses as a percentage of total revenue in 2025 were favorably impacted by a reduction in amortization of acquisition-related intangible assets of approximately 80 basis points, and an $89 million gain related to the distribution of certain merchant contracts for the redemption of a minority partner’s membership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 as a percentage of processing and services revenue increased to 34.4% in 2025 compared to 32.2% in 2024. Cost of processing and services as a percentage of processing and services revenue was negatively impacted by a lower level of processing revenue growth, along with higher data processing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product as a percentage of product revenue decreased to 65.1% in 2025 compared to 69.4% in 2024. Cost of product as a percentage of product revenue in 2025 was favorably impacted by an increase in high margin data and analytics sales and license revenue, primarily in the first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total revenue increased to 32.5% in 2025 compared to 32.1% in 2024. Selling, general and administrative expenses as a percentage of total revenue in 2025 was negatively impacted by higher payments to distribution partners of approximately 60 basis points, an increase in personnel costs of approximately 50 basis points, and costs associated with our One Fiserv transformation program of approximately 20 basis points, partially offset by a reduction in amortization of acquisition related-intangible assets of approximately 80 basis points.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net gain on sales and distribution of other assets in 2025 includes an $89 million gain related to the distribution of certain merchant contracts for the redemption of a minority partner’s membership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Income and Operating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operating income decreased $61 million, or 1%, and total operating margin decreased 120 basis points to 27.5% in 2025 compared to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income in our Merchant segment decreased $59 million, or 2%, and operating margin decreased 250 basis points to 34.5% in 2025 compared to 2024. The decrease in operating income and operating margin in our Merchant segment in 2025 was primarily due to higher payments to distribution partners, along with higher data processing costs. Operating income in the Merchant segment benefited from a gain of $89 million in 2025 related to the distribution of certain merchant contracts for the redemption of a minority partner’s membership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income in our Financial segment decreased $105 million, or 2%, and operating margin decreased 200 basis points to 45.3% in 2025 compared to 2024. The decrease in operating income and operating margin in our Financial segment in 2025 was primarily due to a higher level of vendor spend and personnel costs to improve client experience, partially offset by an increase in high margin data and analytics sales and license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loss in Corporate and Other decreased $103 million in 2025 compared to 2024. The operating loss in 2025 was favorably impacted by a reduction in amortization of acquisition-related intangible assets of $116 million and a reduction in severance, acquisition and integration related expenses of $100 million, partially offset by costs associated with our One Fiserv transformation program of $86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$298 million, or 25%, in 2025 compared to 2024 due to debt financing activities, including our public offering and issuances of $2.0 billion, €2.175 billion and $1.75 billion of senior notes in August 2025, May 2025 and August 2024, respectively, as well as an increase in finance lease and other financing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decreased $117 million in 2025 compared to 2024. Other expense, net includes the remeasurement of monetary assets and liabilities for subsidiaries located in highly inflationary economies, gains or losses from a sale or change in fair value of investments in certain equity securities, and amounts related to debt guarantee arrangements of certain joint ventures. The remeasurement of monetary assets and liabilities in highly inflationary economies, including Argentina, resulted in foreign currency exchange losses of $158 million and $98 million during the years ended December 31, 2025 and 2024, respectively. Other expense, net in 2025 also included $82 million related to gains on the sale and remeasurement of certain equity investments. Other expense, net in 2024 included a $147 million non-cash settlement charge associated with the terminations of certain defined benefit pension plans, as well as $29 million related to gains on the sale and remeasurement of certain equity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income tax provision as a percentage of income before income taxes and income (loss) from investments in unconsolidated affiliates was 19.0% and 14.2% in 2025 and 2024, respectively. The effective income tax rate as a percentage of income before income taxes and income (loss) from investments in unconsolidated affiliates in 2025 included discrete tax benefits from equity compensation and transferable federal and foreign tax credits, resulting in a lower effective income tax rate compared to the statutory income tax rate. The effective income tax rate as a percentage of income before income taxes and income (loss) from investments in unconsolidated affiliates in 2024 included a deferred tax benefit recorded within the income tax provision associated with a non-cash impairment of certain equity method investments, primarily related to WFMS, recorded within income (loss) from investments in unconsolidated affiliates. The effective income tax rate as a percentage of income before income taxes and income (loss) from investments in unconsolidated affiliates in 2024 also included benefits associated with transferable federal tax credits, resulting in a lower effective income tax rate compared to the statutory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(Loss) from Investments in Unconsolidated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share of income (loss) from unconsolidated affiliates accounted for using the equity method is reported as income (loss) from investments in unconsolidated affiliates, and the related tax benefit is reported within the income tax provision in the consolidated statements of income. Income (loss) from investments in unconsolidated affiliates, including non-cash impairment charges, acquired intangible asset amortization from valuations in purchase accounting and gains on sales of certain investments, was $37 million and $(685) million in 2025 and 2024, respectively. Income from investments in unconsolidated affiliates in 2025 included a $51 million gain related to the sale of an equity method investment. Loss from investments in unconsolidated affiliates in 2024 included a $595 million non-cash impairment related to the Wells Fargo Merchant Services merchant alliance.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$10 million and $49 million in 2025 and 2024, respectively. Effective June 2024, we mutually agreed to terminate a joint venture agreement with a merchant alliance joint venture minority partner, resulting in lower net income attributable to noncontrolling interests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Income Per Share - Diluted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 per share-diluted was $6.34 and $5.38 in 2025 and 2024, respectively. In addition to the impacts to net income attributable to Fiserv, Inc. described above, our diluted weighted average outstanding shares were reduced by approximately 6% in 2025 compared to 2024, due to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primary liquidity needs in the ordinary course of business are to: (i) fund normal operating expenses; (ii) meet the interest and principal requirements of our outstanding indebtedness, including finance lease and other financing obligations; and (iii) fund capital expenditures and operating lease payments. We believe these needs will be satisfied in both the short and long term using cash flow generated by our operations, along with our cash and cash equivalents of $798 million, proceeds from the issuance of U.S. dollar and Euro commercial paper, and available capacity under our revolving credit facility of $4.6 billion (net of $188 million of outstanding revolver borrowings and $3.2 billion of capacity designated for outstanding borrowings under our commercial paper programs, senior notes due in the next 12 months and letters of credit) at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cash provided by operating activities, or operating cash flow, and capital expenditures:</w:t>
      </w:r>
    </w:p>
    <w:tbl>
      <w:tblPr>
        <w:tblW w:w="10205" w:type="dxa"/>
        <w:jc w:val="left"/>
        <w:tblInd w:w="0" w:type="dxa"/>
        <w:tblLayout w:type="fixed"/>
        <w:tblCellMar>
          <w:top w:w="28" w:type="dxa"/>
          <w:left w:w="28" w:type="dxa"/>
          <w:bottom w:w="28" w:type="dxa"/>
          <w:right w:w="28" w:type="dxa"/>
        </w:tblCellMar>
      </w:tblPr>
      <w:tblGrid>
        <w:gridCol w:w="2089"/>
        <w:gridCol w:w="1819"/>
        <w:gridCol w:w="1848"/>
        <w:gridCol w:w="211"/>
        <w:gridCol w:w="616"/>
        <w:gridCol w:w="109"/>
        <w:gridCol w:w="109"/>
        <w:gridCol w:w="109"/>
        <w:gridCol w:w="109"/>
        <w:gridCol w:w="211"/>
        <w:gridCol w:w="616"/>
        <w:gridCol w:w="109"/>
        <w:gridCol w:w="109"/>
        <w:gridCol w:w="109"/>
        <w:gridCol w:w="109"/>
        <w:gridCol w:w="219"/>
        <w:gridCol w:w="558"/>
        <w:gridCol w:w="113"/>
        <w:gridCol w:w="113"/>
        <w:gridCol w:w="113"/>
        <w:gridCol w:w="113"/>
        <w:gridCol w:w="179"/>
        <w:gridCol w:w="182"/>
        <w:gridCol w:w="333"/>
      </w:tblGrid>
      <w:tr>
        <w:trPr/>
        <w:tc>
          <w:tcPr>
            <w:tcW w:w="208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sales and distribution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settlement charge for terminated pension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currency exchange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working capital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capitalized software and other intangibles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operating cash flow was $6.1 billion in 2025, a decrease of 9% compared with $6.6 billion in 2024. This decrease was primarily attributable to lower profitability, excluding the non-cash settlement charge for terminated pension plans and non-cash impairments included within loss from investments in unconsolidated affiliates in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policy is to use our operating cash flow primarily to fund capital expenditures, merchant and settlement anticipation cash advances, share repurchases, acquisitions and to repay debt rather than to pay dividends. Net merchant and settlement anticipation cash advances were $636 million during 2025. These cash advances are funded through a combination of operating cash and various short-term lines of credit with foreign banks and alliance partners. Our capital expenditures were approximately 8% of our total revenue in both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future cash requirements under certain contractual obligations at December 31, 2025:</w:t>
      </w:r>
    </w:p>
    <w:tbl>
      <w:tblPr>
        <w:tblW w:w="10094" w:type="dxa"/>
        <w:jc w:val="left"/>
        <w:tblInd w:w="0" w:type="dxa"/>
        <w:tblLayout w:type="fixed"/>
        <w:tblCellMar>
          <w:top w:w="28" w:type="dxa"/>
          <w:left w:w="28" w:type="dxa"/>
          <w:bottom w:w="28" w:type="dxa"/>
          <w:right w:w="28" w:type="dxa"/>
        </w:tblCellMar>
      </w:tblPr>
      <w:tblGrid>
        <w:gridCol w:w="1199"/>
        <w:gridCol w:w="1053"/>
        <w:gridCol w:w="1062"/>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w:t>
              <w:br/>
              <w:t>5 years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interest </w:t>
            </w:r>
            <w:r>
              <w:rPr>
                <w:rFonts w:ascii="Times New Roman;serif" w:hAnsi="Times New Roman;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Minimum finance lease payments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Minimum operating lease payments </w:t>
            </w:r>
            <w:r>
              <w:rPr>
                <w:rFonts w:ascii="Times New Roman;serif" w:hAnsi="Times New Roman;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obligations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Interest, finance lease, operating lease and purchase obligations are reported on a pre-tax basis.</w:t>
      </w:r>
    </w:p>
    <w:p>
      <w:pPr>
        <w:pStyle w:val="TextBody"/>
        <w:bidi w:val="0"/>
        <w:spacing w:lineRule="auto" w:line="288" w:before="0" w:after="6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The calculations assume that only mandatory debt repayments are made, no additional refinancing or lending occurs, except for our 3.200% senior notes due in July 2026, and U.S. dollar and Euro commercial paper notes programs as we have the intent to refinance this debt on a long-term basis through the issuance of new commercial paper notes upon maturity, and we have the ability to do so under our revolving credit facility which matures in August 2030. The variable rate on the revolving credit facility is priced at the rate in effect at December 31, 2025.</w:t>
      </w:r>
    </w:p>
    <w:p>
      <w:pPr>
        <w:pStyle w:val="TextBody"/>
        <w:bidi w:val="0"/>
        <w:spacing w:lineRule="auto" w:line="288" w:before="0" w:after="18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Represents enforceable and legally binding agreements to purchase goods or services based on signed contracts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 Repurchases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repurchased 32.2 million shares of our common stock for $5.6 billion during the year ended December 31, 2025. On February 19, 2025 and February 22, 2023, our board of directors authorized the purchase of up to 60.0 million and 75.0 million shares of our common stock, respectively. These authorizations do not expire. As of December 31, 2025, we had approximately 45.9 million shares remaining under our existing repurchase authorization. Shares repurchased are generally held for issuance in connection with our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and Other Transactions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Acquisitions of Businesses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acquired StoneCastle, TD Merchant Canada, SCG, CardFree, Money Money, Pinch Payments, CCV, and Payfare in 2025 for an aggregate purchase price, including deferred payments, of $856 million, net of $84 million of acquired cash and including earn-out provisions estimated at a fair value of $35 million. We funded these acquisitions by utilizing a combination of available cash and commercial paper. The results of operations for these acquired businesses are included in our consolidated results from the respective dates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received cash proceeds of $270 million from the sale of certain investments, which were primarily used to pay down indebtedness and for share repurchases.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we acquired the remaining 49.9% ownership interest, including cash held of $195 million, in AIBMS for $420 million. In April 2025, we acquired the remaining 19% ownership interest in ICICI Merchant Services Private Limited for $22 million. We previously held a majority controlling financial interest in each of these consolidated subsidiaries and funded these transactions utilizing a combination of available cash and commercial paper.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2024, Wells Fargo provided us with a notice of non-renewal for WFMS. Upon the expiration of the joint venture in April 2025, we received an initial cash payment of $453 million, which was primarily used to pay down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for share repurchases. Completion of the contractual valuation and separation process during the third quarter of 2025 did not result in a significant adjustment to the initial cash payment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Indebtedness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debt consisted of the following at:</w:t>
      </w:r>
    </w:p>
    <w:tbl>
      <w:tblPr>
        <w:tblW w:w="8165" w:type="dxa"/>
        <w:jc w:val="left"/>
        <w:tblInd w:w="0" w:type="dxa"/>
        <w:tblLayout w:type="fixed"/>
        <w:tblCellMar>
          <w:top w:w="28" w:type="dxa"/>
          <w:left w:w="28" w:type="dxa"/>
          <w:bottom w:w="28" w:type="dxa"/>
          <w:right w:w="28" w:type="dxa"/>
        </w:tblCellMar>
      </w:tblPr>
      <w:tblGrid>
        <w:gridCol w:w="1949"/>
        <w:gridCol w:w="1710"/>
        <w:gridCol w:w="1725"/>
        <w:gridCol w:w="109"/>
        <w:gridCol w:w="109"/>
        <w:gridCol w:w="109"/>
        <w:gridCol w:w="211"/>
        <w:gridCol w:w="721"/>
        <w:gridCol w:w="109"/>
        <w:gridCol w:w="109"/>
        <w:gridCol w:w="109"/>
        <w:gridCol w:w="109"/>
        <w:gridCol w:w="211"/>
        <w:gridCol w:w="721"/>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3.850% senior notes due 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senior notes due July 2025 (British Pound-denominated)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3.200% senior notes due 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5.150% senior notes due March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2.250% senior notes due 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1.125% senior notes due July 2027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2.875% senior notes due June 2028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senior notes due 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4.200% senior notes due October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July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senior notes due March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2.650% senior notes due 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1.625% senior notes due July 2030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4.550% senior notes due 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5.350% senior notes due March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senior notes due May 2031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3.000% senior notes due July 2031 (British Pound-denominated)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June 2032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5.600% senior notes due March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August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August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August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June 2036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July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commercial paper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we completed the public offering and issuance of $2.0 billion of senior notes, comprised of $1.0 billion aggregate principal amount of 4.550% senior notes due in February 2031 and $1.0 billion aggregate principal amount of 5.250% senior notes due in August 2035. We used the net proceeds from this senior notes offering for general corporate purposes, including the repayment of a portion of our commercial paper notes and for share repurchases.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2025, Fiserv Funding Unlimited Company, an indirect wholly owned subsidiary of Fiserv, Inc., completed the public offering and issuance of €2.175 billion of senior notes, comprised of €750 million aggregate principal amount of 2.875% senior notes due in June 2028 (the “2028 notes”), €775 million aggregate principal amount of 3.500% senior notes due in June 2032 (the “2032 notes”) and €650 million aggregate principal amount of 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our 3.850% senior notes due in June 2025 and our 2.250% senior notes due in July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 due in July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our debt consisted primarily of $24.9 billion of fixed-rate senior notes and $1.2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December 31, 2025, the 3.200% senior notes due in July 2026 were classified in the consolidated balance sheet as long-term, as we have the ability to refinance such debt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Variable Rate 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variable rate debt consisted of the following at December 31, 2025:</w:t>
      </w:r>
    </w:p>
    <w:tbl>
      <w:tblPr>
        <w:tblW w:w="9801" w:type="dxa"/>
        <w:jc w:val="left"/>
        <w:tblInd w:w="0" w:type="dxa"/>
        <w:tblLayout w:type="fixed"/>
        <w:tblCellMar>
          <w:top w:w="28" w:type="dxa"/>
          <w:left w:w="28" w:type="dxa"/>
          <w:bottom w:w="28" w:type="dxa"/>
          <w:right w:w="28" w:type="dxa"/>
        </w:tblCellMar>
      </w:tblPr>
      <w:tblGrid>
        <w:gridCol w:w="1064"/>
        <w:gridCol w:w="934"/>
        <w:gridCol w:w="942"/>
        <w:gridCol w:w="384"/>
        <w:gridCol w:w="384"/>
        <w:gridCol w:w="386"/>
        <w:gridCol w:w="109"/>
        <w:gridCol w:w="109"/>
        <w:gridCol w:w="109"/>
        <w:gridCol w:w="939"/>
        <w:gridCol w:w="939"/>
        <w:gridCol w:w="941"/>
        <w:gridCol w:w="109"/>
        <w:gridCol w:w="109"/>
        <w:gridCol w:w="109"/>
        <w:gridCol w:w="480"/>
        <w:gridCol w:w="1402"/>
        <w:gridCol w:w="352"/>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commercial paper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variable rate debt</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various short-term lines of credit and other borrowing arrangements with foreign banks and alliance partners primarily to fund advances associated with operations in Latin America through our settlement anticipation program. The following table provides a summary of the outstanding borrowings and weighted average interest rates of our foreign lines of credit and other borrowing arrangements by country at December 31, 2025:</w:t>
      </w:r>
    </w:p>
    <w:tbl>
      <w:tblPr>
        <w:tblW w:w="7308" w:type="dxa"/>
        <w:jc w:val="left"/>
        <w:tblInd w:w="0" w:type="dxa"/>
        <w:tblLayout w:type="fixed"/>
        <w:tblCellMar>
          <w:top w:w="28" w:type="dxa"/>
          <w:left w:w="28" w:type="dxa"/>
          <w:bottom w:w="28" w:type="dxa"/>
          <w:right w:w="28" w:type="dxa"/>
        </w:tblCellMar>
      </w:tblPr>
      <w:tblGrid>
        <w:gridCol w:w="603"/>
        <w:gridCol w:w="529"/>
        <w:gridCol w:w="533"/>
        <w:gridCol w:w="628"/>
        <w:gridCol w:w="628"/>
        <w:gridCol w:w="1563"/>
        <w:gridCol w:w="109"/>
        <w:gridCol w:w="109"/>
        <w:gridCol w:w="109"/>
        <w:gridCol w:w="599"/>
        <w:gridCol w:w="1324"/>
        <w:gridCol w:w="311"/>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Outstanding Borrowings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51.559 </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15.482 </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Uruguay and Other</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merchant cash advances, including our Clover Capital and settlement anticipation programs, during 2025 were $636 million. We offer advanced funding of settlement activity associated with operations in Latin America through our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 cy="14605"/>
                <wp:effectExtent l="0" t="0" r="0" b="0"/>
                <wp:wrapNone/>
                <wp:docPr id="46" name="Frame4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anticipation program by utilizing local operating cash and various short-term lines of credit. In the event we are unable to continue to borrow in the local Latin America markets, we may fund future advances with our consolidated cash and cash equivalents and available capacity under our 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unsecured U.S. dollar and Euro commercial paper programs with various maturities generally ranging from one day to four months. Outstanding borrowings under our commercial paper programs bear interest based on the prevailing rates at the time of issuance.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August 2025, we entered into a new senior unsecured multicurrency revolving credit facility with substantially the same syndicate of banks that were lenders under our prior revolving credit facility, which we voluntarily terminated and replaced. The new credit facility matures in August 2030 and provides for a maximum aggregate principal amount of availability of $8.0 billion. Borrowings under the credit facility bear interest at a variable base rate, determined by the term and currency of the borrowing, plus a specified margin based on our long-term debt rating. Outstanding borrowings under the revolving credit facility were $188 million at December 31, 2025. We are required to pay a facility fee based on the aggregate commitments in effect under the credit agreement from time to time.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Debt Covenants and Compliance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Guarantees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noncontrolling ownership interests in Sagent M&amp;C, LLC and defi SOLUTIONS Group, LLC (collectively, the “Lending Joint Ventures”). The Lending Joint Ventures maintain variable-rate term loan facilities with aggregate outstanding borrowings of $399 million in senior unsecured debt at December 31, 2025 and variable-rate revolving credit facilities with an aggregate borrowing capacity of $83 million with a syndicate of banks, which mature in April 2027. There were $18 million of aggregate outstanding borrowings on the revolving credit facilities at December 31, 2025. We have guaranteed the debt of the Lending Joint Ventures. We maintained a liability of $12 million at December 31, 2025 for the estimated fair value of our non-contingent obligations to stand ready to perform over the term of the guarantee arrangements. Such guarantees will be amortized in future periods over the contractual term of the debt. In addition, we maintained a contingent liability of $6 million at December 31, 2025,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Guarantor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Access to capital markets impacts our cost of capital and our ability to refinance maturing debt and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2025, we had a corporate credit rating of Baa2 with a stable outlook from Moody’s Investors Service, Inc. (“Moody’s”) and BBB with a negative outlook from Standard &amp; Poor’s Ratings Services (“S&amp;P”) on our senior unsecured debt securities. As of December 31, 2025, we had a commercial paper credit rating of P-2 from Moody’s and A-2 from S&amp;P. On November 5, 2025, our corporate credit rating outlook was revised from stable to negative by S&amp;P. We continue to maintain strong liquidity through cash and cash equivalents on hand, and we actively monitor developments to mitigate any potential impact on our capital structure. We continue to target a long-term leverage ratio of 2.5 to 3.0 times our consolidated net income before interest, taxes, depreciation, amortization, non-cash charges and expenses, and certain other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rates payable on certain of our senior notes are subject to adjustment from time to time if Moody’s or S&amp;P changes the debt rating applicable to the notes. If the ratings from Moody’s or S&amp;P decrease below investment grade, the per annum interest rates on certain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exclusive of settlement assets, with original maturities of 90 days or less that are readily convertible to cash are considered to be cash equivalents as reflected within our consolidated balance sheets.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details our cash and cash equivalents held at:</w:t>
      </w:r>
    </w:p>
    <w:tbl>
      <w:tblPr>
        <w:tblW w:w="3414" w:type="dxa"/>
        <w:jc w:val="left"/>
        <w:tblInd w:w="0" w:type="dxa"/>
        <w:tblLayout w:type="fixed"/>
        <w:tblCellMar>
          <w:top w:w="28" w:type="dxa"/>
          <w:left w:w="28" w:type="dxa"/>
          <w:bottom w:w="28" w:type="dxa"/>
          <w:right w:w="28" w:type="dxa"/>
        </w:tblCellMar>
      </w:tblPr>
      <w:tblGrid>
        <w:gridCol w:w="526"/>
        <w:gridCol w:w="409"/>
        <w:gridCol w:w="385"/>
        <w:gridCol w:w="211"/>
        <w:gridCol w:w="466"/>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 xml:space="preserve">Unavailable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cash associated with: intermediary settlement balances; wholly owned entities subject to regulatory requirements; cash in transit; or cash in our joint ventures that is not available to fund operations outside of the respective entities unless approved by the board of directors of the relevant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existing cash and cash equivalents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$24.9 billion and $2.1 billion, respectively, at December 31, 2025. Our fixed-rate debt at December 31, 2025 primarily consisted of fixed-rate senior notes with a fair value of $24.3 billion,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2025 primarily consisted of outstanding U.S. dollar and Euro commercial paper and borrowings on our variable rate foreign lines of credit. Based on our outstanding debt balances and interest rates at December 31, 2025, a hypothetical 1% increase in market interest rates related to our variable-rate debt would increase annual interest expense by approximately $21 million. This sensitivity analysis assumes the outstanding debt balances at December 31, 2025 and the change in market interest rates is applicable for an entire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bookmarkStart w:id="1" w:name="ifcbe11fd440e45a08a7af0eed579f380_2997"/>
      <w:bookmarkEnd w:id="1"/>
      <w:r>
        <w:rPr>
          <w:rFonts w:ascii="Times New Roman;serif" w:hAnsi="Times New Roman;serif"/>
          <w:b w:val="false"/>
          <w:color w:val="000000"/>
          <w:sz w:val="20"/>
        </w:rPr>
        <w:t>In connection with processing electronic payments transactions, funds received from subscribers are invested into short-term, highly liquid investments from the time we collect the funds until payments are made to the applicable recipients. Fluctuations in market interest rates affect the interest-related income that we earn on these investments. We also earn interest on intermediary settlement cash balances received from agents, payment networks, bank partners, merchants or direct consumers that we hold on behalf of merchants until the funding becomes due to the merchants or payees. Subscriber funds and intermediary settlement cash balances earning interest averaged $3.6 billion during the year ended December 31, 2025. The interest earned on subscriber funds and intermediary settlement cash is recorded as a component of total revenue in the consolidated statements of income. During the year ended December 31, 2025, a hypothetical 1% decrease in market interest rates would decrease the annual interest-related income by approximately $36 million. This sensitivity analysis uses the average subscriber fund and intermediary settlement cash balances during the year ended December 31, 2025 and assumes the change in market interest rates is applicable for an entire year.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risk with regard to interest rate fluctuations is largely mitigated by the offsetting impacts associated with our variable-rate debt and interest earning liquid investments associated with subscriber funds and intermediary settlement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business globally and are exposed to foreign currency risk from changes in the value of underlying monetary assets and liabilities of our non-U.S. dollar-denominated foreign investments and foreign currency transactions. We manage the exposure to these risks through the use of foreign currency forward exchange contracts, fixed-to-fixed cross-currency rate swap contracts and non-derivative net investment hedges. Translation gains and losses from non-U.S. subsidiaries are generally reflected as a component of accumulated other comprehensive loss within shareholders’ equity on the consolidated balance sheets. For subsidiaries located in highly inflationary economies, primarily Argentina, the financial statements are remeasured into U.S. dollars, and the foreign currency gains and losses from the remeasurement of monetary assets and liabilities are reflected in the consolidated statements of income, rather than in shareholders’ equity. In April 2025, the Argentine government announced economic policy changes, including the removal of certain currency controls, resulting in a significant devaluation of the Argentine Peso. Additionally, the Argentina Peso experienced significant volatility during 2025 due to the recent economic landscape in Argentina. The remeasurement of monetary assets and liabilities in highly inflationary economies, including Argentina, resulted in foreign currency exchange losses of $158 million and $98 million during the years ended December 31, 2025 and 2024, respectively, which is included within other expense, net in the consolidated statements of income. Gains and losses from foreign currency transactions, included within operating expenses in the consolidated statements of income, were not significant during the years ended December 31, 2025 and 2024.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foreign currency exchange risks generally arise from our international operations to the extent they are conducted in local currency. Approximately 16% of our total revenue was generated internationally in 2025. The major currencies to which our revenues are exposed are the Argentine Peso, Brazilian Real, British Pound, Euro and Indian Rupee.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strengthening or weakening of the U.S. dollar, relative to the currencies in which our income is denominated, by 10% would not have a material impact on our reported pre-tax income for the years ended December 31, 2025 and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forward exchange contracts, designated as cash flow hedges, to hedge foreign currency exposure to the Indian Rupee. At December 31, 2025, the notional amount of these derivatives was $323 million, with a fair value liability of $11 million. In addition, we maintain fixed-to-fixed cross-currency rate swap contracts to hedge a portion of our net investment in certain subsidiaries whose functional currencies are in the Euro, Singapore Dollar and Canadian Dollar. At December 31, 2025, aggregate notional fixed-to-fixed cross-currency rate swaps of 940 million Euros, 828 million Singapore Dollars and 405 million Canadian Dollars were designated as net investment hedges. We also designated certain of our Euro- and British Pound-denominated senior notes and Euro commercial paper notes as net investment hedges to hedge a portion of our net investment in certain subsidiaries whose functional currencies are the Euro and British Pound.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050" w:type="dxa"/>
        <w:jc w:val="left"/>
        <w:tblInd w:w="0" w:type="dxa"/>
        <w:tblLayout w:type="fixed"/>
        <w:tblCellMar>
          <w:top w:w="28" w:type="dxa"/>
          <w:left w:w="28" w:type="dxa"/>
          <w:bottom w:w="28" w:type="dxa"/>
          <w:right w:w="28" w:type="dxa"/>
        </w:tblCellMar>
      </w:tblPr>
      <w:tblGrid>
        <w:gridCol w:w="2354"/>
        <w:gridCol w:w="2072"/>
        <w:gridCol w:w="2083"/>
        <w:gridCol w:w="158"/>
        <w:gridCol w:w="158"/>
        <w:gridCol w:w="225"/>
      </w:tblGrid>
      <w:tr>
        <w:trPr/>
        <w:tc>
          <w:tcPr>
            <w:tcW w:w="235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57">
              <w:r>
                <w:rPr>
                  <w:rStyle w:val="InternetLink"/>
                  <w:rFonts w:ascii="Times New Roman;serif" w:hAnsi="Times New Roman;serif"/>
                  <w:b w:val="false"/>
                  <w:color w:val="0000FF"/>
                  <w:sz w:val="20"/>
                  <w:u w:val="single"/>
                </w:rPr>
                <w:t>Consolidated Statements of Income</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d51169c966740c6938bec9db1147923_157">
              <w:r>
                <w:rPr>
                  <w:rStyle w:val="InternetLink"/>
                  <w:rFonts w:ascii="Times New Roman;serif" w:hAnsi="Times New Roman;serif"/>
                  <w:b w:val="false"/>
                  <w:strike w:val="false"/>
                  <w:dstrike w:val="false"/>
                  <w:color w:val="000000"/>
                  <w:sz w:val="20"/>
                  <w:u w:val="none"/>
                  <w:effect w:val="none"/>
                </w:rPr>
                <w:t>47</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60">
              <w:r>
                <w:rPr>
                  <w:rStyle w:val="InternetLink"/>
                  <w:rFonts w:ascii="Times New Roman;serif" w:hAnsi="Times New Roman;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60">
              <w:r>
                <w:rPr>
                  <w:rStyle w:val="InternetLink"/>
                  <w:rFonts w:ascii="Times New Roman;serif" w:hAnsi="Times New Roman;serif"/>
                  <w:b w:val="false"/>
                  <w:strike w:val="false"/>
                  <w:dstrike w:val="false"/>
                  <w:color w:val="000000"/>
                  <w:sz w:val="20"/>
                  <w:u w:val="none"/>
                  <w:effect w:val="none"/>
                </w:rPr>
                <w:t>48</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66">
              <w:r>
                <w:rPr>
                  <w:rStyle w:val="InternetLink"/>
                  <w:rFonts w:ascii="Times New Roman;serif" w:hAnsi="Times New Roman;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66">
              <w:r>
                <w:rPr>
                  <w:rStyle w:val="InternetLink"/>
                  <w:rFonts w:ascii="Times New Roman;serif" w:hAnsi="Times New Roman;serif"/>
                  <w:b w:val="false"/>
                  <w:strike w:val="false"/>
                  <w:dstrike w:val="false"/>
                  <w:color w:val="000000"/>
                  <w:sz w:val="20"/>
                  <w:u w:val="none"/>
                  <w:effect w:val="none"/>
                </w:rPr>
                <w:t>49</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69">
              <w:r>
                <w:rPr>
                  <w:rStyle w:val="InternetLink"/>
                  <w:rFonts w:ascii="Times New Roman;serif" w:hAnsi="Times New Roman;serif"/>
                  <w:b w:val="false"/>
                  <w:color w:val="0000FF"/>
                  <w:sz w:val="20"/>
                  <w:u w:val="single"/>
                </w:rPr>
                <w:t>Consolidated Statements of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69">
              <w:r>
                <w:rPr>
                  <w:rStyle w:val="InternetLink"/>
                  <w:rFonts w:ascii="Times New Roman;serif" w:hAnsi="Times New Roman;serif"/>
                  <w:b w:val="false"/>
                  <w:strike w:val="false"/>
                  <w:dstrike w:val="false"/>
                  <w:color w:val="000000"/>
                  <w:sz w:val="20"/>
                  <w:u w:val="none"/>
                  <w:effect w:val="none"/>
                </w:rPr>
                <w:t>50</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72">
              <w:r>
                <w:rPr>
                  <w:rStyle w:val="InternetLink"/>
                  <w:rFonts w:ascii="Times New Roman;serif" w:hAnsi="Times New Roman;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72">
              <w:r>
                <w:rPr>
                  <w:rStyle w:val="InternetLink"/>
                  <w:rFonts w:ascii="Times New Roman;serif" w:hAnsi="Times New Roman;serif"/>
                  <w:b w:val="false"/>
                  <w:strike w:val="false"/>
                  <w:dstrike w:val="false"/>
                  <w:color w:val="000000"/>
                  <w:sz w:val="20"/>
                  <w:u w:val="none"/>
                  <w:effect w:val="none"/>
                </w:rPr>
                <w:t>51</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175">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175">
              <w:r>
                <w:rPr>
                  <w:rStyle w:val="InternetLink"/>
                  <w:rFonts w:ascii="Times New Roman;serif" w:hAnsi="Times New Roman;serif"/>
                  <w:b w:val="false"/>
                  <w:strike w:val="false"/>
                  <w:dstrike w:val="false"/>
                  <w:color w:val="000000"/>
                  <w:sz w:val="20"/>
                  <w:u w:val="none"/>
                  <w:effect w:val="none"/>
                </w:rPr>
                <w:t>52</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47">
              <w:r>
                <w:rPr>
                  <w:rStyle w:val="InternetLink"/>
                  <w:rFonts w:ascii="Times New Roman;serif" w:hAnsi="Times New Roman;serif"/>
                  <w:b w:val="false"/>
                  <w:color w:val="0000FF"/>
                  <w:sz w:val="20"/>
                  <w:u w:val="single"/>
                </w:rPr>
                <w:t>Schedule II - Valuation and Qualifying Accounts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47">
              <w:r>
                <w:rPr>
                  <w:rStyle w:val="InternetLink"/>
                  <w:rFonts w:ascii="Times New Roman;serif" w:hAnsi="Times New Roman;serif"/>
                  <w:b w:val="false"/>
                  <w:strike w:val="false"/>
                  <w:dstrike w:val="false"/>
                  <w:color w:val="000000"/>
                  <w:sz w:val="20"/>
                  <w:u w:val="none"/>
                  <w:effect w:val="none"/>
                </w:rPr>
                <w:t>92</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51169c966740c6938bec9db1147923_25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51169c966740c6938bec9db1147923_250">
              <w:r>
                <w:rPr>
                  <w:rStyle w:val="InternetLink"/>
                  <w:rFonts w:ascii="Times New Roman;serif" w:hAnsi="Times New Roman;serif"/>
                  <w:b w:val="false"/>
                  <w:strike w:val="false"/>
                  <w:dstrike w:val="false"/>
                  <w:color w:val="000000"/>
                  <w:sz w:val="20"/>
                  <w:u w:val="none"/>
                  <w:effect w:val="none"/>
                </w:rPr>
                <w:t>93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tbl>
      <w:tblPr>
        <w:tblW w:w="10205" w:type="dxa"/>
        <w:jc w:val="center"/>
        <w:tblInd w:w="0" w:type="dxa"/>
        <w:tblLayout w:type="fixed"/>
        <w:tblCellMar>
          <w:top w:w="28" w:type="dxa"/>
          <w:left w:w="28" w:type="dxa"/>
          <w:bottom w:w="28" w:type="dxa"/>
          <w:right w:w="28" w:type="dxa"/>
        </w:tblCellMar>
      </w:tblPr>
      <w:tblGrid>
        <w:gridCol w:w="2302"/>
        <w:gridCol w:w="1872"/>
        <w:gridCol w:w="1880"/>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30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Processing and services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and distribution of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(loss) from 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 and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attributable to Fiserv, Inc.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Times New Roman;serif" w:hAnsi="Times New Roman;serif"/>
          <w:b/>
          <w:color w:val="000000"/>
          <w:sz w:val="12"/>
        </w:rPr>
        <w:t>(1)</w:t>
      </w:r>
      <w:r>
        <w:rPr>
          <w:rFonts w:ascii="Times New Roman;serif" w:hAnsi="Times New Roman;serif"/>
          <w:b w:val="false"/>
          <w:color w:val="000000"/>
          <w:sz w:val="18"/>
        </w:rPr>
        <w:t>Includes processing and other fees charged to related party investments accounted for under the equity method of $96 million, $137 million and $178 million for the years ended December 31, 2025, 2024 and 2023, respectively (see Note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840"/>
                <wp:effectExtent l="0" t="0" r="0" b="0"/>
                <wp:wrapNone/>
                <wp:docPr id="51" name="Frame5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332"/>
        <w:gridCol w:w="2010"/>
        <w:gridCol w:w="2028"/>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3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market value adjustment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realized losses (gains) on cash flow hedges included in cost of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realized losses on cash flow hedges included in 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impacts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due to settlement of terminated defined benefit pension plans (see Notes 1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impacts of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accumulated foreign currency translation impacts from the sale of foreign entities included in net 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impacts of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 and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Fiserv,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840"/>
                <wp:effectExtent l="0" t="0" r="0" b="0"/>
                <wp:wrapNone/>
                <wp:docPr id="52" name="Frame5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84"/>
        <w:gridCol w:w="2352"/>
        <w:gridCol w:w="2387"/>
        <w:gridCol w:w="109"/>
        <w:gridCol w:w="109"/>
        <w:gridCol w:w="109"/>
        <w:gridCol w:w="211"/>
        <w:gridCol w:w="721"/>
        <w:gridCol w:w="109"/>
        <w:gridCol w:w="109"/>
        <w:gridCol w:w="109"/>
        <w:gridCol w:w="109"/>
        <w:gridCol w:w="211"/>
        <w:gridCol w:w="721"/>
        <w:gridCol w:w="155"/>
      </w:tblGrid>
      <w:tr>
        <w:trPr/>
        <w:tc>
          <w:tcPr>
            <w:tcW w:w="2684"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less 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25 million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1,800 million shares authorized; 784 million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250 million and 220 million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Fiserv,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840"/>
                <wp:effectExtent l="0" t="0" r="0" b="0"/>
                <wp:wrapNone/>
                <wp:docPr id="53" name="Frame52"/>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tbl>
      <w:tblPr>
        <w:tblW w:w="10205" w:type="dxa"/>
        <w:jc w:val="center"/>
        <w:tblInd w:w="0" w:type="dxa"/>
        <w:tblLayout w:type="fixed"/>
        <w:tblCellMar>
          <w:top w:w="28" w:type="dxa"/>
          <w:left w:w="28" w:type="dxa"/>
          <w:bottom w:w="28" w:type="dxa"/>
          <w:right w:w="28" w:type="dxa"/>
        </w:tblCellMar>
      </w:tblPr>
      <w:tblGrid>
        <w:gridCol w:w="631"/>
        <w:gridCol w:w="332"/>
        <w:gridCol w:w="263"/>
        <w:gridCol w:w="256"/>
        <w:gridCol w:w="256"/>
        <w:gridCol w:w="257"/>
        <w:gridCol w:w="255"/>
        <w:gridCol w:w="255"/>
        <w:gridCol w:w="259"/>
        <w:gridCol w:w="109"/>
        <w:gridCol w:w="109"/>
        <w:gridCol w:w="109"/>
        <w:gridCol w:w="268"/>
        <w:gridCol w:w="351"/>
        <w:gridCol w:w="150"/>
        <w:gridCol w:w="196"/>
        <w:gridCol w:w="661"/>
        <w:gridCol w:w="109"/>
        <w:gridCol w:w="272"/>
        <w:gridCol w:w="792"/>
        <w:gridCol w:w="152"/>
        <w:gridCol w:w="196"/>
        <w:gridCol w:w="661"/>
        <w:gridCol w:w="109"/>
        <w:gridCol w:w="196"/>
        <w:gridCol w:w="663"/>
        <w:gridCol w:w="109"/>
        <w:gridCol w:w="318"/>
        <w:gridCol w:w="710"/>
        <w:gridCol w:w="179"/>
        <w:gridCol w:w="196"/>
        <w:gridCol w:w="661"/>
        <w:gridCol w:w="165"/>
      </w:tblGrid>
      <w:tr>
        <w:trPr/>
        <w:tc>
          <w:tcPr>
            <w:tcW w:w="6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Fiserv, Inc. Shareholders’ Equity</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2023</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31,527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Net income </w:t>
            </w:r>
            <w:r>
              <w:rPr>
                <w:rFonts w:ascii="Times New Roman;serif" w:hAnsi="Times New Roman;serif"/>
                <w:b w:val="false"/>
                <w:color w:val="000000"/>
                <w:sz w:val="10"/>
              </w:rPr>
              <w:t>(1)</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Distributions paid to noncontrolling interests </w:t>
            </w:r>
            <w:r>
              <w:rPr>
                <w:rFonts w:ascii="Times New Roman;serif" w:hAnsi="Times New Roman;serif"/>
                <w:b w:val="false"/>
                <w:color w:val="000000"/>
                <w:sz w:val="10"/>
              </w:rPr>
              <w:t>(2)</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Acquisition of noncontrolling interest of consolidated subsidiary </w:t>
            </w:r>
            <w:r>
              <w:rPr>
                <w:rFonts w:ascii="Times New Roman;serif" w:hAnsi="Times New Roman;serif"/>
                <w:b w:val="false"/>
                <w:color w:val="000000"/>
                <w:sz w:val="10"/>
              </w:rPr>
              <w:t>(3)</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under stock plans </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30,508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Net income </w:t>
            </w:r>
            <w:r>
              <w:rPr>
                <w:rFonts w:ascii="Times New Roman;serif" w:hAnsi="Times New Roman;serif"/>
                <w:b w:val="false"/>
                <w:color w:val="000000"/>
                <w:sz w:val="10"/>
              </w:rPr>
              <w:t>(1)</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Distributions paid to noncontrolling interests </w:t>
            </w:r>
            <w:r>
              <w:rPr>
                <w:rFonts w:ascii="Times New Roman;serif" w:hAnsi="Times New Roman;serif"/>
                <w:b w:val="false"/>
                <w:color w:val="000000"/>
                <w:sz w:val="10"/>
              </w:rPr>
              <w:t>(2)</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estimated redemption value of redeemable noncontrolling interest (see Note 13)</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stock plans</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27,686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Distributions paid to noncontrolling interests</w:t>
            </w:r>
            <w:r>
              <w:rPr>
                <w:color w:val="000000"/>
              </w:rPr>
              <w:t xml:space="preserve"> </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stock plans</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noncontrolling interest</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Acquisition of noncontrolling interests of consolidated subsidiaries </w:t>
            </w:r>
            <w:r>
              <w:rPr>
                <w:rFonts w:ascii="Times New Roman;serif" w:hAnsi="Times New Roman;serif"/>
                <w:b w:val="false"/>
                <w:color w:val="000000"/>
                <w:sz w:val="10"/>
              </w:rPr>
              <w:t>(4)</w:t>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w:t>
            </w: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25,809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total net income presented in the consolidated statements of equity for the years ended December 31, 2024 and 2023 is different than the amount presented in the consolidated statements of income due to the net income attributable to a redeemable noncontrolling interest of $13 million and $26 million, respectively, not included in equity.</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total distributions presented in the consolidated statements of equity for the years ended December 31, 2024 and 2023 exclude $13 million and $26 million, respectively, in distributions paid to a redeemable noncontrolling interest not included in equity.</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 xml:space="preserve">The Company acquired the remaining 49% ownership interest in European Merchant Services B.V., a Netherlands-based merchant acceptance business, during the year ended December 31, 2023. The Company previously held a majority controlling financial interest in this consolidated subsidiary. </w:t>
      </w:r>
    </w:p>
    <w:p>
      <w:pPr>
        <w:pStyle w:val="TextBody"/>
        <w:bidi w:val="0"/>
        <w:spacing w:lineRule="auto" w:line="288" w:before="60" w:after="283"/>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 xml:space="preserve">The Company acquired the remaining 19% ownership interest in ICICI Merchant Services Private Limited, an India-based merchant acceptance business, and the remaining 49.9% ownership interest in AIB Merchant Services (“AIBMS”), an Ireland-based payment solutions provider, during the year ended December 31, 2025. The Company previously held a majority controlling financial interest in each of these consolidated subsidiaries (see Note 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840"/>
                <wp:effectExtent l="0" t="0" r="0" b="0"/>
                <wp:wrapNone/>
                <wp:docPr id="54" name="Frame5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66"/>
        <w:gridCol w:w="2000"/>
        <w:gridCol w:w="2004"/>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6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and distribution of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settlement charge for terminated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currency exchange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from acquisitions and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capitalized software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proceeds from sale of business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Merchant cash advances, including Clover Capital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 of merchant cash advances, including Clover Capital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anticipation cash advances,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of) borrowings from commercial paper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 including employee shares withheld for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Settlement activity,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paid to noncontrolling interests and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noncontrolling interests of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840"/>
                <wp:effectExtent l="0" t="0" r="0" b="0"/>
                <wp:wrapNone/>
                <wp:docPr id="55" name="Frame5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 of the Business</w:t>
      </w:r>
    </w:p>
    <w:p>
      <w:pPr>
        <w:pStyle w:val="TextBody"/>
        <w:bidi w:val="0"/>
        <w:spacing w:lineRule="auto" w:line="288" w:before="0" w:after="180"/>
        <w:jc w:val="left"/>
        <w:rPr/>
      </w:pPr>
      <w:r>
        <w:rPr>
          <w:rFonts w:ascii="Times New Roman;serif" w:hAnsi="Times New Roman;serif"/>
          <w:b w:val="false"/>
          <w:color w:val="000000"/>
          <w:sz w:val="20"/>
        </w:rPr>
        <w:t>Fiserv, Inc. and its subsidiaries (collectively, the “Company”) is a leading global provider of payments and financial services technology solutions, serving clients around the globe, including merchants, banks, credit unions, other financial institutions, corporate and public sector clients. The Company provides account processing and digital banking solutions; card issuer processing and network services; payments; e-commerce; merchant acquiring and processing; and the Clover</w:t>
      </w:r>
      <w:r>
        <w:rPr>
          <w:rFonts w:ascii="Times New Roman;serif" w:hAnsi="Times New Roman;serif"/>
          <w:b w:val="false"/>
          <w:color w:val="000000"/>
          <w:sz w:val="13"/>
        </w:rPr>
        <w:t xml:space="preserve">® </w:t>
      </w:r>
      <w:r>
        <w:rPr>
          <w:rFonts w:ascii="Times New Roman;serif" w:hAnsi="Times New Roman;serif"/>
          <w:b w:val="false"/>
          <w:color w:val="000000"/>
          <w:sz w:val="20"/>
        </w:rPr>
        <w:t>cloud-based point-of-sale (“POS”) and business management platform. The Company’s reportable segments are Merchant Solutions (“Merchant”) and Financial Solutions (“Financial”).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entities of which the Company maintains a majority controlling financial interest represent the minority shareholders’ share of the net income or loss and equity in consolidated subsidiaries. The Company’s noncontrolling interests presented in the consolidated statements of income include net income (loss) attributable to noncontrolling interests and, in 2024 and 2023, a redeemable noncontrolling interest. Noncontrolling interests are presented as a component of equity in the consolidated balance sheets. Additional information regarding the Company’s redeemable noncontrolling interest is included in Note 13 to the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Cash and Cash Equivalents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 of cash and investments with original maturities of 90 days or less and are stated at cost in the consolidated balance sheets, which approximates market value.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 Cash and cash equivalents that are restricted from use due to contractual or legal restrictions are included in other long-term assets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between cash and cash equivalents on the consolidated balance sheets and the consolidated statements of cash flows:</w:t>
      </w:r>
    </w:p>
    <w:tbl>
      <w:tblPr>
        <w:tblW w:w="9852" w:type="dxa"/>
        <w:jc w:val="left"/>
        <w:tblInd w:w="0" w:type="dxa"/>
        <w:tblLayout w:type="fixed"/>
        <w:tblCellMar>
          <w:top w:w="28" w:type="dxa"/>
          <w:left w:w="28" w:type="dxa"/>
          <w:bottom w:w="28" w:type="dxa"/>
          <w:right w:w="28" w:type="dxa"/>
        </w:tblCellMar>
      </w:tblPr>
      <w:tblGrid>
        <w:gridCol w:w="2292"/>
        <w:gridCol w:w="2011"/>
        <w:gridCol w:w="2042"/>
        <w:gridCol w:w="211"/>
        <w:gridCol w:w="616"/>
        <w:gridCol w:w="109"/>
        <w:gridCol w:w="109"/>
        <w:gridCol w:w="109"/>
        <w:gridCol w:w="109"/>
        <w:gridCol w:w="211"/>
        <w:gridCol w:w="616"/>
        <w:gridCol w:w="109"/>
        <w:gridCol w:w="109"/>
        <w:gridCol w:w="109"/>
        <w:gridCol w:w="109"/>
        <w:gridCol w:w="211"/>
        <w:gridCol w:w="61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on the consolidated balance sheets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included in settlement assets (see Note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on the consolidated statements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Allowance for Doubtful Accounts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$84 million and $71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Leases are classified as operating or finance leases based on factors such as the lease term, lease payments, and the economic life, fair value and estimated residual value of the asset. Right-of-use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As a practical expedient, lease agreements with lease and non-lease components are accounted for as a single lease component for all asset classes. Leases with a term of 12 months or less are not recorded on the consolidated balance sheets; instead, lease payments are recognized as lease expense on a straight-line basis over the lease term.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certain leasing receivables associated with its POS terminal leasing businesses. Leasing receivables are included in prepaid expenses and other current assets (current portion) and other long-term assets (noncurrent portion) in the consolidated balance sheets. Interest income on the Company’s leasing receivables is recognized using the effective interest method, and is included within product revenue in the consolidated statements of income. Initial direct costs incurred to obtain operating leases are deferred and recognized over the lease term. Initial direct costs to obtain a sales-type lease are expensed as incurred if the fair value of the underlying asset is different from its carrying amount at the lease commencement date. Additional information regarding the Company’s lease policies is included in Note 11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consisted of the following: </w:t>
      </w:r>
    </w:p>
    <w:tbl>
      <w:tblPr>
        <w:tblW w:w="7865" w:type="dxa"/>
        <w:jc w:val="left"/>
        <w:tblInd w:w="0" w:type="dxa"/>
        <w:tblLayout w:type="fixed"/>
        <w:tblCellMar>
          <w:top w:w="28" w:type="dxa"/>
          <w:left w:w="28" w:type="dxa"/>
          <w:bottom w:w="28" w:type="dxa"/>
          <w:right w:w="28" w:type="dxa"/>
        </w:tblCellMar>
      </w:tblPr>
      <w:tblGrid>
        <w:gridCol w:w="1913"/>
        <w:gridCol w:w="1679"/>
        <w:gridCol w:w="1702"/>
        <w:gridCol w:w="109"/>
        <w:gridCol w:w="109"/>
        <w:gridCol w:w="109"/>
        <w:gridCol w:w="211"/>
        <w:gridCol w:w="616"/>
        <w:gridCol w:w="109"/>
        <w:gridCol w:w="109"/>
        <w:gridCol w:w="109"/>
        <w:gridCol w:w="109"/>
        <w:gridCol w:w="211"/>
        <w:gridCol w:w="61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maintenance, postage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prepaid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receivables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merchant cash advances, including Clover Capital program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anticipation cash advances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Prepaid expenses represent advance payments for goods and services to be consumed in the future.</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receivables associated with transferable federal tax credits (see Note 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$598 million and $397 million at December 31, 2025 and 2024, respectively. The Company maintained a reserve of $34 million and $16 million at December 31, 2025 and 2024, respectively, based on an estimate of uncollectible amounts. For the year ended December 31, 2025, merchant cash advances, which are generally collected over a period of six to twelve months, are presented on a gross basis within investing activities in the consolidated statement of cash flows. For the year ended December 31, 2024, merchant cash advances were presented on a net basis, along with settlement anticipation cash advances as described below, within investing activities in the consolidated statement of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also offers merchants within its international operations advance access to capital through its settlement anticipation program. Under this program, the Company provides merchants the opportunity to receive settlement cash payments in advance in exchange for their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 Settlement anticipation cash advances, the majority of which are collected within 30 days, are presented on a net basis within investing activities in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Settlement Assets and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 Additional information regarding the Company’s settlement assets and obligations is included in Note 5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Allowance for Merchant Credit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$588 million and $598 million at December 31, 2025 and 2024,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$128 million, $108 million and $80 million for the years ended December 31, 2025, 2024 and 2023,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$46 million and $40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is reported at cost. Depreciation of property and equipment is computed primarily using the straight-line method over the shorter of the estimated useful life of the asset or the leasehold period, if applicable.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7012" w:type="dxa"/>
        <w:jc w:val="left"/>
        <w:tblInd w:w="0" w:type="dxa"/>
        <w:tblLayout w:type="fixed"/>
        <w:tblCellMar>
          <w:top w:w="28" w:type="dxa"/>
          <w:left w:w="28" w:type="dxa"/>
          <w:bottom w:w="28" w:type="dxa"/>
          <w:right w:w="28" w:type="dxa"/>
        </w:tblCellMar>
      </w:tblPr>
      <w:tblGrid>
        <w:gridCol w:w="1194"/>
        <w:gridCol w:w="1048"/>
        <w:gridCol w:w="1058"/>
        <w:gridCol w:w="380"/>
        <w:gridCol w:w="380"/>
        <w:gridCol w:w="381"/>
        <w:gridCol w:w="109"/>
        <w:gridCol w:w="109"/>
        <w:gridCol w:w="109"/>
        <w:gridCol w:w="211"/>
        <w:gridCol w:w="616"/>
        <w:gridCol w:w="109"/>
        <w:gridCol w:w="109"/>
        <w:gridCol w:w="109"/>
        <w:gridCol w:w="109"/>
        <w:gridCol w:w="211"/>
        <w:gridCol w:w="61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equipment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expense for all property and equipment totaled $669 million, $589 million and $566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 Non-compete agreements are amortized using the straight-line method over their estimated useful lives, generally five years.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Purchased software represents software licenses purchased from third parties and is amortized using the straight-line method over their estimated useful lives, generally five years.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continually develops, maintains and enhances its products and systems. Product development expenditures represented approximately 7%, 6% and 7% of the Company’s total revenue for the years ended December 31, 2025, 2024 and 2023, respectively.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 </w:t>
      </w:r>
    </w:p>
    <w:p>
      <w:pPr>
        <w:pStyle w:val="TextBody"/>
        <w:bidi w:val="0"/>
        <w:spacing w:lineRule="auto" w:line="288" w:before="0" w:after="180"/>
        <w:jc w:val="left"/>
        <w:rPr/>
      </w:pPr>
      <w:r>
        <w:rPr>
          <w:rFonts w:ascii="Times New Roman;serif" w:hAnsi="Times New Roman;serif"/>
          <w:b w:val="false"/>
          <w:color w:val="000000"/>
          <w:sz w:val="20"/>
        </w:rPr>
        <w:t>The Company may, at its discretion, negotiate to pay an independent sales organization (“ISO”) an agreed-upon up-front amount in exchange for the ISO’s surrender of its right to receive commission payments from the Company related to future transactions of merchants referred by the ISO (“residual buyout”). The Company may also obtain residual buyouts as part of acquired businesses. The amount that the Company pays for these residual buyouts is capitalized and subsequently amortized using the straight-line method over the expected life of the merchant portfolios, generally five to nine years.</w:t>
      </w:r>
      <w:r>
        <w:rPr>
          <w:color w:val="008080"/>
        </w:rPr>
        <w:t xml:space="preserve"> </w:t>
      </w:r>
      <w:r>
        <w:rPr>
          <w:rFonts w:ascii="Times New Roman;serif" w:hAnsi="Times New Roman;serif"/>
          <w:b w:val="false"/>
          <w:color w:val="000000"/>
          <w:sz w:val="20"/>
        </w:rPr>
        <w:t>Additional information regarding the Company’s identifiable intangible assets is included in Note 6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Goodwill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When assessing goodwill for impairment, the Company considers (i) the prior year’s amount of excess fair value over the carrying value of each reporting unit, (ii) the period of time since a reporting unit’s last quantitative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test, (iii) the extent a reorganization or disposition changes the composition of one or more of the reporting units and (iv) other prevailing factors to determine whether or not to first perform a qualitative test. When performing a qualitative test, the Company assesses numerous factors to determine whether it is more likely than not that the fair value of its reporting units is less than their 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its annual impairment assessment as of October 1, 2025, the Company performed a quantitative test for each of its reporting units and determined that its goodwill was not impaired as the estimated fair values exceeded the respective carrying values for each of the Company’s reporting units. Subsequently, the Company determined that a triggering event occurred during the fourth quarter of 2025 due to a sustained decline in its stock price, and therefore performed an additional quantitative goodwill impairment test of all reporting units as of December 31, 2025. The Company determined that its goodwill was not impaired as of December 31, 2025 as the estimated fair values exceeded the respective carrying values for each of the Company’s reporting units. However, it is reasonably possible that future developments related to the interest or currency exchange rate environments; a shift in strategic initiatives; a deterioration in financial performance within a particular reporting unit; sustained decreases in the Company’s stock price; or significant changes in the composition of, or assumptions used in, the quantitative test for certain of the Company’s reporting units (such as an increase in risk-adjusted discount rates) could have a material impact on one or more of the estimates and assumptions used to evaluate goodwill impairment in subsequent periods. There is no accumulated goodwill impairment for the Company through December 31, 2025. Additional information regarding the Company’s goodwill is included in Note 7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 Impairment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reviews property and equipment,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In connection with the goodwill impairment assessment triggering event in the fourth quarter of 2025 as described above, the Company performed an additional test of the recoverability of its aforementioned assets and determined no impairment as of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Recoverability of property and equipment, lease ROU assets, capitalized software development costs and other intangible assets is assessed by comparing the carrying amount of the asset group to either the undiscounted future cash flows expected to be generated by the asset group or the net realizable value of the asset group, depending on the type of asset group. The Company assesses lease ROU assets that are exited in advance of the non-cancellable lease terms by comparing the carrying values of the lease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other-than-temporary. Measurement of any impairment loss is based on estimated fair value. The estimated fair values of the Company’s investments in unconsolidated merchant alliances assume a continuation beyond the existing contractual term; however, a renewal of certain of the merchant alliance agreements beyond the current contractual term is not solely within the Company’s control. Additional information regarding the Company’s investments in unconsolidated affiliates is included in Note 8 to the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180"/>
        <w:jc w:val="left"/>
        <w:rPr/>
      </w:pPr>
      <w:r>
        <w:rPr>
          <w:rFonts w:ascii="Times New Roman;serif" w:hAnsi="Times New Roman;serif"/>
          <w:b w:val="false"/>
          <w:color w:val="000000"/>
          <w:sz w:val="20"/>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and considers the principal or most advantageous market and the market-based risk measurements or assumptions that market participants would use in pricing the asset or liability. The three levels in the hierarchy are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1 – Quoted prices (unadjusted) for identical assets or liabilities in active markets that are accessible as of the measurement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3 – Unobservable inputs reflecting management’s judgments about the assumptions that market participants would use in pricing the asset or liability, including assumptions about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fair value measurements is included in Note 10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Accounts Payable and Other Current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 consisted of the following:</w:t>
      </w:r>
    </w:p>
    <w:tbl>
      <w:tblPr>
        <w:tblW w:w="8555" w:type="dxa"/>
        <w:jc w:val="left"/>
        <w:tblInd w:w="0" w:type="dxa"/>
        <w:tblLayout w:type="fixed"/>
        <w:tblCellMar>
          <w:top w:w="28" w:type="dxa"/>
          <w:left w:w="28" w:type="dxa"/>
          <w:bottom w:w="28" w:type="dxa"/>
          <w:right w:w="28" w:type="dxa"/>
        </w:tblCellMar>
      </w:tblPr>
      <w:tblGrid>
        <w:gridCol w:w="2166"/>
        <w:gridCol w:w="1900"/>
        <w:gridCol w:w="1918"/>
        <w:gridCol w:w="109"/>
        <w:gridCol w:w="109"/>
        <w:gridCol w:w="109"/>
        <w:gridCol w:w="211"/>
        <w:gridCol w:w="616"/>
        <w:gridCol w:w="109"/>
        <w:gridCol w:w="109"/>
        <w:gridCol w:w="109"/>
        <w:gridCol w:w="109"/>
        <w:gridCol w:w="211"/>
        <w:gridCol w:w="616"/>
        <w:gridCol w:w="154"/>
      </w:tblGrid>
      <w:tr>
        <w:trPr/>
        <w:tc>
          <w:tcPr>
            <w:tcW w:w="216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Transferable federal tax credits (see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payment network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 to purchase redeemable noncontrolling interest (see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$158 million, $98 million and $164 million during the years ended December 31, 2025, 2024 and 2023, respectively, which is included within other expense, net in the consolidated statements of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9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Employee Benefit Plans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maintain defined contribution savings plans covering the majority of its employees. Under the plans, eligible participants may elect to contribute a specified percentage of their salaries and the Company makes matching contributions, each subject to certain limitations. The plans provide tax-deferred amounts for each participant, consisting of employee elective contributions, company matching and discretionary company contributions. Company matching contributions are 100% on the first 1% contributed and 50% on the next 4% contributed for eligible participants. Expenses for company contributions under these plans totaled $77 million, $81 million, and $78 million for the years ended December 31, 2025, 2024 and 2023, respectively. Effective January 1, 2026, Company matching contributions were increased to 100% on the first 2% contributed and 50% on the next 4% contributed for eligible participants.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maintained frozen noncontributory defined benefit pension plans covering certain of its employees in the U.S. and United Kingdom (“U.K.”), which were terminated in September 2023.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in the first quarter of 2024 to the value of the group annuity insurance contract, resulting in an unrecognized loss, net of tax, of $63 million recorded in accumulated other comprehensive loss within the consolidated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settlement of the terminated plans, which was completed in the fourth quarter of 2024, the Company funded a plan termination liability shortfall for the U.S. defined benefit pension plan of $20 million and recognized a non-cash pre-tax pension settlement charge for the U.S. and U.K. plans of $147 million. The Company received a refund, net of excise tax, of $43 million of residual surplus related to the U.K. plan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Processing, Services and 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 consists of costs directly associated with providing services to clients and includes the following: personnel; equipment and data processing; facility costs, including costs to maintain software applications; client support; certain depreciation and amortization; and other operating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product consists of costs directly associated with the products sold and includes the following: costs of materials and postage; hardware costs (primarily POS devices); personnel; facility costs; certain depreciation and amortization; and other costs directly associated with product revenue.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salaries, wages, commissions and related expenses paid to sales personnel, administrative employees and management; third-party commissions and payments to distribution partners; marketing costs; certain depreciation and amortization; and other selling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W w:w="5502" w:type="dxa"/>
        <w:jc w:val="left"/>
        <w:tblInd w:w="0" w:type="dxa"/>
        <w:tblLayout w:type="fixed"/>
        <w:tblCellMar>
          <w:top w:w="28" w:type="dxa"/>
          <w:left w:w="28" w:type="dxa"/>
          <w:bottom w:w="28" w:type="dxa"/>
          <w:right w:w="28" w:type="dxa"/>
        </w:tblCellMar>
      </w:tblPr>
      <w:tblGrid>
        <w:gridCol w:w="640"/>
        <w:gridCol w:w="562"/>
        <w:gridCol w:w="568"/>
        <w:gridCol w:w="211"/>
        <w:gridCol w:w="691"/>
        <w:gridCol w:w="109"/>
        <w:gridCol w:w="109"/>
        <w:gridCol w:w="109"/>
        <w:gridCol w:w="109"/>
        <w:gridCol w:w="211"/>
        <w:gridCol w:w="691"/>
        <w:gridCol w:w="109"/>
        <w:gridCol w:w="109"/>
        <w:gridCol w:w="109"/>
        <w:gridCol w:w="109"/>
        <w:gridCol w:w="211"/>
        <w:gridCol w:w="69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such temporary differences are expected to be recovered or settled. A valuation allowance is recorded against deferred tax assets if it is more likely than not that some portion or all of the deferred tax assets will not be realized.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 Additional information regarding the Company’s income taxes is included in Note 16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Income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Fiserv, Inc. in each year is calculated using actual, unrounded amounts. Basic net income per share is computed by dividing net income attributable to Fiserv, Inc. by the weighted-average number of common shares outstanding during the year. Diluted net income per share is computed by dividing net income attributable to Fiserv, Inc. by the weighted-average number of common shares and common stock equivalents outstanding during the year. Common stock equivalents consist of unvested restricted stock units, unvested restricted stock awards and outstanding stock options, and are computed using the treasury stock method. In 2025, restricted stock units for 1.0 million shares were excluded from the calculation of weighted-average outstanding shares - diluted because their impact was anti-dilutive. In 2024 and 2023, restricted stock units excluded from the calculation of weighted-average outstanding shares - diluted were not significant.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computation of shares used in calculating basic and diluted net income per share is as follows:</w:t>
      </w:r>
    </w:p>
    <w:tbl>
      <w:tblPr>
        <w:tblW w:w="10205" w:type="dxa"/>
        <w:jc w:val="left"/>
        <w:tblInd w:w="0" w:type="dxa"/>
        <w:tblLayout w:type="fixed"/>
        <w:tblCellMar>
          <w:top w:w="28" w:type="dxa"/>
          <w:left w:w="28" w:type="dxa"/>
          <w:bottom w:w="28" w:type="dxa"/>
          <w:right w:w="28" w:type="dxa"/>
        </w:tblCellMar>
      </w:tblPr>
      <w:tblGrid>
        <w:gridCol w:w="2416"/>
        <w:gridCol w:w="2121"/>
        <w:gridCol w:w="2142"/>
        <w:gridCol w:w="109"/>
        <w:gridCol w:w="109"/>
        <w:gridCol w:w="109"/>
        <w:gridCol w:w="308"/>
        <w:gridCol w:w="308"/>
        <w:gridCol w:w="176"/>
        <w:gridCol w:w="133"/>
        <w:gridCol w:w="133"/>
        <w:gridCol w:w="133"/>
        <w:gridCol w:w="308"/>
        <w:gridCol w:w="308"/>
        <w:gridCol w:w="176"/>
        <w:gridCol w:w="133"/>
        <w:gridCol w:w="133"/>
        <w:gridCol w:w="133"/>
        <w:gridCol w:w="332"/>
        <w:gridCol w:w="284"/>
        <w:gridCol w:w="201"/>
      </w:tblGrid>
      <w:tr>
        <w:trPr/>
        <w:tc>
          <w:tcPr>
            <w:tcW w:w="241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for the calculation of net income attributable to Fiserv, Inc.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for the calculation of net income attributable to Fiserv, Inc.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Supplemental Cash Flow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w:t>
      </w:r>
    </w:p>
    <w:tbl>
      <w:tblPr>
        <w:tblW w:w="9938" w:type="dxa"/>
        <w:jc w:val="left"/>
        <w:tblInd w:w="0" w:type="dxa"/>
        <w:tblLayout w:type="fixed"/>
        <w:tblCellMar>
          <w:top w:w="28" w:type="dxa"/>
          <w:left w:w="28" w:type="dxa"/>
          <w:bottom w:w="28" w:type="dxa"/>
          <w:right w:w="28" w:type="dxa"/>
        </w:tblCellMar>
      </w:tblPr>
      <w:tblGrid>
        <w:gridCol w:w="2265"/>
        <w:gridCol w:w="1986"/>
        <w:gridCol w:w="2003"/>
        <w:gridCol w:w="109"/>
        <w:gridCol w:w="109"/>
        <w:gridCol w:w="109"/>
        <w:gridCol w:w="211"/>
        <w:gridCol w:w="616"/>
        <w:gridCol w:w="109"/>
        <w:gridCol w:w="109"/>
        <w:gridCol w:w="109"/>
        <w:gridCol w:w="109"/>
        <w:gridCol w:w="211"/>
        <w:gridCol w:w="616"/>
        <w:gridCol w:w="109"/>
        <w:gridCol w:w="109"/>
        <w:gridCol w:w="109"/>
        <w:gridCol w:w="109"/>
        <w:gridCol w:w="211"/>
        <w:gridCol w:w="466"/>
        <w:gridCol w:w="154"/>
      </w:tblGrid>
      <w:tr>
        <w:trPr/>
        <w:tc>
          <w:tcPr>
            <w:tcW w:w="226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bookmarkStart w:id="2" w:name="i0ff62ba6b43e46b6a7d67fb5d4396ce8_1-0-1-"/>
            <w:bookmarkEnd w:id="2"/>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taxes paid, including transferable federal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purchases settled after the balance sheet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other intangible assets obtained under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obtained under 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Recent Accounting Pronouncements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0" w:after="180"/>
        <w:jc w:val="left"/>
        <w:rPr/>
      </w:pPr>
      <w:r>
        <w:rPr>
          <w:rFonts w:ascii="Times New Roman;serif" w:hAnsi="Times New Roman;serif"/>
          <w:b w:val="false"/>
          <w:color w:val="000000"/>
          <w:sz w:val="20"/>
        </w:rPr>
        <w:t>In 2023, the Financial Accounting Standards Board (“FASB”) issued Accounting Standards Update (“ASU”) No. 2023-09</w:t>
      </w:r>
      <w:r>
        <w:rPr>
          <w:rFonts w:ascii="Times New Roman;serif" w:hAnsi="Times New Roman;serif"/>
          <w:b w:val="false"/>
          <w:i/>
          <w:color w:val="000000"/>
          <w:sz w:val="20"/>
        </w:rPr>
        <w:t xml:space="preserve">, Income Taxes (Topic 740) - Improvement to Income Tax Disclosures </w:t>
      </w:r>
      <w:r>
        <w:rPr>
          <w:rFonts w:ascii="Times New Roman;serif" w:hAnsi="Times New Roman;serif"/>
          <w:b w:val="false"/>
          <w:color w:val="000000"/>
          <w:sz w:val="20"/>
        </w:rPr>
        <w:t>(“ASU 2023-09”</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adopted ASU 2023-09 effective for the year ended December 31, 2025, with prospective application. Additional information regarding the Company’s income tax rate reconciliations, including the application of the provisions of ASU 2023-09 for the year ended December 31, 2025, is included in Note 16 to the consolidated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is intended to more closely align hedge accounting with the economics of an entity’s risk management activities. ASU 2025-09 includes targeted improvements, primarily related to cash flow hedging, involving expanded eligibility for grouping individual forecasted transactions with similar risk exposure; the addition of an alternative model for the application of hedge accounting to cash flow hedges of interest payments on choose-your-rate debt instruments; the ability to designate a variable price component of a forecasted purchase or sale of a nonfinancial asset; and refines the guidance for net written options as hedging instruments and for a dual hedge strategy involving foreign currency denominated debt. For public entities, the provisions within ASU 2025-09 are effective for fiscal years beginning after December 15, 2026, and for interim reporting periods within those fiscal years. The provisions within ASU 2025-09 are required to be applied prospectively. The Company is currently assessing the impact the adoption of ASU 2025-09 may have on its consolidated financial statements and disclosures.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which provides a practical expedient for estimating expected credit losses on current trade receivables and contract assets by assuming that current conditions persist over the life of these assets. For all entities, the provisions within ASU 2025-05 are effective for annual reporting periods beginning after December 15, 2026, and for interim reporting periods within those annual reporting periods. The provisions within ASU 2025-05 are required to be applied prospectively. The Company is currently assessing the impact the adoption of ASU 2025-05 may have on its consolidated financial statements and disclosures.</w:t>
      </w:r>
    </w:p>
    <w:p>
      <w:pPr>
        <w:pStyle w:val="TextBody"/>
        <w:bidi w:val="0"/>
        <w:spacing w:lineRule="auto" w:line="288" w:before="0" w:after="180"/>
        <w:jc w:val="left"/>
        <w:rPr/>
      </w:pPr>
      <w:r>
        <w:rPr>
          <w:rFonts w:ascii="Times New Roman;serif" w:hAnsi="Times New Roman;serif"/>
          <w:b w:val="false"/>
          <w:color w:val="000000"/>
          <w:sz w:val="20"/>
        </w:rPr>
        <w:t xml:space="preserve">In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which requires disaggregation of certain expense captions into specified categories 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are effective for the first annual reporting period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2026, and for interim reporting periods within annual reporting periods beginning after December 15, 2027. The provisions within ASU 2024-03 are required to be applied prospectively; however, such provisions may be applied retrospectively for all comparative periods following the effective date. The Company is currently assessing the impact the adoption of ASU 2024-03 will have on its consolidated financial statement disclosures.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(“ASU 2025-06”), to modernize the accounting guidance for costs to develop software for internal use. ASU 2025-06 amends the existing standard that refers to various stages of a software development project to better align with current software development methods, such as agile programming. Under ASU 2025-06, cost capitalization begins when management has authorized and committed to funding the project, and it is probable the project will be completed and the software will be used to perform its intended function. For all entities, the provisions within ASU 2025-06 are effective for fiscal years beginning after December 15, 2027, and for interim reporting periods within those fiscal years. The provisions within ASU 2025-06 can be applied either retrospectively through a cumulative-effect adjustment, prospectively to software costs incurred after the adoption date (on existing, in-process software projects or new projects), or on a modified prospective basis. The Company is currently assessing the impact the adoption of ASU 2025-06 will have on its consolidated financial statements and disclosures.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2025-10, </w:t>
      </w:r>
      <w:r>
        <w:rPr>
          <w:rFonts w:ascii="Times New Roman;serif" w:hAnsi="Times New Roman;serif"/>
          <w:b w:val="false"/>
          <w:i/>
          <w:color w:val="000000"/>
          <w:sz w:val="20"/>
        </w:rPr>
        <w:t xml:space="preserve">Government Grants (Topic 832): Accounting for Government Grants Received by Business Entities </w:t>
      </w:r>
      <w:r>
        <w:rPr>
          <w:rFonts w:ascii="Times New Roman;serif" w:hAnsi="Times New Roman;serif"/>
          <w:b w:val="false"/>
          <w:color w:val="000000"/>
          <w:sz w:val="20"/>
        </w:rPr>
        <w:t>(“ASU 2025-10”), which amends Topic 832 to provide specific guidance on the recognition, measurement, presentation and disclosure of government grants received by business entities, including both monetary and certain non-monetary grants. For public entities, the provisions within ASU 2025-10 are effective for annual and interim periods beginning after December 15, 2028, with early adoption permitted. The provisions within ASU 2025-10 can be applied either on a modified prospective, modified retrospective, or on a retrospective approach through a cumulative-effect adjustment. The Company is currently assessing the impact the adoption of ASU 2025-10 will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Significant Accounting Policy</w:t>
      </w:r>
    </w:p>
    <w:p>
      <w:pPr>
        <w:pStyle w:val="TextBody"/>
        <w:bidi w:val="0"/>
        <w:spacing w:lineRule="auto" w:line="288" w:before="0" w:after="180"/>
        <w:jc w:val="left"/>
        <w:rPr/>
      </w:pPr>
      <w:r>
        <w:rPr>
          <w:rFonts w:ascii="Times New Roman;serif" w:hAnsi="Times New Roman;serif"/>
          <w:b w:val="false"/>
          <w:color w:val="000000"/>
          <w:sz w:val="20"/>
        </w:rPr>
        <w:t xml:space="preserve">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Nature of Goods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comprised of the Merchant and the Financial reportable segments (see Note 19). The following is a description of principal activities from which the Company generates its revenue. Contracts with customers are evaluated on a contract-by-contract basis as contracts may include multiple types of goods and services as described below.</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Processing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 is generated from account- and transaction-based fees for merchant transaction processing and acquiring, electronic billing and payment services, electronic funds transfer and debit/credit processing services; consulting and professional services; merchant cash advances; and software maintenance for ongoing client support.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processing and services revenue in the period in which the specific service is performed unless such service is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performance obligation) and revenue is recognized from the satisfaction of the performance obligations in the amount billable to the customer. These services are typically provided under a fixed or declining (tier-based) price per unit based on volume of service; however, pricing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services may also be based on fixed or monthly minimum processing fees. Fees for the Company’s processing and services arrangements are typically billed and paid on a monthly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is generated from print and card production, software license, data and analytics, and hardware (primarily POS devices) sales.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substantial volumes of payment and transaction data, providing insights into business and consumer activity. The Company accounts for the sales of distinct data and analytics as a separate performance obligation and recognizes the revenue at its standalone selling price when the customer obtains control of the analytical data.</w:t>
      </w:r>
    </w:p>
    <w:p>
      <w:pPr>
        <w:pStyle w:val="TextBody"/>
        <w:bidi w:val="0"/>
        <w:spacing w:lineRule="auto" w:line="288" w:before="0" w:after="180"/>
        <w:jc w:val="left"/>
        <w:rPr/>
      </w:pPr>
      <w:r>
        <w:rPr>
          <w:rFonts w:ascii="Times New Roman;serif" w:hAnsi="Times New Roman;serif"/>
          <w:b w:val="false"/>
          <w:color w:val="000000"/>
          <w:sz w:val="20"/>
        </w:rPr>
        <w:t>The Company sells or leases hardware (POS devices) and other peripherals as part of its contracts with customers. Hardware typically consists of POS terminals or Clover</w:t>
      </w:r>
      <w:r>
        <w:rPr>
          <w:rFonts w:ascii="Times New Roman;serif" w:hAnsi="Times New Roman;serif"/>
          <w:b w:val="false"/>
          <w:color w:val="000000"/>
          <w:sz w:val="13"/>
        </w:rPr>
        <w:t>® </w:t>
      </w:r>
      <w:r>
        <w:rPr>
          <w:rFonts w:ascii="Times New Roman;serif" w:hAnsi="Times New Roman;serif"/>
          <w:b w:val="false"/>
          <w:color w:val="000000"/>
          <w:sz w:val="20"/>
        </w:rPr>
        <w:t>devices. The Company does not manufacture hardware; rather, it purchases hardware from third-party vendors and holds such hardware in inventory until purchased by a customer. The Company accounts for sales of distinct hardware as a separate performance obligation and recognizes the revenue at its standalone selling price when the customer obtains control of the hardware.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certain instances, the Company may offer extended payment terms beyond one year. To the extent a significant financing component exists, it is calculated as the difference between the promised consideration and the present value of the product fees utilizing a discount rate reflective of a separate financing transaction, and is recognized as interest income over the extended payment period. The present value of the product fees is recognized as revenue at the point in time when the product is transferred to the customer.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Significant Judgments in Application of the Guidance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uses the following methods, inputs and assumptions in determining amounts of revenue to recognize: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Identification of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control of goods and services is obtained prior to their transfer to a customer.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Determination of Transaction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transaction price is determined based on the consideration to which the Company will be entitled in exchange for transferring goods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Assessment of Estimates of Variable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Allocation of Transaction Price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transaction price (including any discounts or rebates) is allocated between distinct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Judgment may be required to determine standalone selling prices for each performance obligation and whether it depicts the amount the Company expects to receive in exchange for the related good or service.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 Modifications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revenue recognition for each identified performance obligation.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 disaggregated by business line and includes a reconciliation with its reportable segments. The 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16% of total revenue for the year ended December 31, 2025, and approximately 15% of total revenue for each of the years ended December 31, 2024 and 2023.</w:t>
      </w:r>
    </w:p>
    <w:tbl>
      <w:tblPr>
        <w:tblW w:w="7764" w:type="dxa"/>
        <w:jc w:val="left"/>
        <w:tblInd w:w="0" w:type="dxa"/>
        <w:tblLayout w:type="fixed"/>
        <w:tblCellMar>
          <w:top w:w="28" w:type="dxa"/>
          <w:left w:w="28" w:type="dxa"/>
          <w:bottom w:w="28" w:type="dxa"/>
          <w:right w:w="28" w:type="dxa"/>
        </w:tblCellMar>
      </w:tblPr>
      <w:tblGrid>
        <w:gridCol w:w="1309"/>
        <w:gridCol w:w="1148"/>
        <w:gridCol w:w="115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(In millions)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Business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Merchant Solutions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Solutions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Revenue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Total revenue includes $1.5 billion, $1.2 billion and $1.1 billion for the years ended December 31, 2025, 2024 and 2023, respectively, which represent revenue recognized outside the scope of ASC 606. Such revenue primarily consists of interest-related income earned on merchant and settlement anticipation cash advances, on short-term investments of subscriber funds and intermediary settlement cash balances, and lease income associated with POS terminal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contract assets and contract liabilities from contracts with customers: </w:t>
      </w:r>
    </w:p>
    <w:tbl>
      <w:tblPr>
        <w:tblW w:w="4707" w:type="dxa"/>
        <w:jc w:val="left"/>
        <w:tblInd w:w="0" w:type="dxa"/>
        <w:tblLayout w:type="fixed"/>
        <w:tblCellMar>
          <w:top w:w="28" w:type="dxa"/>
          <w:left w:w="28" w:type="dxa"/>
          <w:bottom w:w="28" w:type="dxa"/>
          <w:right w:w="28" w:type="dxa"/>
        </w:tblCellMar>
      </w:tblPr>
      <w:tblGrid>
        <w:gridCol w:w="597"/>
        <w:gridCol w:w="524"/>
        <w:gridCol w:w="529"/>
        <w:gridCol w:w="211"/>
        <w:gridCol w:w="466"/>
        <w:gridCol w:w="109"/>
        <w:gridCol w:w="109"/>
        <w:gridCol w:w="109"/>
        <w:gridCol w:w="109"/>
        <w:gridCol w:w="211"/>
        <w:gridCol w:w="466"/>
        <w:gridCol w:w="109"/>
        <w:gridCol w:w="109"/>
        <w:gridCol w:w="109"/>
        <w:gridCol w:w="109"/>
        <w:gridCol w:w="211"/>
        <w:gridCol w:w="46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contract assets increased primarily due to customer discounts (contract incentives) and contract liabilities increased primarily due to customer prepaid maintenance and deferred conversion/implementation revenue associated with long-term contracts obtained during the respective year. The Company recognized $819 million and $761 million of revenue during the years ended December 31, 2025 and 2024, respectively, that was included in the contract liabilities balance at the beginning of the year.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Transaction Price Allocated to Remaining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estimated processing and services revenue expected to be recognized in the future related to performance obligations that were unsatisfied (or partially unsatisfied) at December 31, 2025:</w:t>
      </w:r>
    </w:p>
    <w:tbl>
      <w:tblPr>
        <w:tblW w:w="3426" w:type="dxa"/>
        <w:jc w:val="left"/>
        <w:tblInd w:w="0" w:type="dxa"/>
        <w:tblLayout w:type="fixed"/>
        <w:tblCellMar>
          <w:top w:w="28" w:type="dxa"/>
          <w:left w:w="28" w:type="dxa"/>
          <w:bottom w:w="28" w:type="dxa"/>
          <w:right w:w="28" w:type="dxa"/>
        </w:tblCellMar>
      </w:tblPr>
      <w:tblGrid>
        <w:gridCol w:w="885"/>
        <w:gridCol w:w="777"/>
        <w:gridCol w:w="783"/>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 Ending December 31, </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incurs incremental costs to obtain a contract as well as costs to fulfill contracts with customers that are expected to be recovered. These costs consist of sales commissions incurred only if a contract is obtained, and customer conversion or implementation related costs. Capitalized sales commissions and conversion or implementation costs were as follows: </w:t>
      </w:r>
    </w:p>
    <w:tbl>
      <w:tblPr>
        <w:tblW w:w="6276" w:type="dxa"/>
        <w:jc w:val="left"/>
        <w:tblInd w:w="0" w:type="dxa"/>
        <w:tblLayout w:type="fixed"/>
        <w:tblCellMar>
          <w:top w:w="28" w:type="dxa"/>
          <w:left w:w="28" w:type="dxa"/>
          <w:bottom w:w="28" w:type="dxa"/>
          <w:right w:w="28" w:type="dxa"/>
        </w:tblCellMar>
      </w:tblPr>
      <w:tblGrid>
        <w:gridCol w:w="1447"/>
        <w:gridCol w:w="1269"/>
        <w:gridCol w:w="1289"/>
        <w:gridCol w:w="109"/>
        <w:gridCol w:w="109"/>
        <w:gridCol w:w="109"/>
        <w:gridCol w:w="211"/>
        <w:gridCol w:w="466"/>
        <w:gridCol w:w="109"/>
        <w:gridCol w:w="109"/>
        <w:gridCol w:w="109"/>
        <w:gridCol w:w="109"/>
        <w:gridCol w:w="211"/>
        <w:gridCol w:w="46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conversion or implementation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 amortization of capitalized sales commissions is included in selling, general and administrative expenses and the amortization of capitalized conversion or implementation costs within cost of processing and services. Amortization totaled $228 million, $221 million and $195 million during the years ended December 31, 2025, 2024 and 2023, respectively. Impairment losses recognized during the years ended December 31, 2025, 2024 and 2023 related to capitalized contract costs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Acquisitions, Dispositions and Other Transactions</w:t>
      </w:r>
    </w:p>
    <w:p>
      <w:pPr>
        <w:pStyle w:val="TextBody"/>
        <w:bidi w:val="0"/>
        <w:spacing w:lineRule="auto" w:line="288" w:before="0" w:after="180"/>
        <w:jc w:val="left"/>
        <w:rPr/>
      </w:pPr>
      <w:r>
        <w:rPr>
          <w:rFonts w:ascii="Times New Roman;serif" w:hAnsi="Times New Roman;serif"/>
          <w:b w:val="false"/>
          <w:color w:val="000000"/>
          <w:sz w:val="20"/>
        </w:rPr>
        <w:t xml:space="preserve">Acquisitions were accounted for as business combinations using the acquisition method of accounting in accordance with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Purchase price was allocated to the respective identifiable assets acquired and liabilities assumed based on the estimated fair values at the 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of Businesses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StoneCastle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17, 2025, the Company acquired StoneCastle Cash Management, LLC, INDX Processing, LLC and StoneCastle Trust Co. (collectively, “StoneCastle”), a provider of deposit funding solutions, for $415 million, net of $4 million of acquired cash. StoneCastle is included within the Financial segment and provides its network of depository institutions easy access to stable, cost efficient deposit funding.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preliminary allocation of purchase price resulted in the recognition of identifiable intangible assets of approximately $165 million, primarily acquired software and technology with an estimated useful life of 7 years, approximately $247 million of goodwill and $7 million of other net assets, including acquired cash. The allocation of the purchase price is preliminary and is subject to further adjustment, pending additional refinement and final completion of valuations. Goodwill, which is expected to be deductible for tax purposes, is primarily attributed to the anticipated value created by enabling the Company to offer technology-enabled deposit funding solutions to both its financial institution customers and merchant acquiring enterprise clients.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CCV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18, 2025, the Company acquired CCV Group B.V. (“CCV”), a Netherlands-based supplier of POS payment solutions, for $219 million, net of $34 million of acquired cash. CCV is included within the Merchant segment and expands the Company’s network of payment solutions. </w:t>
      </w:r>
    </w:p>
    <w:p>
      <w:pPr>
        <w:pStyle w:val="TextBody"/>
        <w:bidi w:val="0"/>
        <w:spacing w:lineRule="auto" w:line="288" w:before="0" w:after="180"/>
        <w:jc w:val="left"/>
        <w:rPr/>
      </w:pPr>
      <w:r>
        <w:rPr>
          <w:rFonts w:ascii="Times New Roman;serif" w:hAnsi="Times New Roman;serif"/>
          <w:b w:val="false"/>
          <w:color w:val="000000"/>
          <w:sz w:val="20"/>
        </w:rPr>
        <w:t>The preliminary allocation of purchase price resulted in the recognition of identifiable intangible assets, including customer relationships of approximately $118 million with an estimated useful life of 8 years, acquired software and technology of approximately $2 million with an estimated useful life of 1 year and an acquired trademark of approximately $4 million with an estimated useful life of 2 years; approximately $106 million of goodwill; and $23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enabling the Company’s ability to accelerate the deployment of its Clover</w:t>
      </w:r>
      <w:r>
        <w:rPr>
          <w:rFonts w:ascii="null;sans-serif" w:hAnsi="null;sans-serif"/>
          <w:b w:val="false"/>
          <w:color w:val="000000"/>
          <w:sz w:val="13"/>
        </w:rPr>
        <w:t>®</w:t>
      </w:r>
      <w:r>
        <w:rPr>
          <w:color w:val="000000"/>
        </w:rPr>
        <w:t xml:space="preserve"> </w:t>
      </w:r>
      <w:r>
        <w:rPr>
          <w:rFonts w:ascii="Times New Roman;serif" w:hAnsi="Times New Roman;serif"/>
          <w:b w:val="false"/>
          <w:color w:val="000000"/>
          <w:sz w:val="20"/>
        </w:rPr>
        <w:t>POS and business management platform, providing enhanced capabilities and innovation to an expansive combined merchant and partner base across Europe.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Payfare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segment and expands the Company’s embedded finance capabilities.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allocation of purchase price resulted in the recognition of identifiable intangible assets, including acquired software and technology of $22 million with a useful life of 7 years and customer relationships of $14 million with a useful life of 14 years; $56 million of goodwill; and $49 million of other net assets, including acquired cash. The allocation of the purchase price was finalized in the fourth quarter of 2025. Goodwill, which is not deductible for tax purposes, is primarily attributed to the anticipated value created by further enhancing the Company’s finance solutions in embedded banking, payments and lending for large enterprises and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lineRule="auto" w:line="288" w:before="0" w:after="180"/>
        <w:jc w:val="left"/>
        <w:rPr/>
      </w:pPr>
      <w:r>
        <w:rPr>
          <w:rFonts w:ascii="Times New Roman;serif" w:hAnsi="Times New Roman;serif"/>
          <w:b w:val="false"/>
          <w:color w:val="000000"/>
          <w:sz w:val="20"/>
        </w:rPr>
        <w:t>On October 1, 2025, the Company acquired a portion of The Toronto-Dominion Bank’s merchant processing business in Canada (“TD Merchant Canada”). TD Merchant Canada is included within the Merchant segment and expands the footprint of the Company’s Clover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On September 25, 2025, the Company acquired the Smith Consulting Group, LLC business (“SCG”), an operational consulting service utilized by community banks and credit unions across the U.S. SCG is included within the Financial segment and supports the Company’s ability to provide consultative engagement to enhance community banks’ and credit unions’ strategic investments. On September 4, 2025, the Company acquired CardFree Inc. (“CardFree”), an all-in-one platform delivering integrated order, payment and loyalty solutions for merchants. CardFree is included within the Merchant segment and further expands the capabilities of the Company’s Clover</w:t>
      </w:r>
      <w:r>
        <w:rPr>
          <w:color w:val="000000"/>
        </w:rPr>
        <w:t xml:space="preserve"> </w:t>
      </w:r>
      <w:r>
        <w:rPr>
          <w:rFonts w:ascii="Times New Roman;serif" w:hAnsi="Times New Roman;serif"/>
          <w:b w:val="false"/>
          <w:color w:val="000000"/>
          <w:sz w:val="20"/>
        </w:rPr>
        <w:t>platform across the hospitality, restaurant and lodging industries.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Asia-Pacific region.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acquired these businesses for an aggregate purchase price, including deferred payments, of $127 million, including earn-out provisions estimated at a fair value of $35 million (see Note 10). The allocation of purchase price for these acquisitions resulted in the recognition of identifiable intangible assets, including software and technology of approximately $31 million with a weighted average useful life of 7 years and customer relationships of approximately $18 million with an estimated useful life of 10 years; approximately $73 million of goodwill; and $5 million of other net assets. The purchase price allocations for Money Money and Pinch Payments were finalized in the third quarter of 2025 and for SCG was finalized in the fourth quarter of 2025. The purchase price allocations for TD Merchant Canada and CardFree are preliminary and are subject to further adjustment, pending additional refinement and final completion of valuations. Goodwill for these acquisitions is primarily attributed to the anticipated value created by expanding the reach of the Company’s Clover POS and business management platform and further enabling the Company’s payment solutions, financial service capabilities and advisory services for financial institutions. For tax purposes, goodwill related to the SCG and TD Merchant Canada acquisitions is deductible; however, goodwill related to the Money Money, Pinch Payments and CardFree acquisitions is not deductible.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9, 2023, the Company acquired Skytef Solucões em Captura de Transações Ltda (“Skytef”), a distributor for independent software vendor partners and merchants of the Company’s Electronic Funds Transfer payments software. Skytef is included within the Merchant segment and expands the Company’s distribution network and POS applications. On November 1, 2023, the Company acquired Sled S.A. (“Sled”), a provider of instant payment solutions. Sled is included within the Merchant segment and expands the Company’s direct payment service capabilities. The Company acquired these businesses in Latin America for an aggregate purchase price, including hold-backs, of $17 million. The purchase price allocations for the Skytef and Sled acquisitions were finalized in the first quarter of 2024, and measurement period adjustments did not have a material impact on the Company’s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Disposition of Business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Disposition of Financial Reconciliation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25, 2023, the Company sold its financial reconciliation business, which was reported within the Financial segment, for cash proceeds of $235 million. The Company recognized a pre-tax gain of $172 million on the sale, recorded within net gain on sale of business and distribution of other assets, with a related tax expense of $48 million recorded within the income tax provision, in the consolidated statement of income for the year ended December 31, 2023. The pre-tax gain was comprised of the difference between the consideration received and the net carrying amount of the business, including $38 million of allocated goodwill; $15 million of other net assets, primarily consisting of trade accounts receivable and capitalized software; and $10 million of accumulated foreign currency translation losses which were reclassified from accumulated other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2025, the Company acquired the remaining 49.9% ownership interest, including cash held of $195 million, in AIBMS, an Ireland-based payments solution provider, for $420 million. On April 17, 2025, the Company acquired the remaining 19% ownership interest in ICICI Merchant Services Private Limited, an India-based merchant acceptance business, for $22 million. The Company previously held a majority controlling financial interest in each of these subsidiaries, which continue to be consolidated and reported within the Merchant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Settlement Assets and Obligations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the Company’s settlement assets were as follows:</w:t>
      </w:r>
    </w:p>
    <w:tbl>
      <w:tblPr>
        <w:tblW w:w="4719" w:type="dxa"/>
        <w:jc w:val="left"/>
        <w:tblInd w:w="0" w:type="dxa"/>
        <w:tblLayout w:type="fixed"/>
        <w:tblCellMar>
          <w:top w:w="28" w:type="dxa"/>
          <w:left w:w="28" w:type="dxa"/>
          <w:bottom w:w="28" w:type="dxa"/>
          <w:right w:w="28" w:type="dxa"/>
        </w:tblCellMar>
      </w:tblPr>
      <w:tblGrid>
        <w:gridCol w:w="819"/>
        <w:gridCol w:w="720"/>
        <w:gridCol w:w="726"/>
        <w:gridCol w:w="211"/>
        <w:gridCol w:w="721"/>
        <w:gridCol w:w="109"/>
        <w:gridCol w:w="109"/>
        <w:gridCol w:w="109"/>
        <w:gridCol w:w="109"/>
        <w:gridCol w:w="211"/>
        <w:gridCol w:w="72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Settlement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settlement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consisted of the following:</w:t>
      </w:r>
    </w:p>
    <w:tbl>
      <w:tblPr>
        <w:tblW w:w="7908" w:type="dxa"/>
        <w:jc w:val="left"/>
        <w:tblInd w:w="0" w:type="dxa"/>
        <w:tblLayout w:type="fixed"/>
        <w:tblCellMar>
          <w:top w:w="28" w:type="dxa"/>
          <w:left w:w="28" w:type="dxa"/>
          <w:bottom w:w="28" w:type="dxa"/>
          <w:right w:w="28" w:type="dxa"/>
        </w:tblCellMar>
      </w:tblPr>
      <w:tblGrid>
        <w:gridCol w:w="1285"/>
        <w:gridCol w:w="1130"/>
        <w:gridCol w:w="1139"/>
        <w:gridCol w:w="109"/>
        <w:gridCol w:w="109"/>
        <w:gridCol w:w="109"/>
        <w:gridCol w:w="211"/>
        <w:gridCol w:w="721"/>
        <w:gridCol w:w="109"/>
        <w:gridCol w:w="109"/>
        <w:gridCol w:w="109"/>
        <w:gridCol w:w="109"/>
        <w:gridCol w:w="252"/>
        <w:gridCol w:w="862"/>
        <w:gridCol w:w="132"/>
        <w:gridCol w:w="109"/>
        <w:gridCol w:w="109"/>
        <w:gridCol w:w="109"/>
        <w:gridCol w:w="211"/>
        <w:gridCol w:w="72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w:t>
              <w:br/>
              <w:t>Value</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software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software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Gross software development costs capitalized for new products and enhancements to existing products totaled $1.1 billion, $942 million and $870 million for the years ended December 31, 2025, 2024 and 2023, respectively. Amortization expense associated with the above identifiable intangible assets was $2.3 billion for each of the years ended December 31, 2025 and 2024 and $2.4 billion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annual amortization expense with respect to intangible assets recorded at December 31, 2025 will be as follows:</w:t>
      </w:r>
    </w:p>
    <w:tbl>
      <w:tblPr>
        <w:tblW w:w="3812" w:type="dxa"/>
        <w:jc w:val="left"/>
        <w:tblInd w:w="0" w:type="dxa"/>
        <w:tblLayout w:type="fixed"/>
        <w:tblCellMar>
          <w:top w:w="28" w:type="dxa"/>
          <w:left w:w="28" w:type="dxa"/>
          <w:bottom w:w="28" w:type="dxa"/>
          <w:right w:w="28" w:type="dxa"/>
        </w:tblCellMar>
      </w:tblPr>
      <w:tblGrid>
        <w:gridCol w:w="868"/>
        <w:gridCol w:w="762"/>
        <w:gridCol w:w="769"/>
        <w:gridCol w:w="109"/>
        <w:gridCol w:w="109"/>
        <w:gridCol w:w="109"/>
        <w:gridCol w:w="211"/>
        <w:gridCol w:w="72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goodwill during the years ended December 31, 2025 and 2024. </w:t>
      </w:r>
    </w:p>
    <w:tbl>
      <w:tblPr>
        <w:tblW w:w="10205" w:type="dxa"/>
        <w:jc w:val="left"/>
        <w:tblInd w:w="0" w:type="dxa"/>
        <w:tblLayout w:type="fixed"/>
        <w:tblCellMar>
          <w:top w:w="28" w:type="dxa"/>
          <w:left w:w="28" w:type="dxa"/>
          <w:bottom w:w="28" w:type="dxa"/>
          <w:right w:w="28" w:type="dxa"/>
        </w:tblCellMar>
      </w:tblPr>
      <w:tblGrid>
        <w:gridCol w:w="655"/>
        <w:gridCol w:w="575"/>
        <w:gridCol w:w="582"/>
        <w:gridCol w:w="109"/>
        <w:gridCol w:w="109"/>
        <w:gridCol w:w="109"/>
        <w:gridCol w:w="216"/>
        <w:gridCol w:w="738"/>
        <w:gridCol w:w="112"/>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56"/>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Acceptance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Reallocation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Effective in the first quarter of 2024, the Company realigned its reportable segments to correspond with changes in its business designed to further enhance operational performance in the delivery of its integrated portfolio of products and solutions to its financial institution clients. This represents the reallocation of goodwill as a result of the segment realignment.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Investments in Unconsolidated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Merchant Alliances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ownership interests in certain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merchant alliance and charges fees to the alliance based on contractual pricing (see Note 18). The Company’s investment in its merchant alliances was $736 million and $1.2 billion at December 31, 2025 and 2024, respectively, and is reported within investments in unconsolidated affiliates in the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40% ownership interest in the Wells Fargo Merchant Services merchant alliance (“WFMS”), which was accounted for as an equity method investment. The Company acquired its ownership, at fair value, in WFMS through its 2019 acquisition of First Data Corporation. In the third quarter of 2024, Wells Fargo Bank, National Association (“Wells Fargo”) provided the Company with a notice of non-renewal for WFMS. Upon the expiration of the joint venture on April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2025, the Company received an initial cash payment of $453 million. Completion of the contractual valuation and separation process during the third quarter of 2025 did not result in a significant adjustment to the initial cash payment received.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recorded a $595 million non-cash impairment as a result of an other-than-temporary decline in the fair value of its equity method investment in WFMS within income (loss) from investments in unconsolidated affiliates, with the related tax benefit of $129 million recorded through the income tax provision, in the consolidated statement of income. The Company recorded an initial pre-tax impairment charge of $570 million in the third quarter of 2024 based upon the Company’s estimate of the fair value of its portion of WFMS, and an additional $25 million pre-tax impairment charge in the fourth quarter of 2024 based upon the expected cash payment described above. An additional $4 million pre-tax impairment charge was recorded during the year ended December 31, 2025 upon completion of the contractual valuation and separation process.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Equity Method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noncontrolling ownership interests in Sagent M&amp;C, LLC (“Sagent”) and defi SOLUTIONS Group, LLC (collectively the “Lending Joint Ventures”), which are accounted for under the equity method. The Company’s net investment in the Lending Joint Ventures was $88 million and $49 million at December 31, 2025 and 2024, respectively, and is reported within investments in unconsolidated affiliates in the consolidated balance sheets. In addition, the Company maintains other strategic investments accounted for under the equity method. The Company’s aggregate investment in such entities was $208 million and $218 million at December 31, 2025 and 2024, respectively, and is reported within investments in unconsolidated affiliates in the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Lending Joint Ventures maintain variable-rate term loan facilities with aggregate outstanding borrowings of $399 million in senior unsecured debt at December 31, 2025 and variable-rate revolving credit facilities with an aggregate borrowing capacity of $83 million with a syndicate of banks, which mature in April 2027. There were $18 million of aggregate outstanding borrowings on the revolving credit facilities at December 31, 2025. The Company has guaranteed the debt of the Lending Joint Ventures and does not anticipate that the Lending Joint Ventures will fail to fulfill their debt obligations (see Note 10).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classifies distributions from its investments accounted for using the equity method in the consolidated statements of cash flows using the cumulative earnings approach. Under this approach, distributions received from 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$86 million, $99 million and $191 million, of which $42 million, $60 million and $136 million were recorded as cash flows from investing activities in the Company’s consolidated statements of cash flows for the years ended December 31, 2025, 2024 and 2023, respectively. During the year ended December 31, 2025, the Company recorded net pre-tax gains of $37 million, primarily related to the sale of an equity method investment, within income (loss) from investments in unconsolidated affiliates in the consolidated statement of income.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Equity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also maintains investments, over which it does not have significant influence, in various equity securities without a readily determinable fair value. Such investments totaled $126 million and $250 million at December 31, 2025 and 2024,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for observable price changes to the values recorded for certain equity securities and net gains from sales of equity securities were, in aggregate, $82 million and $29 million during the years ended December 31, 2025 and 2024, respectively. The Company received cash proceeds of $210 million from the sale of certain investments in the fourth quarter of 2025, which were included in proceeds from sale of investments within investing activities in the consolidated statement of cash flows. Adjustments made for observable price changes to the values recorded for certain equity securities and net gains from sales of equity securities were not significant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Derivatives and Hedging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forward exchange contracts, designated as cash flow hedges, to hedge foreign currency exposure to the Indian Rupee. The notional amount of these derivatives was $323 million and $481 million at December 31, 2025 and 2024, respectively. Based on the amounts recorded in accumulated other comprehensive loss at December 31, 2025, the Company estimates that it will recognize losses of approximately $10 million in cost of processing and services during the next 12 months as foreign exchange forward contracts settle.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 $88 million and $101 million at December 31, 2025 and 2024, respectively. Based on the amounts recorded in accumulated other comprehensive loss at December 31, 2025, the Company estimates that it will recognize approximately $13 million in net interest expense during the next 12 months related to settled interest rate hedge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notional amount of the fixed-to-fixed cross-currency rate swap contracts were as follows: </w:t>
      </w:r>
    </w:p>
    <w:tbl>
      <w:tblPr>
        <w:tblW w:w="3334" w:type="dxa"/>
        <w:jc w:val="left"/>
        <w:tblInd w:w="0" w:type="dxa"/>
        <w:tblLayout w:type="fixed"/>
        <w:tblCellMar>
          <w:top w:w="28" w:type="dxa"/>
          <w:left w:w="28" w:type="dxa"/>
          <w:bottom w:w="28" w:type="dxa"/>
          <w:right w:w="28" w:type="dxa"/>
        </w:tblCellMar>
      </w:tblPr>
      <w:tblGrid>
        <w:gridCol w:w="570"/>
        <w:gridCol w:w="500"/>
        <w:gridCol w:w="505"/>
        <w:gridCol w:w="233"/>
        <w:gridCol w:w="233"/>
        <w:gridCol w:w="176"/>
        <w:gridCol w:w="138"/>
        <w:gridCol w:w="138"/>
        <w:gridCol w:w="138"/>
        <w:gridCol w:w="233"/>
        <w:gridCol w:w="233"/>
        <w:gridCol w:w="237"/>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Currency</w:t>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Euros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Singapore Dollars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 and British Pound-denominated senior notes and Euro commercial paper notes as net investment hedges to hedge a portion of its net investment in certain subsidiaries whose functional currencies are the Euro and the British Pound.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 of income tax, related to net investment hedges that were recorded as foreign currency translation within other comprehensive income (loss) in the consolidated statements of comprehensive income were as follows:</w:t>
      </w:r>
    </w:p>
    <w:tbl>
      <w:tblPr>
        <w:tblW w:w="6358" w:type="dxa"/>
        <w:jc w:val="left"/>
        <w:tblInd w:w="0" w:type="dxa"/>
        <w:tblLayout w:type="fixed"/>
        <w:tblCellMar>
          <w:top w:w="28" w:type="dxa"/>
          <w:left w:w="28" w:type="dxa"/>
          <w:bottom w:w="28" w:type="dxa"/>
          <w:right w:w="28" w:type="dxa"/>
        </w:tblCellMar>
      </w:tblPr>
      <w:tblGrid>
        <w:gridCol w:w="1096"/>
        <w:gridCol w:w="961"/>
        <w:gridCol w:w="973"/>
        <w:gridCol w:w="109"/>
        <w:gridCol w:w="109"/>
        <w:gridCol w:w="109"/>
        <w:gridCol w:w="109"/>
        <w:gridCol w:w="211"/>
        <w:gridCol w:w="436"/>
        <w:gridCol w:w="109"/>
        <w:gridCol w:w="109"/>
        <w:gridCol w:w="109"/>
        <w:gridCol w:w="109"/>
        <w:gridCol w:w="211"/>
        <w:gridCol w:w="361"/>
        <w:gridCol w:w="109"/>
        <w:gridCol w:w="109"/>
        <w:gridCol w:w="109"/>
        <w:gridCol w:w="109"/>
        <w:gridCol w:w="211"/>
        <w:gridCol w:w="43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136" w:type="dxa"/>
            <w:gridSpan w:val="12"/>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impacts of $138 million, $(66) million and $68 million for the years ended December 31, 2025, 2024 and 2023, respectively, in other comprehensive income (loss) from the translation of foreign currency-denominated senior notes, Euro commercial paper notes and fixed-to-fixed cross-currency rate swap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maintained a fixed-to-fixed cross-currency rate swap contract in the notional amount of 525 million British Pounds, designated as a fair value hedge, to mitigate the spot foreign exchange rate risk on the principal amount of its British Pound-denominated 2.250% senior notes, which matured in July 2025, as well as fixed-to-fixed cross-currency rate swap contracts on the principal amount of a Euro-denominated intercompany note, which was repaid in 2024. Net changes in the fair value of the cross-currency rate swaps ($60 million gain, $8 million loss and $6 million loss for the years ended December 31, 2025, 2024 and 2023, respectively), along with the offsetting change in the fair value of the hedged notes, attributable to fluctuations in the respective foreign currency spot rates were recognized in other expense, net within the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9) are measured on a recurring basis based on foreign currency spot rates and forwards quoted by banks and foreign currency dealers and are marked to market each period. Contingent consideration related to certain of the Company’s acquisitions (see Note 4) is estimated using a probability-weighted assessment approach based on the likelihood of achieving the earn-out criteria. The Company’s obligation to satisfy the purchase of a redeemable noncontrolling interest associated with a terminated merchant alliance joint venture was measured at the estimated fair value of the minority interest. Such obligation was settled during the year ended December 31, 2025 through the distribution of certain merchant contracts to the minority partner (see Note 13).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on a recurring basis consisted of the following: </w:t>
      </w:r>
    </w:p>
    <w:tbl>
      <w:tblPr>
        <w:tblW w:w="10205" w:type="dxa"/>
        <w:jc w:val="left"/>
        <w:tblInd w:w="0" w:type="dxa"/>
        <w:tblLayout w:type="fixed"/>
        <w:tblCellMar>
          <w:top w:w="28" w:type="dxa"/>
          <w:left w:w="28" w:type="dxa"/>
          <w:bottom w:w="28" w:type="dxa"/>
          <w:right w:w="28" w:type="dxa"/>
        </w:tblCellMar>
      </w:tblPr>
      <w:tblGrid>
        <w:gridCol w:w="1332"/>
        <w:gridCol w:w="1170"/>
        <w:gridCol w:w="1183"/>
        <w:gridCol w:w="859"/>
        <w:gridCol w:w="859"/>
        <w:gridCol w:w="861"/>
        <w:gridCol w:w="492"/>
        <w:gridCol w:w="492"/>
        <w:gridCol w:w="493"/>
        <w:gridCol w:w="109"/>
        <w:gridCol w:w="109"/>
        <w:gridCol w:w="109"/>
        <w:gridCol w:w="252"/>
        <w:gridCol w:w="486"/>
        <w:gridCol w:w="130"/>
        <w:gridCol w:w="130"/>
        <w:gridCol w:w="130"/>
        <w:gridCol w:w="130"/>
        <w:gridCol w:w="252"/>
        <w:gridCol w:w="432"/>
        <w:gridCol w:w="195"/>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at December 31,</w:t>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 designated as net investment hedge</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 designated as net investment hedges</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Cross-currency rate swap contract designated as fair value hedge </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 designated as net investment hedges</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current liabilities </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Forward exchange contracts designated as cash flow hedges</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Forward exchange contracts designated as cash flow hedges</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Cross-currency rate swap contracts designated as net investment hedges </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Obligation to purchase redeemable noncontrolling interest</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debt guarantee</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$26.4 billion and $23.2 billion at December 31, 2025 and 2024, respectively, and the carrying value was $26.9 billion and $23.9 billion at December 31, 2025 and 2024,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Debt Guarantee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liabilities for its obligations to perform over the term of its debt guarantee arrangements with the Lending Joint Ventures (see Note 8), which are reported within other long-term liabilities in the consolidated balance sheets. The Company has provided aggregate guarantees of $482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non-contingent component of the Company’s debt guarantee arrangements is recorded at amortized cost, but measured at fair value for disclosure purposes. The carrying value of the Company’s non-contingent liability of $12 million and $21 million approximates the fair value at December 31, 2025 and 2024,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credit losses in the event a default occurs. The Company recognized $18 million during each of the years ended December 31, 2025 and 2024, and $7 million during the year ended December 31, 2023 within other expense, net in its consolidated statements of income related to its release from risk under the non-contingent guarantees as well as a change in the provision of estimated credit losses associated with the indebtedness of the Lending Joint Ventures.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Non-Financial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2025, 2024 and 2023 is included in Note 8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Company as Lessee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or obtains control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Company’s leases have remaining lease terms ranging from one month to 18 years.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 term of 12 months or less are not recorded on the consolidated balance sheets;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 Balances</w:t>
      </w:r>
    </w:p>
    <w:tbl>
      <w:tblPr>
        <w:tblW w:w="4659" w:type="dxa"/>
        <w:jc w:val="left"/>
        <w:tblInd w:w="0" w:type="dxa"/>
        <w:tblLayout w:type="fixed"/>
        <w:tblCellMar>
          <w:top w:w="28" w:type="dxa"/>
          <w:left w:w="28" w:type="dxa"/>
          <w:bottom w:w="28" w:type="dxa"/>
          <w:right w:w="28" w:type="dxa"/>
        </w:tblCellMar>
      </w:tblPr>
      <w:tblGrid>
        <w:gridCol w:w="874"/>
        <w:gridCol w:w="767"/>
        <w:gridCol w:w="774"/>
        <w:gridCol w:w="211"/>
        <w:gridCol w:w="616"/>
        <w:gridCol w:w="109"/>
        <w:gridCol w:w="109"/>
        <w:gridCol w:w="109"/>
        <w:gridCol w:w="109"/>
        <w:gridCol w:w="211"/>
        <w:gridCol w:w="61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Operating lease assets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assets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Operating lease liabilities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liabilities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Operating lease liabilities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liabilities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Operating lease assets are included within other long-term assets, and operating lease liabilities are included within accounts payable and other current liabilities (current portion) and other long-term liabilities (noncurrent portion) in the consolidated balance sheets. </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Finance lease assets are included within property and equipment, net and finance lease liabilities are included within short-term and current maturities of long-term debt (current portion) and long-term debt (noncurrent portion) in the consolidated balance sheets.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Components of Lease Cost</w:t>
      </w:r>
    </w:p>
    <w:tbl>
      <w:tblPr>
        <w:tblW w:w="6266" w:type="dxa"/>
        <w:jc w:val="left"/>
        <w:tblInd w:w="0" w:type="dxa"/>
        <w:tblLayout w:type="fixed"/>
        <w:tblCellMar>
          <w:top w:w="28" w:type="dxa"/>
          <w:left w:w="28" w:type="dxa"/>
          <w:bottom w:w="28" w:type="dxa"/>
          <w:right w:w="28" w:type="dxa"/>
        </w:tblCellMar>
      </w:tblPr>
      <w:tblGrid>
        <w:gridCol w:w="1161"/>
        <w:gridCol w:w="1019"/>
        <w:gridCol w:w="1029"/>
        <w:gridCol w:w="211"/>
        <w:gridCol w:w="466"/>
        <w:gridCol w:w="109"/>
        <w:gridCol w:w="109"/>
        <w:gridCol w:w="109"/>
        <w:gridCol w:w="109"/>
        <w:gridCol w:w="211"/>
        <w:gridCol w:w="466"/>
        <w:gridCol w:w="109"/>
        <w:gridCol w:w="109"/>
        <w:gridCol w:w="109"/>
        <w:gridCol w:w="109"/>
        <w:gridCol w:w="211"/>
        <w:gridCol w:w="46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Finance lease cost: </w:t>
            </w:r>
            <w:r>
              <w:rPr>
                <w:rFonts w:ascii="Times New Roman;serif" w:hAnsi="Times New Roman;serif"/>
                <w:b w:val="false"/>
                <w:color w:val="000000"/>
                <w:sz w:val="13"/>
              </w:rPr>
              <w:t>(2)</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     </w:t>
            </w:r>
            <w:r>
              <w:rPr>
                <w:rFonts w:ascii="Times New Roman;serif" w:hAnsi="Times New Roman;serif"/>
                <w:b w:val="false"/>
                <w:color w:val="000000"/>
                <w:sz w:val="20"/>
              </w:rPr>
              <w:t>Amortization of right-of-use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     </w:t>
            </w:r>
            <w:r>
              <w:rPr>
                <w:rFonts w:ascii="Times New Roman;serif" w:hAnsi="Times New Roman;serif"/>
                <w:b w:val="false"/>
                <w:color w:val="000000"/>
                <w:sz w:val="20"/>
              </w:rPr>
              <w:t>Interest on lease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$55 million, $51 million and $41 million of variable lease costs during the years ended December 31, 2025, 2024 and 2023, respectively.</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Cash Flow Information</w:t>
      </w:r>
    </w:p>
    <w:tbl>
      <w:tblPr>
        <w:tblW w:w="8921" w:type="dxa"/>
        <w:jc w:val="left"/>
        <w:tblInd w:w="0" w:type="dxa"/>
        <w:tblLayout w:type="fixed"/>
        <w:tblCellMar>
          <w:top w:w="28" w:type="dxa"/>
          <w:left w:w="28" w:type="dxa"/>
          <w:bottom w:w="28" w:type="dxa"/>
          <w:right w:w="28" w:type="dxa"/>
        </w:tblCellMar>
      </w:tblPr>
      <w:tblGrid>
        <w:gridCol w:w="2121"/>
        <w:gridCol w:w="1859"/>
        <w:gridCol w:w="1884"/>
        <w:gridCol w:w="211"/>
        <w:gridCol w:w="466"/>
        <w:gridCol w:w="109"/>
        <w:gridCol w:w="109"/>
        <w:gridCol w:w="109"/>
        <w:gridCol w:w="109"/>
        <w:gridCol w:w="211"/>
        <w:gridCol w:w="466"/>
        <w:gridCol w:w="109"/>
        <w:gridCol w:w="109"/>
        <w:gridCol w:w="109"/>
        <w:gridCol w:w="109"/>
        <w:gridCol w:w="211"/>
        <w:gridCol w:w="46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Operating cash flows -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Operating cash flows - finance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Financing cash flows - finance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u w:val="single"/>
        </w:rPr>
        <w:t>Lease Term and Discount Rate</w:t>
      </w:r>
      <w:r>
        <w:rPr>
          <w:color w:val="000000"/>
        </w:rPr>
        <w:t xml:space="preserve"> </w:t>
      </w:r>
    </w:p>
    <w:tbl>
      <w:tblPr>
        <w:tblW w:w="5393" w:type="dxa"/>
        <w:jc w:val="left"/>
        <w:tblInd w:w="0" w:type="dxa"/>
        <w:tblLayout w:type="fixed"/>
        <w:tblCellMar>
          <w:top w:w="28" w:type="dxa"/>
          <w:left w:w="28" w:type="dxa"/>
          <w:bottom w:w="28" w:type="dxa"/>
          <w:right w:w="28" w:type="dxa"/>
        </w:tblCellMar>
      </w:tblPr>
      <w:tblGrid>
        <w:gridCol w:w="1228"/>
        <w:gridCol w:w="1078"/>
        <w:gridCol w:w="1083"/>
        <w:gridCol w:w="203"/>
        <w:gridCol w:w="203"/>
        <w:gridCol w:w="375"/>
        <w:gridCol w:w="109"/>
        <w:gridCol w:w="109"/>
        <w:gridCol w:w="109"/>
        <w:gridCol w:w="203"/>
        <w:gridCol w:w="203"/>
        <w:gridCol w:w="490"/>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Operating leases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Finance leases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Operating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Finance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Maturity of Lease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Future minimum rental payments on leases with initial non-cancellable lease terms in excess of one year were due as follows at December 31, 2025:</w:t>
      </w:r>
    </w:p>
    <w:tbl>
      <w:tblPr>
        <w:tblW w:w="6926" w:type="dxa"/>
        <w:jc w:val="left"/>
        <w:tblInd w:w="0" w:type="dxa"/>
        <w:tblLayout w:type="fixed"/>
        <w:tblCellMar>
          <w:top w:w="28" w:type="dxa"/>
          <w:left w:w="28" w:type="dxa"/>
          <w:bottom w:w="28" w:type="dxa"/>
          <w:right w:w="28" w:type="dxa"/>
        </w:tblCellMar>
      </w:tblPr>
      <w:tblGrid>
        <w:gridCol w:w="1080"/>
        <w:gridCol w:w="948"/>
        <w:gridCol w:w="957"/>
        <w:gridCol w:w="527"/>
        <w:gridCol w:w="1164"/>
        <w:gridCol w:w="273"/>
        <w:gridCol w:w="109"/>
        <w:gridCol w:w="109"/>
        <w:gridCol w:w="109"/>
        <w:gridCol w:w="355"/>
        <w:gridCol w:w="1036"/>
        <w:gridCol w:w="259"/>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96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20"/>
              </w:rPr>
              <w:t xml:space="preserve">Operating Leases </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20"/>
              </w:rPr>
              <w:t xml:space="preserve">Finance Leases </w:t>
            </w:r>
            <w:r>
              <w:rPr>
                <w:rFonts w:ascii="Times New Roman;serif" w:hAnsi="Times New Roman;serif"/>
                <w:b/>
                <w:color w:val="000000"/>
                <w:sz w:val="13"/>
              </w:rPr>
              <w:t>(3)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payments</w:t>
            </w:r>
          </w:p>
        </w:tc>
        <w:tc>
          <w:tcPr>
            <w:tcW w:w="1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Present value of lease liabilities</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Operating lease payments include $84 million related to options to extend lease terms that are reasonably certain of being exercised.</w:t>
      </w:r>
    </w:p>
    <w:p>
      <w:pPr>
        <w:pStyle w:val="TextBody"/>
        <w:bidi w:val="0"/>
        <w:spacing w:lineRule="auto" w:line="288" w:before="0" w:after="6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Operating lease payments exclude $162 million of legally binding minimum lease payments for leases signed but not yet commenced. Operating leases that have been signed but not yet commenced are for real estate and will commence in 2026 with lease terms up to 21 years.</w:t>
      </w:r>
    </w:p>
    <w:p>
      <w:pPr>
        <w:pStyle w:val="TextBody"/>
        <w:bidi w:val="0"/>
        <w:spacing w:lineRule="auto" w:line="288" w:before="0" w:after="18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Finance lease payments exclude $393 million of legally binding minimum lease payments for leases signed but not yet commenced. Finance leases that have been signed but not yet commenced are for equipment and will commence in 2026 with lease terms of up to 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Company as Lessor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owns certain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four years. For operating leases, the minimum lease payments received are recognized as lease income within product revenue on a straight-line basis over the lease term and the leased asset is included in property and equipment, net in the consolidated balance sheets and depreciated over its estimated useful life. For sales-type leases, selling profit is recognized within product revenue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value of the underlying asset at the end of the lease term. Unearned income is recognized as interest income within product revenue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along with the present value of the residual value of the asset less unearned interest income.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Components of Lease Income</w:t>
      </w:r>
    </w:p>
    <w:tbl>
      <w:tblPr>
        <w:tblW w:w="4977" w:type="dxa"/>
        <w:jc w:val="left"/>
        <w:tblInd w:w="0" w:type="dxa"/>
        <w:tblLayout w:type="fixed"/>
        <w:tblCellMar>
          <w:top w:w="28" w:type="dxa"/>
          <w:left w:w="28" w:type="dxa"/>
          <w:bottom w:w="28" w:type="dxa"/>
          <w:right w:w="28" w:type="dxa"/>
        </w:tblCellMar>
      </w:tblPr>
      <w:tblGrid>
        <w:gridCol w:w="809"/>
        <w:gridCol w:w="710"/>
        <w:gridCol w:w="716"/>
        <w:gridCol w:w="211"/>
        <w:gridCol w:w="361"/>
        <w:gridCol w:w="109"/>
        <w:gridCol w:w="109"/>
        <w:gridCol w:w="109"/>
        <w:gridCol w:w="109"/>
        <w:gridCol w:w="211"/>
        <w:gridCol w:w="361"/>
        <w:gridCol w:w="109"/>
        <w:gridCol w:w="109"/>
        <w:gridCol w:w="109"/>
        <w:gridCol w:w="109"/>
        <w:gridCol w:w="211"/>
        <w:gridCol w:w="36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Sales-type leases: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color w:val="000000"/>
              </w:rPr>
              <w:t>   </w:t>
            </w:r>
            <w:r>
              <w:rPr>
                <w:rFonts w:ascii="Times New Roman;serif" w:hAnsi="Times New Roman;serif"/>
                <w:b w:val="false"/>
                <w:color w:val="000000"/>
                <w:sz w:val="20"/>
              </w:rPr>
              <w:t xml:space="preserve">Selling profit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color w:val="000000"/>
              </w:rPr>
              <w:t>   </w:t>
            </w:r>
            <w:r>
              <w:rPr>
                <w:rFonts w:ascii="Times New Roman;serif" w:hAnsi="Times New Roman;serif"/>
                <w:b w:val="false"/>
                <w:color w:val="000000"/>
                <w:sz w:val="20"/>
              </w:rPr>
              <w:t xml:space="preserve">Interest income </w:t>
            </w:r>
            <w:r>
              <w:rPr>
                <w:rFonts w:ascii="Times New Roman;serif" w:hAnsi="Times New Roman;serif"/>
                <w:b w:val="false"/>
                <w:color w:val="000000"/>
                <w:sz w:val="13"/>
              </w:rPr>
              <w:t>(2)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Operating lease income </w:t>
            </w:r>
            <w:r>
              <w:rPr>
                <w:rFonts w:ascii="Times New Roman;serif" w:hAnsi="Times New Roman;serif"/>
                <w:b w:val="false"/>
                <w:color w:val="000000"/>
                <w:sz w:val="13"/>
              </w:rPr>
              <w:t>(3)</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Selling profit includes $257 million, $213 million and $160 million recorded within product revenue with a corresponding charge of $165 million, $139 million and $104 million recorded within cost of product in the consolidated statements of income for the years ended December 31, 2025, 2024 and 2023, respectively. </w:t>
      </w:r>
    </w:p>
    <w:p>
      <w:pPr>
        <w:pStyle w:val="TextBody"/>
        <w:bidi w:val="0"/>
        <w:spacing w:lineRule="auto" w:line="288" w:before="0" w:after="6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Interest income is included within product revenue in the consolidated statements of income. </w:t>
      </w:r>
    </w:p>
    <w:p>
      <w:pPr>
        <w:pStyle w:val="TextBody"/>
        <w:bidi w:val="0"/>
        <w:spacing w:lineRule="auto" w:line="288" w:before="0" w:after="18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Operating lease income includes a nominal amount of variable lease income and is included within product revenue in the consolidated statements of income for each of the years ended December 31, 2025, 2024 and 2023.</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Components of Net Investment in Sales-Type Leases</w:t>
      </w:r>
    </w:p>
    <w:tbl>
      <w:tblPr>
        <w:tblW w:w="4598" w:type="dxa"/>
        <w:jc w:val="left"/>
        <w:tblInd w:w="0" w:type="dxa"/>
        <w:tblLayout w:type="fixed"/>
        <w:tblCellMar>
          <w:top w:w="28" w:type="dxa"/>
          <w:left w:w="28" w:type="dxa"/>
          <w:bottom w:w="28" w:type="dxa"/>
          <w:right w:w="28" w:type="dxa"/>
        </w:tblCellMar>
      </w:tblPr>
      <w:tblGrid>
        <w:gridCol w:w="961"/>
        <w:gridCol w:w="843"/>
        <w:gridCol w:w="850"/>
        <w:gridCol w:w="211"/>
        <w:gridCol w:w="466"/>
        <w:gridCol w:w="109"/>
        <w:gridCol w:w="109"/>
        <w:gridCol w:w="109"/>
        <w:gridCol w:w="109"/>
        <w:gridCol w:w="211"/>
        <w:gridCol w:w="46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Residual values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Less: Unearned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Net investment in leases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investments in leased assets are included within prepaid expenses and other current assets (current portion) and other long-term assets (noncurrent portion)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Maturities of Future Minimum Lease Payment Receivables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receivable on sales-type leases were as follows at December 31, 2025:</w:t>
      </w:r>
    </w:p>
    <w:tbl>
      <w:tblPr>
        <w:tblW w:w="4866" w:type="dxa"/>
        <w:jc w:val="left"/>
        <w:tblInd w:w="0" w:type="dxa"/>
        <w:tblLayout w:type="fixed"/>
        <w:tblCellMar>
          <w:top w:w="28" w:type="dxa"/>
          <w:left w:w="28" w:type="dxa"/>
          <w:bottom w:w="28" w:type="dxa"/>
          <w:right w:w="28" w:type="dxa"/>
        </w:tblCellMar>
      </w:tblPr>
      <w:tblGrid>
        <w:gridCol w:w="1069"/>
        <w:gridCol w:w="938"/>
        <w:gridCol w:w="947"/>
        <w:gridCol w:w="109"/>
        <w:gridCol w:w="109"/>
        <w:gridCol w:w="429"/>
        <w:gridCol w:w="950"/>
        <w:gridCol w:w="315"/>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Sales-Type Leases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minimum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 Payment Receivables Portfolio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allowance for estimated credit losses on lease payment receivables was $55 million and $50 million at December 31, 2025 and 2024,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within product revenue is no longer recognized. Lease payment receivables are fully written off in the period they become delinquent greater than 180 days past due. Lease payment receivables that were determined to be on non-accrual status were nominal at each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debt consisted of the following:</w:t>
      </w:r>
    </w:p>
    <w:tbl>
      <w:tblPr>
        <w:tblW w:w="8165" w:type="dxa"/>
        <w:jc w:val="left"/>
        <w:tblInd w:w="0" w:type="dxa"/>
        <w:tblLayout w:type="fixed"/>
        <w:tblCellMar>
          <w:top w:w="28" w:type="dxa"/>
          <w:left w:w="28" w:type="dxa"/>
          <w:bottom w:w="28" w:type="dxa"/>
          <w:right w:w="28" w:type="dxa"/>
        </w:tblCellMar>
      </w:tblPr>
      <w:tblGrid>
        <w:gridCol w:w="1949"/>
        <w:gridCol w:w="1710"/>
        <w:gridCol w:w="1725"/>
        <w:gridCol w:w="109"/>
        <w:gridCol w:w="109"/>
        <w:gridCol w:w="109"/>
        <w:gridCol w:w="211"/>
        <w:gridCol w:w="721"/>
        <w:gridCol w:w="109"/>
        <w:gridCol w:w="109"/>
        <w:gridCol w:w="109"/>
        <w:gridCol w:w="109"/>
        <w:gridCol w:w="211"/>
        <w:gridCol w:w="721"/>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3.850% senior notes due 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senior notes due July 2025 (British Pound-denominated)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3.200% senior notes due 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March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senior notes due 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1.125% senior notes due July 2027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2.875% senior notes due June 2028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senior notes due 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4.200% senior notes due October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July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senior notes due March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2.650% senior notes due 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1.625% senior notes due July 2030 (Euro-denominated)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4.550% senior notes due 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5.350% senior notes due March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senior notes due May 2031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3.000% senior notes due July 2031 (British Pound-denominated)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June 2032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5.600% senior notes due March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August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August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August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June 2036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July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commercial paper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Annual maturities of the Company’s total debt were as follows at December 31, 2025:</w:t>
      </w:r>
    </w:p>
    <w:tbl>
      <w:tblPr>
        <w:tblW w:w="5331" w:type="dxa"/>
        <w:jc w:val="left"/>
        <w:tblInd w:w="0" w:type="dxa"/>
        <w:tblLayout w:type="fixed"/>
        <w:tblCellMar>
          <w:top w:w="28" w:type="dxa"/>
          <w:left w:w="28" w:type="dxa"/>
          <w:bottom w:w="28" w:type="dxa"/>
          <w:right w:w="28" w:type="dxa"/>
        </w:tblCellMar>
      </w:tblPr>
      <w:tblGrid>
        <w:gridCol w:w="1534"/>
        <w:gridCol w:w="1345"/>
        <w:gridCol w:w="1366"/>
        <w:gridCol w:w="211"/>
        <w:gridCol w:w="721"/>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financial debt covenants during the year ended December 31,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outstanding $24.9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11, 2025, the Company completed the public offering and issuance of $2.0 billion of senior notes, comprised of $1.0 billion aggregate principal amount of 4.550% senior notes due in February 2031 and $1.0 billion aggregate principal amount of 5.250% senior notes due in August 2035. Interest on these senior notes is paid semi-annually. The Company used the net proceeds from this senior notes offering for general corporate purposes, including the repayment of a portion of the Company’s commercial paper notes and for share repurchases.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 Company’s commercial paper notes, 3.850% senior notes due in June 2025 and 2.250% senior notes due in July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12,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4,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 due in July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3.200% senior notes due in July 2026 were classified in the consolidated balance sheet as long-term, as the Company has the ability to refinance such debt under its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$326 million and $221 million at December 31, 2025 and 2024, with weighted average interest rates of 3.851% and 4.534%, respectively. Outstanding borrowings under the Euro program were $839 million and $1.2 billion at December 31, 2025 and 2024, with weighted average interest rates of 2.210% and 3.115%,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12, 2025, the Company entered into a new senior unsecured multicurrency revolving credit facility with substantially the same syndicate of banks that were leaders under its prior revolving credit facility, which the Company voluntarily terminated and replaced. The new credit facility matures in August 2030 and provides for a maximum aggregate principal amount of availability of $8.0 billion. Borrowings under the credit facility bear interest at a variable base rate, determined by the term and currency of the borrowing, plus a specified margin based on the Company’s long-term debt rating. Outstanding borrowings under the revolving credit facilities were $188 million and $115 million at December 31, 2025 and 2024, with corresponding interest rates of 4.685% and 5.440%, respectively. The new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Lines of Credit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various short-term lines of credit and other borrowing arrangements with foreign banks and alliance partners primarily to fund merchant settlement advances associated with operations in Latin America through the Company’s settlement anticipation program. The following table provides a summary of the outstanding borrowings and weighted average interest rates of the Company’s foreign lines of credit and other borrowing arrangements by country at December 31:</w:t>
      </w:r>
    </w:p>
    <w:tbl>
      <w:tblPr>
        <w:tblW w:w="8968"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363"/>
        <w:gridCol w:w="802"/>
        <w:gridCol w:w="187"/>
        <w:gridCol w:w="187"/>
        <w:gridCol w:w="187"/>
        <w:gridCol w:w="187"/>
        <w:gridCol w:w="363"/>
        <w:gridCol w:w="802"/>
        <w:gridCol w:w="187"/>
        <w:gridCol w:w="109"/>
        <w:gridCol w:w="109"/>
        <w:gridCol w:w="109"/>
        <w:gridCol w:w="360"/>
        <w:gridCol w:w="361"/>
        <w:gridCol w:w="574"/>
        <w:gridCol w:w="230"/>
        <w:gridCol w:w="230"/>
        <w:gridCol w:w="230"/>
        <w:gridCol w:w="360"/>
        <w:gridCol w:w="361"/>
        <w:gridCol w:w="678"/>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 Borrowings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Interest Rate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51.559 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38.470 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Uruguay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Deferred Financing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financing costs are amortized as a component of interest expense, net over the term of the underlying debt using the straight-line method. Deferred financing costs related to the Company’s senior notes totaled $114 million and $103 million at December 31, 2025 and 2024, respectively, and are reported as a direct reduction of the related debt instrument in the consolidated balance sheets. Deferred financing costs related to the Company’s revolving credit facility totaled $13 million and $5 million at December 31, 2025 and 2024, respectively, and are reported within other long-term assets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Redeemable Noncontrolling Interest</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minority partner in one of the Company’s merchant alliance joint ventures maintained a redeemable </w:t>
      </w:r>
      <w:r>
        <w:rPr>
          <w:rFonts w:ascii="Times New Roman;serif" w:hAnsi="Times New Roman;serif"/>
          <w:b w:val="false"/>
          <w:color w:val="000000"/>
          <w:sz w:val="20"/>
        </w:rPr>
        <w:t xml:space="preserve">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is not solely within the Company’s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redeemable noncontrolling interest was adjusted in the second quarter of 2024 to reflect the estimated redemption value, with a corresponding adjustment recorded to additional paid-in capital within the consolidated statement of equity. Additionally, as the redeemable noncontrolling interest became mandatorily redeemable, the Company’s obligation to satisfy the purchase of the minority partner’s membership interest was classified as a current liability in the consolidated balance sheet. The distribution of certain merchant contracts for the redemption of the minority partner’s membership interest was settled in the third quarter of 2025, resulting in a gain of $89 million recorded within net gain on sale of business and distribution of other assets in the consolidated statement of income. There was no associated tax impact on this gain. The Company maintains an ongoing relationship with the former minority partner to provide processing and other support services following the termination of the joint venture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redeemable noncontrolling interest activity during the year ended December 31, 2024:</w:t>
      </w:r>
    </w:p>
    <w:tbl>
      <w:tblPr>
        <w:tblW w:w="7942" w:type="dxa"/>
        <w:jc w:val="left"/>
        <w:tblInd w:w="0" w:type="dxa"/>
        <w:tblLayout w:type="fixed"/>
        <w:tblCellMar>
          <w:top w:w="28" w:type="dxa"/>
          <w:left w:w="28" w:type="dxa"/>
          <w:bottom w:w="28" w:type="dxa"/>
          <w:right w:w="28" w:type="dxa"/>
        </w:tblCellMar>
      </w:tblPr>
      <w:tblGrid>
        <w:gridCol w:w="2416"/>
        <w:gridCol w:w="2120"/>
        <w:gridCol w:w="2139"/>
        <w:gridCol w:w="109"/>
        <w:gridCol w:w="109"/>
        <w:gridCol w:w="109"/>
        <w:gridCol w:w="109"/>
        <w:gridCol w:w="211"/>
        <w:gridCol w:w="466"/>
        <w:gridCol w:w="154"/>
      </w:tblGrid>
      <w:tr>
        <w:trPr/>
        <w:tc>
          <w:tcPr>
            <w:tcW w:w="2416"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paid to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estimated redemption value of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current liability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net of income taxes, consisted of the following:</w:t>
      </w:r>
    </w:p>
    <w:tbl>
      <w:tblPr>
        <w:tblW w:w="10205" w:type="dxa"/>
        <w:jc w:val="left"/>
        <w:tblInd w:w="0" w:type="dxa"/>
        <w:tblLayout w:type="fixed"/>
        <w:tblCellMar>
          <w:top w:w="28" w:type="dxa"/>
          <w:left w:w="28" w:type="dxa"/>
          <w:bottom w:w="28" w:type="dxa"/>
          <w:right w:w="28" w:type="dxa"/>
        </w:tblCellMar>
      </w:tblPr>
      <w:tblGrid>
        <w:gridCol w:w="1649"/>
        <w:gridCol w:w="1418"/>
        <w:gridCol w:w="1435"/>
        <w:gridCol w:w="109"/>
        <w:gridCol w:w="109"/>
        <w:gridCol w:w="109"/>
        <w:gridCol w:w="327"/>
        <w:gridCol w:w="583"/>
        <w:gridCol w:w="171"/>
        <w:gridCol w:w="109"/>
        <w:gridCol w:w="109"/>
        <w:gridCol w:w="109"/>
        <w:gridCol w:w="246"/>
        <w:gridCol w:w="737"/>
        <w:gridCol w:w="128"/>
        <w:gridCol w:w="109"/>
        <w:gridCol w:w="109"/>
        <w:gridCol w:w="109"/>
        <w:gridCol w:w="342"/>
        <w:gridCol w:w="638"/>
        <w:gridCol w:w="178"/>
        <w:gridCol w:w="109"/>
        <w:gridCol w:w="109"/>
        <w:gridCol w:w="109"/>
        <w:gridCol w:w="211"/>
        <w:gridCol w:w="677"/>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Share-Based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fair value of share-based compensation awards granted to employees in cost of processing and services, cost of product, and selling, general and administrative expense in its consolidated statements of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share-based compensation awards are typically granted in the first quarter of the year; however, grants may also occur throughout the year, and primarily consist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Restricted Stock Units and Awards</w:t>
      </w:r>
      <w:r>
        <w:rPr>
          <w:color w:val="000000"/>
        </w:rPr>
        <w:t xml:space="preserve"> – </w:t>
      </w:r>
      <w:r>
        <w:rPr>
          <w:rFonts w:ascii="Times New Roman;serif" w:hAnsi="Times New Roman;serif"/>
          <w:b w:val="false"/>
          <w:color w:val="000000"/>
          <w:sz w:val="20"/>
        </w:rPr>
        <w:t xml:space="preserve">The Company grants restricted stock units and awards to employees and non-employee directors. Time-based restricted stock units and award grants generally vest over a three-year period. In December 2025, the Company granted discretionary restricted stock units to certain employees, which fully vest after an 18 month period. The Company recognizes compensation expense for restricted stock units and awards based on the market price of its common stock on the grant date over the period during which the units and awards vest.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Performance Share Units</w:t>
      </w:r>
      <w:r>
        <w:rPr>
          <w:color w:val="000000"/>
        </w:rPr>
        <w:t xml:space="preserve"> – </w:t>
      </w:r>
      <w:r>
        <w:rPr>
          <w:rFonts w:ascii="Times New Roman;serif" w:hAnsi="Times New Roman;serif"/>
          <w:b w:val="false"/>
          <w:color w:val="000000"/>
          <w:sz w:val="20"/>
        </w:rPr>
        <w:t>The Company grants performance share units to employees. The number of shares issued at the end of the performance period is determined by the level of achievement of predefined performance goals, including earnings, revenue growth, integration attainment, and shareholder return. The Company recognizes compensation expense on performance share units ratably over the requisite performance period of the award, generally two to five years, to the extent management views the performance goals as probable of attainment. The Company recognizes compensation expense for the fair value of the shareholder return component over the requisite service period of the award.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 Options</w:t>
      </w:r>
      <w:r>
        <w:rPr>
          <w:color w:val="000000"/>
        </w:rPr>
        <w:t xml:space="preserve"> – </w:t>
      </w:r>
      <w:r>
        <w:rPr>
          <w:rFonts w:ascii="Times New Roman;serif" w:hAnsi="Times New Roman;serif"/>
          <w:b w:val="false"/>
          <w:color w:val="000000"/>
          <w:sz w:val="20"/>
        </w:rPr>
        <w:t>The Company may grant stock options to employees and non-employee directors at exercise prices equal to the fair market value of 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Employee Stock Purchase Plan</w:t>
      </w:r>
      <w:r>
        <w:rPr>
          <w:color w:val="000000"/>
        </w:rPr>
        <w:t xml:space="preserve"> – </w:t>
      </w:r>
      <w:r>
        <w:rPr>
          <w:rFonts w:ascii="Times New Roman;serif" w:hAnsi="Times New Roman;serif"/>
          <w:b w:val="false"/>
          <w:color w:val="000000"/>
          <w:sz w:val="20"/>
        </w:rPr>
        <w:t>The Company maintains an employee stock purchase plan that allows eligible employees to purchase a limited number of shares of common stock each quarter through payroll deductions at a discount of the closing price of the Company’s common stock on the last business day of each calendar quarter. The employee discount of 5% under the employee stock purchase plan is considered non-compensatory and therefore does not give rise to recognizable compensation cost.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recognized $357 million, $367 million and $342 million of share-based compensation expense during the years ended December 31, 2025, 2024 and 2023, respectively. At December 31, 2025, the total remaining unrecognized compensation cost for restricted stock units and awards and performance share units, net of estimated forfeitures, of $324 million is expected to be recognized over a weighted-average period of 1.8 years. During the years ended December 31, 2025, 2024 and 2023, stock options to purchase 827 thousand, 2.3 million and 2.4 million shares, respectively, were exercised.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 Activity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 restricted stock award and performance share unit activity during the year ended December 31, 2025 is as follows:</w:t>
      </w:r>
    </w:p>
    <w:tbl>
      <w:tblPr>
        <w:tblW w:w="10205" w:type="dxa"/>
        <w:jc w:val="left"/>
        <w:tblInd w:w="0" w:type="dxa"/>
        <w:tblLayout w:type="fixed"/>
        <w:tblCellMar>
          <w:top w:w="28" w:type="dxa"/>
          <w:left w:w="28" w:type="dxa"/>
          <w:bottom w:w="28" w:type="dxa"/>
          <w:right w:w="28" w:type="dxa"/>
        </w:tblCellMar>
      </w:tblPr>
      <w:tblGrid>
        <w:gridCol w:w="1059"/>
        <w:gridCol w:w="932"/>
        <w:gridCol w:w="934"/>
        <w:gridCol w:w="109"/>
        <w:gridCol w:w="109"/>
        <w:gridCol w:w="109"/>
        <w:gridCol w:w="426"/>
        <w:gridCol w:w="426"/>
        <w:gridCol w:w="428"/>
        <w:gridCol w:w="180"/>
        <w:gridCol w:w="180"/>
        <w:gridCol w:w="180"/>
        <w:gridCol w:w="350"/>
        <w:gridCol w:w="1200"/>
        <w:gridCol w:w="180"/>
        <w:gridCol w:w="109"/>
        <w:gridCol w:w="109"/>
        <w:gridCol w:w="109"/>
        <w:gridCol w:w="426"/>
        <w:gridCol w:w="426"/>
        <w:gridCol w:w="428"/>
        <w:gridCol w:w="137"/>
        <w:gridCol w:w="137"/>
        <w:gridCol w:w="137"/>
        <w:gridCol w:w="267"/>
        <w:gridCol w:w="914"/>
        <w:gridCol w:w="204"/>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Units and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Share Units</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and awards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and awards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certain acquisitions, the Company granted restricted stock units with performance vesting provisions to be measured over two and five years, which are presented as performance share units within the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stock option awards were granted during the years ended December 31, 2025, 2024 and 2023. A summary of stock option activity during the year ended December 31, 2025 is as follows:</w:t>
      </w:r>
    </w:p>
    <w:tbl>
      <w:tblPr>
        <w:tblW w:w="9663" w:type="dxa"/>
        <w:jc w:val="left"/>
        <w:tblInd w:w="0" w:type="dxa"/>
        <w:tblLayout w:type="fixed"/>
        <w:tblCellMar>
          <w:top w:w="28" w:type="dxa"/>
          <w:left w:w="28" w:type="dxa"/>
          <w:bottom w:w="28" w:type="dxa"/>
          <w:right w:w="28" w:type="dxa"/>
        </w:tblCellMar>
      </w:tblPr>
      <w:tblGrid>
        <w:gridCol w:w="1445"/>
        <w:gridCol w:w="1270"/>
        <w:gridCol w:w="1274"/>
        <w:gridCol w:w="429"/>
        <w:gridCol w:w="429"/>
        <w:gridCol w:w="431"/>
        <w:gridCol w:w="109"/>
        <w:gridCol w:w="109"/>
        <w:gridCol w:w="109"/>
        <w:gridCol w:w="220"/>
        <w:gridCol w:w="642"/>
        <w:gridCol w:w="114"/>
        <w:gridCol w:w="109"/>
        <w:gridCol w:w="109"/>
        <w:gridCol w:w="109"/>
        <w:gridCol w:w="414"/>
        <w:gridCol w:w="414"/>
        <w:gridCol w:w="416"/>
        <w:gridCol w:w="109"/>
        <w:gridCol w:w="109"/>
        <w:gridCol w:w="109"/>
        <w:gridCol w:w="402"/>
        <w:gridCol w:w="488"/>
        <w:gridCol w:w="29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 December 31, 2024</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 - December 31, 2025</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exercisable - December 31, 2025</w:t>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additional information related to stock option and restricted stock unit activity:</w:t>
      </w:r>
    </w:p>
    <w:tbl>
      <w:tblPr>
        <w:tblW w:w="10205" w:type="dxa"/>
        <w:jc w:val="left"/>
        <w:tblInd w:w="0" w:type="dxa"/>
        <w:tblLayout w:type="fixed"/>
        <w:tblCellMar>
          <w:top w:w="28" w:type="dxa"/>
          <w:left w:w="28" w:type="dxa"/>
          <w:bottom w:w="28" w:type="dxa"/>
          <w:right w:w="28" w:type="dxa"/>
        </w:tblCellMar>
      </w:tblPr>
      <w:tblGrid>
        <w:gridCol w:w="2513"/>
        <w:gridCol w:w="2198"/>
        <w:gridCol w:w="2214"/>
        <w:gridCol w:w="109"/>
        <w:gridCol w:w="109"/>
        <w:gridCol w:w="109"/>
        <w:gridCol w:w="211"/>
        <w:gridCol w:w="361"/>
        <w:gridCol w:w="109"/>
        <w:gridCol w:w="109"/>
        <w:gridCol w:w="109"/>
        <w:gridCol w:w="109"/>
        <w:gridCol w:w="211"/>
        <w:gridCol w:w="466"/>
        <w:gridCol w:w="109"/>
        <w:gridCol w:w="109"/>
        <w:gridCol w:w="109"/>
        <w:gridCol w:w="109"/>
        <w:gridCol w:w="211"/>
        <w:gridCol w:w="466"/>
        <w:gridCol w:w="155"/>
      </w:tblGrid>
      <w:tr>
        <w:trPr/>
        <w:tc>
          <w:tcPr>
            <w:tcW w:w="251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intrinsic value of 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restricted stock units and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 from stock options exercised and restricted stock units and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December 31, 2025, 15.4 million share-based awards were available for grant under the Amended and Restated Fiserv, Inc. 2007 Omnibus Incentive Plan. Under its employee stock purchase plan, the Company issued 338 thousand, 255 thousand and 346 thousand shares during the years ended December 31, 2025, 2024 and 2023, respectively. At December 31, 2025, there were 22.3 million shares available for issuance under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based on income before income taxes and income (loss) from investments in unconsolidated affiliates, as follows:</w:t>
      </w:r>
    </w:p>
    <w:tbl>
      <w:tblPr>
        <w:tblW w:w="4706" w:type="dxa"/>
        <w:jc w:val="left"/>
        <w:tblInd w:w="0" w:type="dxa"/>
        <w:tblLayout w:type="fixed"/>
        <w:tblCellMar>
          <w:top w:w="28" w:type="dxa"/>
          <w:left w:w="28" w:type="dxa"/>
          <w:bottom w:w="28" w:type="dxa"/>
          <w:right w:w="28" w:type="dxa"/>
        </w:tblCellMar>
      </w:tblPr>
      <w:tblGrid>
        <w:gridCol w:w="434"/>
        <w:gridCol w:w="381"/>
        <w:gridCol w:w="384"/>
        <w:gridCol w:w="211"/>
        <w:gridCol w:w="616"/>
        <w:gridCol w:w="109"/>
        <w:gridCol w:w="109"/>
        <w:gridCol w:w="109"/>
        <w:gridCol w:w="109"/>
        <w:gridCol w:w="211"/>
        <w:gridCol w:w="616"/>
        <w:gridCol w:w="109"/>
        <w:gridCol w:w="109"/>
        <w:gridCol w:w="109"/>
        <w:gridCol w:w="109"/>
        <w:gridCol w:w="211"/>
        <w:gridCol w:w="61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income tax provision was as follows:</w:t>
      </w:r>
    </w:p>
    <w:tbl>
      <w:tblPr>
        <w:tblW w:w="7212" w:type="dxa"/>
        <w:jc w:val="left"/>
        <w:tblInd w:w="0" w:type="dxa"/>
        <w:tblLayout w:type="fixed"/>
        <w:tblCellMar>
          <w:top w:w="28" w:type="dxa"/>
          <w:left w:w="28" w:type="dxa"/>
          <w:bottom w:w="28" w:type="dxa"/>
          <w:right w:w="28" w:type="dxa"/>
        </w:tblCellMar>
      </w:tblPr>
      <w:tblGrid>
        <w:gridCol w:w="1447"/>
        <w:gridCol w:w="1269"/>
        <w:gridCol w:w="1289"/>
        <w:gridCol w:w="211"/>
        <w:gridCol w:w="616"/>
        <w:gridCol w:w="109"/>
        <w:gridCol w:w="109"/>
        <w:gridCol w:w="109"/>
        <w:gridCol w:w="109"/>
        <w:gridCol w:w="211"/>
        <w:gridCol w:w="466"/>
        <w:gridCol w:w="109"/>
        <w:gridCol w:w="109"/>
        <w:gridCol w:w="109"/>
        <w:gridCol w:w="109"/>
        <w:gridCol w:w="211"/>
        <w:gridCol w:w="46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income tax provision (benefit):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 income tax rate reconciliation pursuant to the disclosure requirements of ASU 2023-09 for the year ended December 31, 2025 is as follows:</w:t>
      </w:r>
    </w:p>
    <w:tbl>
      <w:tblPr>
        <w:tblW w:w="6448" w:type="dxa"/>
        <w:jc w:val="left"/>
        <w:tblInd w:w="0" w:type="dxa"/>
        <w:tblLayout w:type="fixed"/>
        <w:tblCellMar>
          <w:top w:w="28" w:type="dxa"/>
          <w:left w:w="28" w:type="dxa"/>
          <w:bottom w:w="28" w:type="dxa"/>
          <w:right w:w="28" w:type="dxa"/>
        </w:tblCellMar>
      </w:tblPr>
      <w:tblGrid>
        <w:gridCol w:w="1302"/>
        <w:gridCol w:w="1143"/>
        <w:gridCol w:w="1154"/>
        <w:gridCol w:w="109"/>
        <w:gridCol w:w="109"/>
        <w:gridCol w:w="109"/>
        <w:gridCol w:w="211"/>
        <w:gridCol w:w="466"/>
        <w:gridCol w:w="109"/>
        <w:gridCol w:w="109"/>
        <w:gridCol w:w="109"/>
        <w:gridCol w:w="109"/>
        <w:gridCol w:w="255"/>
        <w:gridCol w:w="256"/>
        <w:gridCol w:w="417"/>
        <w:gridCol w:w="109"/>
        <w:gridCol w:w="109"/>
        <w:gridCol w:w="109"/>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Transferable federal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 from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State and local income taxes in California, Illinois, New Jersey, New York and Pennsylvania comprise the majority (greater than 50%) of the tax effect in this category.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to the Company’s effective income tax rate is as follows:</w:t>
      </w:r>
    </w:p>
    <w:tbl>
      <w:tblPr>
        <w:tblW w:w="6717" w:type="dxa"/>
        <w:jc w:val="left"/>
        <w:tblInd w:w="0" w:type="dxa"/>
        <w:tblLayout w:type="fixed"/>
        <w:tblCellMar>
          <w:top w:w="28" w:type="dxa"/>
          <w:left w:w="28" w:type="dxa"/>
          <w:bottom w:w="28" w:type="dxa"/>
          <w:right w:w="28" w:type="dxa"/>
        </w:tblCellMar>
      </w:tblPr>
      <w:tblGrid>
        <w:gridCol w:w="1404"/>
        <w:gridCol w:w="1237"/>
        <w:gridCol w:w="1243"/>
        <w:gridCol w:w="109"/>
        <w:gridCol w:w="109"/>
        <w:gridCol w:w="292"/>
        <w:gridCol w:w="219"/>
        <w:gridCol w:w="472"/>
        <w:gridCol w:w="190"/>
        <w:gridCol w:w="190"/>
        <w:gridCol w:w="190"/>
        <w:gridCol w:w="292"/>
        <w:gridCol w:w="219"/>
        <w:gridCol w:w="551"/>
      </w:tblGrid>
      <w:tr>
        <w:trPr/>
        <w:tc>
          <w:tcPr>
            <w:tcW w:w="140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intangibles income deduction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 from 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businesses and subsidiary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Transferable 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Non-cash impairment charge (see Note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provisions under the Inflation Reduction Act, the Company purchased transferable federal tax credits during 2025, 2024 and 2023 from various counterparties. Such federal tax credits were purchased at negotiated discounts, resulting in an income tax benefit recorded during each of the years ended December 31, 2025, 2024 and 2023.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income taxes paid by jurisdiction pursuant to the disclosure requirements of ASU 2023-09 for the year ended December 31, 2025 is as follows:</w:t>
      </w:r>
    </w:p>
    <w:tbl>
      <w:tblPr>
        <w:tblW w:w="4626" w:type="dxa"/>
        <w:jc w:val="left"/>
        <w:tblInd w:w="0" w:type="dxa"/>
        <w:tblLayout w:type="fixed"/>
        <w:tblCellMar>
          <w:top w:w="28" w:type="dxa"/>
          <w:left w:w="28" w:type="dxa"/>
          <w:bottom w:w="28" w:type="dxa"/>
          <w:right w:w="28" w:type="dxa"/>
        </w:tblCellMar>
      </w:tblPr>
      <w:tblGrid>
        <w:gridCol w:w="1318"/>
        <w:gridCol w:w="1158"/>
        <w:gridCol w:w="1169"/>
        <w:gridCol w:w="211"/>
        <w:gridCol w:w="61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 State and local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 of amounts refunded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Significant components of deferred tax assets and liabilities consisted of the following:</w:t>
      </w:r>
    </w:p>
    <w:tbl>
      <w:tblPr>
        <w:tblW w:w="6038" w:type="dxa"/>
        <w:jc w:val="left"/>
        <w:tblInd w:w="0" w:type="dxa"/>
        <w:tblLayout w:type="fixed"/>
        <w:tblCellMar>
          <w:top w:w="28" w:type="dxa"/>
          <w:left w:w="28" w:type="dxa"/>
          <w:bottom w:w="28" w:type="dxa"/>
          <w:right w:w="28" w:type="dxa"/>
        </w:tblCellMar>
      </w:tblPr>
      <w:tblGrid>
        <w:gridCol w:w="1319"/>
        <w:gridCol w:w="1157"/>
        <w:gridCol w:w="1168"/>
        <w:gridCol w:w="211"/>
        <w:gridCol w:w="691"/>
        <w:gridCol w:w="109"/>
        <w:gridCol w:w="109"/>
        <w:gridCol w:w="109"/>
        <w:gridCol w:w="109"/>
        <w:gridCol w:w="211"/>
        <w:gridCol w:w="691"/>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credit carry-forwards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commissions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right-of-use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maintained a valuation allowance of $420 million and $404 million at December 31, 2025 and 2024, respectively, against its deferred tax assets. Substantially all of the valuation allowance relates to certain foreign and state net operating loss carryforwards.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reported in the consolidated balance sheets as follows:</w:t>
      </w:r>
    </w:p>
    <w:tbl>
      <w:tblPr>
        <w:tblW w:w="4254" w:type="dxa"/>
        <w:jc w:val="left"/>
        <w:tblInd w:w="0" w:type="dxa"/>
        <w:tblLayout w:type="fixed"/>
        <w:tblCellMar>
          <w:top w:w="28" w:type="dxa"/>
          <w:left w:w="28" w:type="dxa"/>
          <w:bottom w:w="28" w:type="dxa"/>
          <w:right w:w="28" w:type="dxa"/>
        </w:tblCellMar>
      </w:tblPr>
      <w:tblGrid>
        <w:gridCol w:w="673"/>
        <w:gridCol w:w="591"/>
        <w:gridCol w:w="596"/>
        <w:gridCol w:w="211"/>
        <w:gridCol w:w="691"/>
        <w:gridCol w:w="109"/>
        <w:gridCol w:w="109"/>
        <w:gridCol w:w="109"/>
        <w:gridCol w:w="109"/>
        <w:gridCol w:w="211"/>
        <w:gridCol w:w="69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Noncurrent deferred tax assets are included in other long-term assets in the consolidated balance sheets at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Federal, state and foreign net operating loss carryforwards and tax credit carryforwards consisted of the following:</w:t>
      </w:r>
    </w:p>
    <w:tbl>
      <w:tblPr>
        <w:tblW w:w="4837" w:type="dxa"/>
        <w:jc w:val="left"/>
        <w:tblInd w:w="0" w:type="dxa"/>
        <w:tblLayout w:type="fixed"/>
        <w:tblCellMar>
          <w:top w:w="28" w:type="dxa"/>
          <w:left w:w="28" w:type="dxa"/>
          <w:bottom w:w="28" w:type="dxa"/>
          <w:right w:w="28" w:type="dxa"/>
        </w:tblCellMar>
      </w:tblPr>
      <w:tblGrid>
        <w:gridCol w:w="1089"/>
        <w:gridCol w:w="957"/>
        <w:gridCol w:w="969"/>
        <w:gridCol w:w="227"/>
        <w:gridCol w:w="389"/>
        <w:gridCol w:w="109"/>
        <w:gridCol w:w="109"/>
        <w:gridCol w:w="109"/>
        <w:gridCol w:w="109"/>
        <w:gridCol w:w="227"/>
        <w:gridCol w:w="38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operating loss carryforwards:</w:t>
            </w:r>
            <w:r>
              <w:rPr>
                <w:color w:val="000000"/>
              </w:rPr>
              <w:t xml:space="preserve"> </w:t>
            </w:r>
            <w:r>
              <w:rPr>
                <w:rFonts w:ascii="Times New Roman;serif" w:hAnsi="Times New Roman;serif"/>
                <w:b w:val="false"/>
                <w:color w:val="000000"/>
                <w:sz w:val="13"/>
              </w:rPr>
              <w:t>(1)</w:t>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Federal</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State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credit carryforwards </w:t>
            </w:r>
            <w:r>
              <w:rPr>
                <w:rFonts w:ascii="Times New Roman;serif" w:hAnsi="Times New Roman;serif"/>
                <w:b w:val="false"/>
                <w:color w:val="000000"/>
                <w:sz w:val="13"/>
              </w:rPr>
              <w:t>(2)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At December 31, 2025, the Company had federal net operating loss carryforwards of $36 million, most of which do not expire, state net operating loss carryforwards of $2.7 billion, most of which expire in 2026 through 2045, and foreign net operating loss carryforwards of $1.8 billion, of which $1.5 billion expire in 2026 through 2045, and the remainder of which do not expire.</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At December 31, 2025, the Company had tax credit carryforwards, including transferable federal tax credits, of $396 million, most of which expire in 2026 through 2045.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asserts that its investment in its foreign subsidiaries is intended to be indefinitely reinvested. Undistributed historical and future earnings of its foreign subsidiaries are not considered to be indefinitely reinvested. Should these earnings be distributed in the future in the form of dividends or otherwise, the Company may be subject to foreign or U.S. taxes. The Company has the ability and intent to limit distributions so as to not make a distribution in excess of its investment in those subsidiaries. The Company will continue to monitor its global cash requirements and the need to recognize a deferred tax liability accordingly.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Unrecognized tax benefits were as follows:</w:t>
      </w:r>
    </w:p>
    <w:tbl>
      <w:tblPr>
        <w:tblW w:w="7346" w:type="dxa"/>
        <w:jc w:val="left"/>
        <w:tblInd w:w="0" w:type="dxa"/>
        <w:tblLayout w:type="fixed"/>
        <w:tblCellMar>
          <w:top w:w="28" w:type="dxa"/>
          <w:left w:w="28" w:type="dxa"/>
          <w:bottom w:w="28" w:type="dxa"/>
          <w:right w:w="28" w:type="dxa"/>
        </w:tblCellMar>
      </w:tblPr>
      <w:tblGrid>
        <w:gridCol w:w="1665"/>
        <w:gridCol w:w="1460"/>
        <w:gridCol w:w="1479"/>
        <w:gridCol w:w="211"/>
        <w:gridCol w:w="361"/>
        <w:gridCol w:w="109"/>
        <w:gridCol w:w="109"/>
        <w:gridCol w:w="109"/>
        <w:gridCol w:w="109"/>
        <w:gridCol w:w="211"/>
        <w:gridCol w:w="361"/>
        <w:gridCol w:w="109"/>
        <w:gridCol w:w="109"/>
        <w:gridCol w:w="109"/>
        <w:gridCol w:w="109"/>
        <w:gridCol w:w="211"/>
        <w:gridCol w:w="361"/>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taken during the current year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taken in prior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tax positions taken in prior years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settlements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the statute of limitations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unrecognized tax benefits of $60 million, net of federal and state benefits, would affect the Company’s effective income tax rate if recognized.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classifies interest expense and penalties related to income taxes as components of its income tax provision. The income tax provision included interest expense (benefits) and penalties on unrecognized tax benefits of $(1) million in 2025, $1 million in 2024 and $2 million in 2023. Accrued interest expense and penalties related to unrecognized tax benefits totaled $14 million and $16 million at December 31, 2025 and 2024,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U.S. federal income tax returns for 2020 through 2025, and tax returns in certain states and foreign jurisdictions for 2017 through 2025, remain subject to examination by taxing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17. Commitments and Contingencies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Litigation and Investigation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or its subsidiaries are named as defendants in lawsuits in which claims are asserted against the Company. The Company maintained an accrual of $25 million and $43 million at December 31, 2025 and 2024, respectively, related to its various legal proceedings. The Company’s estimate of the possible range of exposure for various legal proceedings in excess of amounts accrued is $0 million to approximately $160 million. In the opinion of management, the liabilities, if any, which may ultimately result from such legal proceedings are not expected to have a material adverse effect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erif" w:hAnsi="Times New Roman;serif"/>
          <w:b w:val="false"/>
          <w:color w:val="000000"/>
          <w:sz w:val="20"/>
        </w:rPr>
        <w:t xml:space="preserve">On July 24, 2025, a federal securities law complaint was filed against the Company and Frank J. Bisignano (the Company’s former Chairman and Chief Executive Officer), Michael P. Lyons, Robert W. Hau (the Company’s former Chief Financial Officer and current Special Advisor), and Kenneth F. Best in the United States District Court for the Southern District of New York. The complaint is brought on behalf of a putative class of purchasers of Company securities from July 22, 2024 to July 24, 2025 and alleges violations of Section 10(b) of the Securities Exchange Act of 1934 (the “Exchange Act”), and Rule 10b-5 thereunder, and Section 20(a) of the Exchange Act. The complaint alleges, among other things, that certain statements made by the Company about the growth of its Clover business management platform were false and/or misleading and led to a decline in the Company’s stock price over the purported class period. On November 17, 2025, lead plaintiffs were appointed in the action and it was assigned the caption </w:t>
      </w:r>
      <w:r>
        <w:rPr>
          <w:rFonts w:ascii="Times New Roman;serif" w:hAnsi="Times New Roman;serif"/>
          <w:b w:val="false"/>
          <w:i/>
          <w:color w:val="000000"/>
          <w:sz w:val="20"/>
        </w:rPr>
        <w:t>In re Fiserv, Inc. Securities Litigation</w:t>
      </w:r>
      <w:r>
        <w:rPr>
          <w:rFonts w:ascii="Times New Roman;serif" w:hAnsi="Times New Roman;serif"/>
          <w:b w:val="false"/>
          <w:color w:val="000000"/>
          <w:sz w:val="20"/>
        </w:rPr>
        <w:t>, No. 1:25-cv-06094.</w:t>
      </w:r>
    </w:p>
    <w:p>
      <w:pPr>
        <w:pStyle w:val="TextBody"/>
        <w:bidi w:val="0"/>
        <w:spacing w:lineRule="auto" w:line="288" w:before="0" w:after="180"/>
        <w:jc w:val="left"/>
        <w:rPr/>
      </w:pPr>
      <w:r>
        <w:rPr>
          <w:rFonts w:ascii="Times New Roman;serif" w:hAnsi="Times New Roman;serif"/>
          <w:b w:val="false"/>
          <w:color w:val="000000"/>
          <w:sz w:val="20"/>
        </w:rPr>
        <w:t xml:space="preserve">On November 4, 2025 and November 14, 2025, federal securities law complaints were filed against the Company and Messrs. Lyons and Hau in the United States District Court for the Eastern District of Wisconsin. The complaints are brought on behalf of a putative class of purchasers of Company securities from July 23, 2025 to at latest October 29, 2025, and allege violations of Section 10(b) of the Exchange Act and Rule 10b-5 thereunder, and Section 20(a) of the Exchange Act. The complaints allege, among other things, that certain statements made by the Company in connection with its second quarter 2025 earnings were false and/or misleading and led to a decline in the Company’s stock price over the purported class period. On February 5, 2026, the actions were consolidated under the caption </w:t>
      </w:r>
      <w:r>
        <w:rPr>
          <w:rFonts w:ascii="Times New Roman;serif" w:hAnsi="Times New Roman;serif"/>
          <w:b w:val="false"/>
          <w:i/>
          <w:color w:val="000000"/>
          <w:sz w:val="20"/>
        </w:rPr>
        <w:t>In re Fiserv, Inc. Securities Litigation</w:t>
      </w:r>
      <w:r>
        <w:rPr>
          <w:rFonts w:ascii="Times New Roman;serif" w:hAnsi="Times New Roman;serif"/>
          <w:b w:val="false"/>
          <w:color w:val="000000"/>
          <w:sz w:val="20"/>
        </w:rPr>
        <w:t>, No. 25-cv-1716.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lead plaintiffs in the New York action have moved in the Wisconsin action seeking, among other things, to intervene and transfer those actions to the Southern District of New York. The motion remains pending.</w:t>
      </w:r>
    </w:p>
    <w:p>
      <w:pPr>
        <w:pStyle w:val="TextBody"/>
        <w:bidi w:val="0"/>
        <w:spacing w:lineRule="auto" w:line="288" w:before="0" w:after="180"/>
        <w:jc w:val="left"/>
        <w:rPr/>
      </w:pPr>
      <w:r>
        <w:rPr>
          <w:rFonts w:ascii="Times New Roman;serif" w:hAnsi="Times New Roman;serif"/>
          <w:b w:val="false"/>
          <w:color w:val="000000"/>
          <w:sz w:val="20"/>
        </w:rPr>
        <w:t xml:space="preserve">Between December 10, 2025 and February 3, 2026, derivative complaints were filed by purported Company shareholders Richard Martin, Nathan Silva, and Gary Peterson in the United States District Court for the Eastern District of Wisconsin. On December 30, 2025, Mr. Martin filed an amended derivative complaint. The actions name Messrs. Bisignano and Lyons, and certain other current and former officers and directors of the Company as individual defendants, and the Company as the nominal defendant, and generally allege that certain individual defendants breached their fiduciary duties and violated the Exchange Act in connection with, among other things, factual allegations made in the </w:t>
      </w:r>
      <w:r>
        <w:rPr>
          <w:rFonts w:ascii="Times New Roman;serif" w:hAnsi="Times New Roman;serif"/>
          <w:b w:val="false"/>
          <w:i/>
          <w:color w:val="000000"/>
          <w:sz w:val="20"/>
        </w:rPr>
        <w:t>In re Fiserv, Inc. Securities Litigation</w:t>
      </w:r>
      <w:r>
        <w:rPr>
          <w:color w:val="000000"/>
        </w:rPr>
        <w:t xml:space="preserve"> </w:t>
      </w:r>
      <w:r>
        <w:rPr>
          <w:rFonts w:ascii="Times New Roman;serif" w:hAnsi="Times New Roman;serif"/>
          <w:b w:val="false"/>
          <w:color w:val="000000"/>
          <w:sz w:val="20"/>
        </w:rPr>
        <w:t>actions. The actions also allege that certain individual defendants are liable for trading in Company stock at artificially inflated prices.</w:t>
      </w:r>
    </w:p>
    <w:p>
      <w:pPr>
        <w:pStyle w:val="TextBody"/>
        <w:bidi w:val="0"/>
        <w:spacing w:lineRule="auto" w:line="288" w:before="0" w:after="180"/>
        <w:jc w:val="left"/>
        <w:rPr/>
      </w:pPr>
      <w:r>
        <w:rPr>
          <w:rFonts w:ascii="Times New Roman;serif" w:hAnsi="Times New Roman;serif"/>
          <w:b w:val="false"/>
          <w:color w:val="000000"/>
          <w:sz w:val="20"/>
        </w:rPr>
        <w:t xml:space="preserve">The Company has also received demands on the board of directors from purported Company shareholders that the Company pursue certain litigation against certain of its current and former directors and officers alleging, among other things, supposed breaches of duty based on factual allegations made in the </w:t>
      </w:r>
      <w:r>
        <w:rPr>
          <w:rFonts w:ascii="Times New Roman;serif" w:hAnsi="Times New Roman;serif"/>
          <w:b w:val="false"/>
          <w:i/>
          <w:color w:val="000000"/>
          <w:sz w:val="20"/>
        </w:rPr>
        <w:t>In re Fiserv, Inc. Securities Litigation</w:t>
      </w:r>
      <w:r>
        <w:rPr>
          <w:color w:val="000000"/>
        </w:rPr>
        <w:t xml:space="preserve"> </w:t>
      </w:r>
      <w:r>
        <w:rPr>
          <w:rFonts w:ascii="Times New Roman;serif" w:hAnsi="Times New Roman;serif"/>
          <w:b w:val="false"/>
          <w:color w:val="000000"/>
          <w:sz w:val="20"/>
        </w:rPr>
        <w:t>actions. The Company may receive additional demands and these demands may precede derivative actions which name the Company as a nominal defendant.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defendants have not yet answered or otherwise responded to any of the complaints in these actions. The Company intends to vigorously defend these cases but cannot predict with any degree of certainty the outcome of the suits or determine the extent of any potential liability or damages.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began responding to requests for information from the Enforcement Division of the U.S. Securities and Exchange Commission and the U.S. Attorney’s Office for the Southern District of New York in connection with investigations related to the Company’s 2025 earnings guidance. The Company is cooperating with these investigations.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Electronic Payments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processing of electronic payments transactions, which are separate and distinct from the settlement payment transactions described in Note 5,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$1.7 billion and $1.3 billion at December 31, 2025 and 2024,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Indemnifications and Warranties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18. Related Party Transactions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Merchant Alliances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portion of the Company’s business is conducted through merchant alliances between the Company and certain financial institutions (see Note 8).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$90 million, $140 million and $177 million during the years ended December 31, 2025, 2024 and 2023, respectively. No directors or officers of the Company have ownership interests in any of the merchant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$7 million and $21 million of amounts due from unconsolidated merchant alliances included within trade accounts receivable, net in the Company’s consolidated balance sheets at December 31, 2025 and 2024,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7, 2023, the Company entered into a stock purchase agreement with ValueAct Capital Master Fund, L.P., an affiliate of which employed a member of the Company’s board of directors, to repurchase 4.1 million shares of the Company’s common stock for $121.98 per share in a privately negotiated transaction for an aggregate purchase price of $500 million. The repurchase was effected pursuant to an existing repurchase authorization for up to 75.0 million shares of the Company’s common stock approved by the Company’s board of directors on February 22, 2023. The share repurchase was completed on August 8, 2023, and the fair value of the repurchased shares of Company common stock was recorded to treasury stock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19.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Small Business –</w:t>
      </w:r>
      <w:r>
        <w:rPr>
          <w:color w:val="000000"/>
        </w:rPr>
        <w:t xml:space="preserve"> </w:t>
      </w:r>
      <w:r>
        <w:rPr>
          <w:rFonts w:ascii="Times New Roman;serif" w:hAnsi="Times New Roman;serif"/>
          <w:b w:val="false"/>
          <w:color w:val="000000"/>
          <w:sz w:val="20"/>
        </w:rPr>
        <w:t>provides products and services to small businesses and independent software vendors, including Clover</w:t>
      </w:r>
      <w:r>
        <w:rPr>
          <w:rFonts w:ascii="Times New Roman;serif" w:hAnsi="Times New Roman;serif"/>
          <w:b w:val="false"/>
          <w:color w:val="000000"/>
          <w:sz w:val="13"/>
        </w:rPr>
        <w:t>®</w:t>
      </w:r>
      <w:r>
        <w:rPr>
          <w:rFonts w:ascii="Times New Roman;serif" w:hAnsi="Times New Roman;serif"/>
          <w:b w:val="false"/>
          <w:color w:val="000000"/>
          <w:sz w:val="20"/>
        </w:rPr>
        <w:t>, the Company's POS and business management platform for small business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Enterprise –</w:t>
      </w:r>
      <w:r>
        <w:rPr>
          <w:color w:val="000000"/>
        </w:rPr>
        <w:t xml:space="preserve"> </w:t>
      </w:r>
      <w:r>
        <w:rPr>
          <w:rFonts w:ascii="Times New Roman;serif" w:hAnsi="Times New Roman;serif"/>
          <w:b w:val="false"/>
          <w:color w:val="000000"/>
          <w:sz w:val="20"/>
        </w:rPr>
        <w:t>provides products and services to large businesses, including the Company’s integrated omnichannel operating system for enterprise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Processing – </w:t>
      </w:r>
      <w:r>
        <w:rPr>
          <w:rFonts w:ascii="Times New Roman;serif" w:hAnsi="Times New Roman;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Digital Payments</w:t>
      </w:r>
      <w:r>
        <w:rPr>
          <w:color w:val="000000"/>
        </w:rPr>
        <w:t xml:space="preserve"> – </w:t>
      </w:r>
      <w:r>
        <w:rPr>
          <w:rFonts w:ascii="Times New Roman;serif" w:hAnsi="Times New Roman;serif"/>
          <w:b w:val="false"/>
          <w:color w:val="000000"/>
          <w:sz w:val="20"/>
        </w:rPr>
        <w:t>provides debit card processing services; debit network services; security and fraud protection products; bill payment; person-to-person payments; and account-to-account transfers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Issuing</w:t>
      </w:r>
      <w:r>
        <w:rPr>
          <w:color w:val="000000"/>
        </w:rPr>
        <w:t xml:space="preserve"> – </w:t>
      </w:r>
      <w:r>
        <w:rPr>
          <w:rFonts w:ascii="Times New Roman;serif" w:hAnsi="Times New Roman;serif"/>
          <w:b w:val="false"/>
          <w:color w:val="000000"/>
          <w:sz w:val="20"/>
        </w:rPr>
        <w:t>provides credit card processing services; prepaid card processing services; card production services; print services; government payment processing; and student loan processing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Banking</w:t>
      </w:r>
      <w:r>
        <w:rPr>
          <w:color w:val="000000"/>
        </w:rPr>
        <w:t xml:space="preserve"> – </w:t>
      </w:r>
      <w:r>
        <w:rPr>
          <w:rFonts w:ascii="Times New Roman;serif" w:hAnsi="Times New Roman;serif"/>
          <w:b w:val="false"/>
          <w:color w:val="000000"/>
          <w:sz w:val="20"/>
        </w:rPr>
        <w:t>provides customer loan and deposit account processing; digital banking; financial and risk management; professional services and consulting; and check processing</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expenses associated with the Company’s transformation initiative focused on operational excellence; and postage reimbursements.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who is also the Company’s chief operating decision maker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results for each reportable segment were as follows:</w:t>
      </w:r>
    </w:p>
    <w:tbl>
      <w:tblPr>
        <w:tblW w:w="10205" w:type="dxa"/>
        <w:jc w:val="left"/>
        <w:tblInd w:w="0" w:type="dxa"/>
        <w:tblLayout w:type="fixed"/>
        <w:tblCellMar>
          <w:top w:w="28" w:type="dxa"/>
          <w:left w:w="28" w:type="dxa"/>
          <w:bottom w:w="28" w:type="dxa"/>
          <w:right w:w="28" w:type="dxa"/>
        </w:tblCellMar>
      </w:tblPr>
      <w:tblGrid>
        <w:gridCol w:w="2345"/>
        <w:gridCol w:w="2057"/>
        <w:gridCol w:w="2084"/>
        <w:gridCol w:w="211"/>
        <w:gridCol w:w="721"/>
        <w:gridCol w:w="109"/>
        <w:gridCol w:w="109"/>
        <w:gridCol w:w="109"/>
        <w:gridCol w:w="109"/>
        <w:gridCol w:w="211"/>
        <w:gridCol w:w="616"/>
        <w:gridCol w:w="109"/>
        <w:gridCol w:w="109"/>
        <w:gridCol w:w="109"/>
        <w:gridCol w:w="109"/>
        <w:gridCol w:w="211"/>
        <w:gridCol w:w="721"/>
        <w:gridCol w:w="156"/>
      </w:tblGrid>
      <w:tr>
        <w:trPr/>
        <w:tc>
          <w:tcPr>
            <w:tcW w:w="2345"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from investments in unconsolidated affiliates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2385"/>
        <w:gridCol w:w="2090"/>
        <w:gridCol w:w="2117"/>
        <w:gridCol w:w="211"/>
        <w:gridCol w:w="616"/>
        <w:gridCol w:w="109"/>
        <w:gridCol w:w="109"/>
        <w:gridCol w:w="109"/>
        <w:gridCol w:w="109"/>
        <w:gridCol w:w="211"/>
        <w:gridCol w:w="616"/>
        <w:gridCol w:w="109"/>
        <w:gridCol w:w="109"/>
        <w:gridCol w:w="109"/>
        <w:gridCol w:w="109"/>
        <w:gridCol w:w="211"/>
        <w:gridCol w:w="721"/>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investments in unconsolidated affiliates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85"/>
        <w:gridCol w:w="2090"/>
        <w:gridCol w:w="2117"/>
        <w:gridCol w:w="211"/>
        <w:gridCol w:w="616"/>
        <w:gridCol w:w="109"/>
        <w:gridCol w:w="109"/>
        <w:gridCol w:w="109"/>
        <w:gridCol w:w="109"/>
        <w:gridCol w:w="211"/>
        <w:gridCol w:w="616"/>
        <w:gridCol w:w="109"/>
        <w:gridCol w:w="109"/>
        <w:gridCol w:w="109"/>
        <w:gridCol w:w="109"/>
        <w:gridCol w:w="211"/>
        <w:gridCol w:w="721"/>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investments in unconsolidated affiliates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Primarily includes postage reimbursements.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compensation and benefit costs of Company employees, as well as expenses paid to third parties for consulting and temporary help, net of capitalized software costs.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Includes cost of goods sold, payments to distribution partners and other reselling costs.</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data processing, facility, and marketing costs that are directly charged to the reportable segments. Includes in the Merchant segment a gain of $89 million related to the distribution of certain merchant contracts for the redemption of a minority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membership interest during the year ended December 31, 2025 (see Note 13).</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Represents centrally-managed costs, including sales, technology and administrative expenses, that are allocated to the reportable segments from Corporate and Other and are considered in the CODM’s evaluation of segment performance.</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 xml:space="preserve">Includes amortization of acquisition-related intangible assets; costs associated with acquisition and divestiture activity; unallocated corporate expenses; expenses associated with the Company’s transformation initiative focused on operational excellence; and gains or losses on sale of business and other assets. </w:t>
      </w:r>
    </w:p>
    <w:p>
      <w:pPr>
        <w:pStyle w:val="TextBody"/>
        <w:bidi w:val="0"/>
        <w:spacing w:lineRule="auto" w:line="288" w:before="0" w:after="18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Includes foreign currency transaction gains and losses, gains or losses from a sale or change in fair value of investments in certain equity securities, amounts related to debt guarantee arrangements of certain equity method investments, and non-cash pension plan settlement charges.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significant items include:</w:t>
      </w:r>
    </w:p>
    <w:tbl>
      <w:tblPr>
        <w:tblW w:w="9702" w:type="dxa"/>
        <w:jc w:val="left"/>
        <w:tblInd w:w="0" w:type="dxa"/>
        <w:tblLayout w:type="fixed"/>
        <w:tblCellMar>
          <w:top w:w="28" w:type="dxa"/>
          <w:left w:w="28" w:type="dxa"/>
          <w:bottom w:w="28" w:type="dxa"/>
          <w:right w:w="28" w:type="dxa"/>
        </w:tblCellMar>
      </w:tblPr>
      <w:tblGrid>
        <w:gridCol w:w="2238"/>
        <w:gridCol w:w="1962"/>
        <w:gridCol w:w="1995"/>
        <w:gridCol w:w="211"/>
        <w:gridCol w:w="616"/>
        <w:gridCol w:w="109"/>
        <w:gridCol w:w="109"/>
        <w:gridCol w:w="109"/>
        <w:gridCol w:w="109"/>
        <w:gridCol w:w="211"/>
        <w:gridCol w:w="616"/>
        <w:gridCol w:w="109"/>
        <w:gridCol w:w="109"/>
        <w:gridCol w:w="109"/>
        <w:gridCol w:w="109"/>
        <w:gridCol w:w="211"/>
        <w:gridCol w:w="616"/>
        <w:gridCol w:w="154"/>
      </w:tblGrid>
      <w:tr>
        <w:trPr/>
        <w:tc>
          <w:tcPr>
            <w:tcW w:w="223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Merchant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Financial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capitalized software and other intangibles: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amortization associated with commissions, residual buyouts and deferred conversion/implementation costs included within personnel expenses, direct costs and other operating expenses, respectively, in the segment operating results tables above.</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Primarily includes amortization of acquisition-related intangible assets, such as customer relationships, software/technology and trade names.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evaluate the performance of or allocate resources to its reportable segments using asset data. Long-lived assets, excluding goodwill and other intangibles, within the Company’s international regions comprised approximately 21% and 19% of total consolidated long-lived assets, excluding goodwill and other intangible assets,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687"/>
        <w:gridCol w:w="595"/>
        <w:gridCol w:w="597"/>
        <w:gridCol w:w="109"/>
        <w:gridCol w:w="109"/>
        <w:gridCol w:w="109"/>
        <w:gridCol w:w="412"/>
        <w:gridCol w:w="909"/>
        <w:gridCol w:w="213"/>
        <w:gridCol w:w="109"/>
        <w:gridCol w:w="109"/>
        <w:gridCol w:w="109"/>
        <w:gridCol w:w="489"/>
        <w:gridCol w:w="489"/>
        <w:gridCol w:w="491"/>
        <w:gridCol w:w="109"/>
        <w:gridCol w:w="109"/>
        <w:gridCol w:w="109"/>
        <w:gridCol w:w="451"/>
        <w:gridCol w:w="451"/>
        <w:gridCol w:w="452"/>
        <w:gridCol w:w="109"/>
        <w:gridCol w:w="109"/>
        <w:gridCol w:w="109"/>
        <w:gridCol w:w="345"/>
        <w:gridCol w:w="345"/>
        <w:gridCol w:w="346"/>
        <w:gridCol w:w="109"/>
        <w:gridCol w:w="109"/>
        <w:gridCol w:w="109"/>
        <w:gridCol w:w="327"/>
        <w:gridCol w:w="723"/>
        <w:gridCol w:w="248"/>
      </w:tblGrid>
      <w:tr>
        <w:trPr/>
        <w:tc>
          <w:tcPr>
            <w:tcW w:w="6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 to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End of Period</w:t>
            </w:r>
          </w:p>
        </w:tc>
      </w:tr>
      <w:tr>
        <w:trPr/>
        <w:tc>
          <w:tcPr>
            <w:tcW w:w="1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decrease in the deferred tax asset valuation allowance is primarily due to subsidiary restructurings.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Fiserv, Inc.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Fiserv, Inc. and subsidiaries (the “Company”) as of December 31, 2025 and 2024, the related consolidated statements of income, comprehensive income, equity, and cash flows, for each of the three years in the period ended December 31, 2025, and the related notes and the schedule listed in the Index at Item 8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80" w:after="283"/>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19, 2026, expressed an unqualified opinion on the Company’s internal control over financial reporting.</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left"/>
        <w:rPr/>
      </w:pPr>
      <w:r>
        <w:rPr>
          <w:rFonts w:ascii="Times New Roman;serif" w:hAnsi="Times New Roman;serif"/>
          <w:b/>
          <w:i/>
          <w:color w:val="000000"/>
          <w:sz w:val="20"/>
        </w:rPr>
        <w:t>Revenue — Refer to Note 1 and Note 3 to the financial statements</w:t>
      </w:r>
      <w:r>
        <w:rPr>
          <w:color w:val="000000"/>
        </w:rPr>
        <w:t xml:space="preserv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the majority of revenue is system-driven and based on contractual terms with customers. In addition,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catch-up adjustment to the original contract. Further, contract modifications require the identification and evaluation of the performance obligations of the modified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including the allocation of consideration to the remaining performance obligations and the period of recognition for each identified performance obligation.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identified the complexity of revenue processing and revenue recognition, including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revenue recognition included the following,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management’s significant accounting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the assistance of professionals in our firm having expertise in IT, we: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Identified the relevant systems used to process revenue transactions and tested the general IT controls over each of these systems, including testing of user access controls, change management controls, and IT operations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Tested system interface controls and automated controls within the relevant revenue streams, as well as the controls designed to assess the accuracy and completeness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developed expectations of revenue at a disaggregated level based on historical transaction volumes and prices and current year volumes. We compared those estimates to revenue recognized by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 sample of revenue transactions, we tested selected transactions by agreeing the amounts of revenue recognized to source documents and testing the mathematical accuracy of the recorded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selected a sample of significant contracts and contract modifications and performed the following procedures: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Obtained and read the customer contracts.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whether the contract represented a new contract or a contract modification and, if applicable, assessed the accounting treatment of any modification in scope or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Tested management’s identification of new or remaining performance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Recalculated the transaction price and assessed the appropriateness of the allocation of consideration to each performance obligation.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Performed independent confirmation of certain contracts and underlying contractual terms with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Assessed the pattern of delivery for each distinct performance obligation.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Goodwill — Certain reporting units — Refer to Note 1 and Note 7 to the financial statements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evaluation of goodwill for impairment involves the comparison of the estimated fair value of each reporting unit to its carrying value. The Company performed, on a quantitative basis, its annual test for goodwill impairment as of October 1, 2025. Subsequently, the Company identified a triggering event in the fourth quarter of 2025 due to a sustained decline in the Company’s stock price, which required a quantitative test for goodwill impairment as of December 31, 2025. The Company determined the fair value of its reporting units using a discounted cash flow model. The determination of fair value using the discounted cash flow model requires management to make significant estimates and assumptions, which include assumptions related to revenue growth rates, operating margin, and discount rates. For all reporting units, the fair values exceeded the carrying values as of the annual and triggering event testing dates and therefore, no impairment was recognized.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fair values exceeded carrying values by a range of 3.7% to 14.8% for eight of the Company’s reporting units with an aggregate goodwill balance of $18.5 billion. Revenue growth rates, operating margin, and discount rates for these reporting units are sensitive to deterioration in economic and market conditions.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identified goodwill for these eight reporting units as a critical audit matter because of the significant estimates and assumptions management makes to estimate the fair value of these reporting units and the sensitivity of operations to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economic and market conditions. This required a high degree of auditor judgment and an increased extent of effort, including the need to involve our fair value specialists, when performing audit procedures to evaluate the reasonableness of management’s estimates and assumptions related to revenue growth, margin growth, and selection of the discount rates.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revenue growth, margin growth, and the selection of discount rates for eight of the Company’s reporting units included the following, among others: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tested the effectiveness of controls over management’s goodwill impairment evaluation, including those over the determination of the fair value, specifically controls related to management’s forecasts and selection of the discount rates.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evaluated the reasonableness of management’s forecasts by comparing the forecasts to (1) historical results, (2) industry reports containing analyses of the Company’s and its competitors’ products, and (3) forecasted information included in Company press releases as well as in analyst and industry reports of the Company and companies in its peer group.</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With the assistance of our fair value specialists, we evaluated the discount rates including testing the underlying source information and the mathematical accuracy of the calculations and developing a range of independent estimates and comparing those to the discount rates selected by management.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With the assistance of our fair value specialists, we compared the aggregated fair value estimates of the Company’s reporting units to the Company’s market capitalization and evaluated the implied control premium.</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Milwaukee, Wisconsin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1985.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(a)Disclosure Controls and Procedures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2025.</w:t>
      </w:r>
    </w:p>
    <w:p>
      <w:pPr>
        <w:pStyle w:val="TextBody"/>
        <w:bidi w:val="0"/>
        <w:spacing w:lineRule="auto" w:line="288" w:before="18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(b)Management Report on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pStyle w:val="TextBody"/>
        <w:bidi w:val="0"/>
        <w:spacing w:lineRule="auto" w:line="288" w:before="180" w:after="283"/>
        <w:jc w:val="left"/>
        <w:rPr/>
      </w:pPr>
      <w:r>
        <w:rPr>
          <w:rFonts w:ascii="Times New Roman;serif" w:hAnsi="Times New Roman;serif"/>
          <w:b w:val="false"/>
          <w:color w:val="000000"/>
          <w:sz w:val="20"/>
        </w:rPr>
        <w:t xml:space="preserve">Our management assessed the effectiveness of our internal control over financial reporting as of December 31, 2025. In making this assessment, management used the criteria set forth by the Committee of Sponsoring Organizations of the Treadway Commission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Based on management’s assessment, our management believes that, as of December 31, 2025, our internal control over financial reporting was effective based on those criteria.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pStyle w:val="TextBody"/>
        <w:bidi w:val="0"/>
        <w:spacing w:lineRule="auto" w:line="288" w:before="18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(c)Changes in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internal control over financial reporting that occurred during the three months ended December 31, 2025 that has materially affected, or is reasonably likely to materially affect, our internal control over financial reporting.</w:t>
      </w:r>
    </w:p>
    <w:p>
      <w:pPr>
        <w:pStyle w:val="TextBody"/>
        <w:bidi w:val="0"/>
        <w:spacing w:lineRule="auto" w:line="288" w:before="18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(d)Report of Independent Registered Public Accounting Firm on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Deloitte &amp; Touche LLP, assessed the effectiveness of our internal control over financial reporting and has issued their report as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Fiserv, Inc.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80" w:after="283"/>
        <w:jc w:val="left"/>
        <w:rPr/>
      </w:pPr>
      <w:r>
        <w:rPr>
          <w:rFonts w:ascii="Times New Roman;serif" w:hAnsi="Times New Roman;serif"/>
          <w:b w:val="false"/>
          <w:color w:val="000000"/>
          <w:sz w:val="20"/>
        </w:rPr>
        <w:t xml:space="preserve">We have audited the internal control over financial reporting of Fiserv,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283"/>
        <w:jc w:val="left"/>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erif" w:hAnsi="Times New Roman;serif"/>
          <w:b w:val="false"/>
          <w:i/>
          <w:color w:val="000000"/>
          <w:sz w:val="20"/>
        </w:rPr>
        <w:t>Management’s Annual Report on Internal Control Over Financial Reporting</w:t>
      </w:r>
      <w:r>
        <w:rPr>
          <w:rFonts w:ascii="Times New Roman;serif" w:hAnsi="Times New Roman;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Milwaukee, Wisconsin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 During the three months ended December 31, 2025, none of the Company’s directors or Section 16 officers adopted or terminated a “Rule 10b5-1 trading arrangement” or “non-Rule 10b5-1 trading arrangement,” each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“Our Board of Directors – How We Are Organized – Our Committees – Audit Committee,” and “Compensation Discussion and Analysis – Additional Compensation Policies – Securities Trading Policy” in our definitive proxy statement for our 2026 annual meeting of shareholders, which will be filed with the Securities and Exchange Commission no later than 120 days after the close of the fiscal year ended December 31,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Documents &amp; Charters”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2026 annual meeting of shareholders, which will be filed with the Securities and Exchange Commission no later than 120 days after the close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 “Our Shareholders – Common Stock Ownership” in our definitive proxy statement for our 2026 annual meeting of shareholders, which will be filed with the Securities and Exchange Commission no later than 120 days the close of the fiscal year ended December 31, 2025,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with respect to compensation plans under which equity securities are authorized for issuance as of December 31, 2025.</w:t>
      </w:r>
    </w:p>
    <w:tbl>
      <w:tblPr>
        <w:tblW w:w="10205" w:type="dxa"/>
        <w:jc w:val="left"/>
        <w:tblInd w:w="0" w:type="dxa"/>
        <w:tblLayout w:type="fixed"/>
        <w:tblCellMar>
          <w:top w:w="28" w:type="dxa"/>
          <w:left w:w="28" w:type="dxa"/>
          <w:bottom w:w="28" w:type="dxa"/>
          <w:right w:w="28" w:type="dxa"/>
        </w:tblCellMar>
      </w:tblPr>
      <w:tblGrid>
        <w:gridCol w:w="1619"/>
        <w:gridCol w:w="1399"/>
        <w:gridCol w:w="1408"/>
        <w:gridCol w:w="600"/>
        <w:gridCol w:w="600"/>
        <w:gridCol w:w="601"/>
        <w:gridCol w:w="600"/>
        <w:gridCol w:w="600"/>
        <w:gridCol w:w="601"/>
        <w:gridCol w:w="637"/>
        <w:gridCol w:w="637"/>
        <w:gridCol w:w="903"/>
      </w:tblGrid>
      <w:tr>
        <w:trPr/>
        <w:tc>
          <w:tcPr>
            <w:tcW w:w="161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21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44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1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to be issued upon</w:t>
              <w:br/>
              <w:t>exercise of</w:t>
              <w:br/>
              <w:t>outstanding options,</w:t>
              <w:br/>
              <w:t>warrants and rights</w:t>
            </w:r>
          </w:p>
        </w:tc>
        <w:tc>
          <w:tcPr>
            <w:tcW w:w="1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 of</w:t>
              <w:br/>
              <w:t>outstanding options,</w:t>
              <w:br/>
              <w:t>warrants and rights</w:t>
            </w:r>
          </w:p>
        </w:tc>
        <w:tc>
          <w:tcPr>
            <w:tcW w:w="21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remaining available for</w:t>
              <w:br/>
              <w:t>future issuance under</w:t>
              <w:br/>
              <w:t>equity compensation</w:t>
              <w:br/>
              <w:t>plans (excluding</w:t>
              <w:br/>
              <w:t>securities reflected in</w:t>
              <w:br/>
              <w:t>column (a))</w:t>
            </w:r>
          </w:p>
        </w:tc>
      </w:tr>
      <w:tr>
        <w:trPr/>
        <w:tc>
          <w:tcPr>
            <w:tcW w:w="44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 compensation plans approved by our shareholders</w:t>
            </w:r>
            <w:r>
              <w:rPr>
                <w:color w:val="000000"/>
              </w:rPr>
              <w:t xml:space="preserve"> </w:t>
            </w:r>
            <w:r>
              <w:rPr>
                <w:rFonts w:ascii="Times New Roman;serif" w:hAnsi="Times New Roman;serif"/>
                <w:b w:val="false"/>
                <w:color w:val="000000"/>
                <w:sz w:val="13"/>
              </w:rPr>
              <w:t>(1)</w:t>
            </w:r>
          </w:p>
        </w:tc>
        <w:tc>
          <w:tcPr>
            <w:tcW w:w="1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3,122,544 </w:t>
            </w:r>
            <w:r>
              <w:rPr>
                <w:rFonts w:ascii="Times New Roman;serif" w:hAnsi="Times New Roman;serif"/>
                <w:b w:val="false"/>
                <w:color w:val="000000"/>
                <w:sz w:val="13"/>
              </w:rPr>
              <w:t>(2)</w:t>
            </w:r>
          </w:p>
        </w:tc>
        <w:tc>
          <w:tcPr>
            <w:tcW w:w="1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94.18 </w:t>
            </w:r>
            <w:r>
              <w:rPr>
                <w:rFonts w:ascii="Times New Roman;serif" w:hAnsi="Times New Roman;serif"/>
                <w:b w:val="false"/>
                <w:color w:val="000000"/>
                <w:sz w:val="13"/>
              </w:rPr>
              <w:t>(3)</w:t>
            </w:r>
          </w:p>
        </w:tc>
        <w:tc>
          <w:tcPr>
            <w:tcW w:w="217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15,366,118 </w:t>
            </w:r>
            <w:r>
              <w:rPr>
                <w:rFonts w:ascii="Times New Roman;serif" w:hAnsi="Times New Roman;serif"/>
                <w:b w:val="false"/>
                <w:color w:val="000000"/>
                <w:sz w:val="13"/>
              </w:rPr>
              <w:t>(4)</w:t>
            </w:r>
          </w:p>
        </w:tc>
      </w:tr>
      <w:tr>
        <w:trPr/>
        <w:tc>
          <w:tcPr>
            <w:tcW w:w="44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our shareholders</w:t>
            </w:r>
          </w:p>
        </w:tc>
        <w:tc>
          <w:tcPr>
            <w:tcW w:w="1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7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42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(5)</w:t>
            </w:r>
          </w:p>
        </w:tc>
        <w:tc>
          <w:tcPr>
            <w:tcW w:w="18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3,122,544 </w:t>
            </w:r>
            <w:r>
              <w:rPr>
                <w:rFonts w:ascii="Times New Roman;serif" w:hAnsi="Times New Roman;serif"/>
                <w:b w:val="false"/>
                <w:color w:val="000000"/>
                <w:sz w:val="13"/>
              </w:rPr>
              <w:t>(2)</w:t>
            </w:r>
          </w:p>
        </w:tc>
        <w:tc>
          <w:tcPr>
            <w:tcW w:w="18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94.18 </w:t>
            </w:r>
            <w:r>
              <w:rPr>
                <w:rFonts w:ascii="Times New Roman;serif" w:hAnsi="Times New Roman;serif"/>
                <w:b w:val="false"/>
                <w:color w:val="000000"/>
                <w:sz w:val="13"/>
              </w:rPr>
              <w:t>(3)</w:t>
            </w:r>
          </w:p>
        </w:tc>
        <w:tc>
          <w:tcPr>
            <w:tcW w:w="2177"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15,366,118 </w:t>
            </w:r>
            <w:r>
              <w:rPr>
                <w:rFonts w:ascii="Times New Roman;serif" w:hAnsi="Times New Roman;serif"/>
                <w:b w:val="false"/>
                <w:color w:val="000000"/>
                <w:sz w:val="13"/>
              </w:rPr>
              <w:t>(4)</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Columns (a) and (c) of the table above do not include 3,728,227 unvested restricted stock units outstanding under the Amended and Restated Fiserv, Inc. 2007 Omnibus Incentive Plan (the “Incentive Plan”) or 22,342,463 shares authorized for issuance under the Fiserv, Inc. Amended and Restated Employee Stock Purchase Plan. </w:t>
      </w:r>
    </w:p>
    <w:p>
      <w:pPr>
        <w:pStyle w:val="TextBody"/>
        <w:bidi w:val="0"/>
        <w:spacing w:lineRule="auto" w:line="288" w:before="12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Consists of options outstanding under the Incentive Plan; 2,251,253 shares subject to performance share units at the target award level under the Incentive Plan; and 161,631 shares subject to non-employee director deferred compensation notional units under the Incentive Plan.</w:t>
      </w:r>
    </w:p>
    <w:p>
      <w:pPr>
        <w:pStyle w:val="TextBody"/>
        <w:bidi w:val="0"/>
        <w:spacing w:lineRule="auto" w:line="288" w:before="120" w:after="283"/>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Represents the weighted-average exercise price of outstanding options under the Incentive Plan and does not take into account outstanding performance share units or non-employee director deferred compensation notional units under the Incentive Plan.</w:t>
      </w:r>
    </w:p>
    <w:p>
      <w:pPr>
        <w:pStyle w:val="TextBody"/>
        <w:bidi w:val="0"/>
        <w:spacing w:lineRule="auto" w:line="288" w:before="120" w:after="283"/>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Reflects the number of shares available for future issuance under the Incentive Plan.</w:t>
      </w:r>
    </w:p>
    <w:p>
      <w:pPr>
        <w:pStyle w:val="TextBody"/>
        <w:bidi w:val="0"/>
        <w:spacing w:lineRule="auto" w:line="288" w:before="180" w:after="283"/>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This table does not include 49,684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2025 at a weighted-average exercise price of $43.04.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No additional equity awards will be made under the First Data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2026 annual meeting of shareholders, which will be filed with the Securities and Exchange Commission no later than 120 days after the close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14 is incorporated by reference to the information set forth under the captions “Independent Registered Public Accounting Firm and Fees” and “Audit Committee Pre-Approval Policy” in our definitive proxy statement for our 2026 annual meeting of shareholders, which will be filed with the Securities and Exchange Commission no later than 120 days after the close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Financial Statement Schedules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because they are not applicable or the required information is shown in the consolidated financial statements or accompanying notes.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exhibits listed in the accompanying exhibit index are filed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50"/>
        <w:gridCol w:w="132"/>
        <w:gridCol w:w="132"/>
        <w:gridCol w:w="154"/>
        <w:gridCol w:w="154"/>
        <w:gridCol w:w="158"/>
        <w:gridCol w:w="2789"/>
        <w:gridCol w:w="2697"/>
        <w:gridCol w:w="3839"/>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880"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30"/>
              <w:jc w:val="center"/>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3">
              <w:r>
                <w:rPr>
                  <w:rStyle w:val="InternetLink"/>
                  <w:rFonts w:ascii="Times New Roman;serif" w:hAnsi="Times New Roman;serif"/>
                  <w:b w:val="false"/>
                  <w:color w:val="0000FF"/>
                  <w:sz w:val="20"/>
                  <w:u w:val="single"/>
                </w:rPr>
                <w:t>Restated Articles of Incorporation (1)</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4">
              <w:r>
                <w:rPr>
                  <w:rStyle w:val="InternetLink"/>
                  <w:rFonts w:ascii="Times New Roman;serif" w:hAnsi="Times New Roman;serif"/>
                  <w:b w:val="false"/>
                  <w:color w:val="0000FF"/>
                  <w:sz w:val="20"/>
                  <w:u w:val="single"/>
                </w:rPr>
                <w:t>Amended and Restated By-laws (2)</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41descriptionofsecuritie.htm">
              <w:r>
                <w:rPr>
                  <w:rStyle w:val="InternetLink"/>
                  <w:rFonts w:ascii="Times New Roman;serif" w:hAnsi="Times New Roman;serif"/>
                  <w:b w:val="false"/>
                  <w:color w:val="0000FF"/>
                  <w:sz w:val="20"/>
                  <w:u w:val="single"/>
                </w:rPr>
                <w:t>Description of Securities of the Registrant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5">
              <w:r>
                <w:rPr>
                  <w:rStyle w:val="InternetLink"/>
                  <w:rFonts w:ascii="Times New Roman;serif" w:hAnsi="Times New Roman;serif"/>
                  <w:b w:val="false"/>
                  <w:color w:val="0000FF"/>
                  <w:sz w:val="20"/>
                  <w:u w:val="single"/>
                </w:rPr>
                <w:t>Indenture, dated as of November 20, 2007, by and among Fiserv, Inc., the guarantors named therein and U.S. Bank National Association (5)</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6">
              <w:r>
                <w:rPr>
                  <w:rStyle w:val="InternetLink"/>
                  <w:rFonts w:ascii="Times New Roman;serif" w:hAnsi="Times New Roman;serif"/>
                  <w:b w:val="false"/>
                  <w:color w:val="000080"/>
                  <w:sz w:val="20"/>
                  <w:u w:val="single"/>
                </w:rPr>
                <w:t>Fifteenth Supplemental Indenture, dated as of September 25, 2018, between Fiserv, Inc. and U.S. Bank National Association (</w:t>
              </w:r>
            </w:hyperlink>
            <w:hyperlink r:id="rId7">
              <w:r>
                <w:rPr>
                  <w:rStyle w:val="InternetLink"/>
                  <w:rFonts w:ascii="Times New Roman;serif" w:hAnsi="Times New Roman;serif"/>
                  <w:b w:val="false"/>
                  <w:color w:val="000080"/>
                  <w:sz w:val="20"/>
                  <w:u w:val="single"/>
                </w:rPr>
                <w:t>6</w:t>
              </w:r>
            </w:hyperlink>
            <w:hyperlink r:id="rId8">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9">
              <w:r>
                <w:rPr>
                  <w:rStyle w:val="InternetLink"/>
                  <w:rFonts w:ascii="Times New Roman;serif" w:hAnsi="Times New Roman;serif"/>
                  <w:b w:val="false"/>
                  <w:color w:val="000080"/>
                  <w:sz w:val="20"/>
                  <w:u w:val="single"/>
                </w:rPr>
                <w:t>Seventeenth Supplemental Indenture, dated as of June 24, 2019, between Fiserv, Inc. and U.S. Bank National Association (</w:t>
              </w:r>
            </w:hyperlink>
            <w:hyperlink r:id="rId10">
              <w:r>
                <w:rPr>
                  <w:rStyle w:val="InternetLink"/>
                  <w:rFonts w:ascii="Times New Roman;serif" w:hAnsi="Times New Roman;serif"/>
                  <w:b w:val="false"/>
                  <w:color w:val="000080"/>
                  <w:sz w:val="20"/>
                  <w:u w:val="single"/>
                </w:rPr>
                <w:t>7</w:t>
              </w:r>
            </w:hyperlink>
            <w:hyperlink r:id="rId11">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2">
              <w:r>
                <w:rPr>
                  <w:rStyle w:val="InternetLink"/>
                  <w:rFonts w:ascii="Times New Roman;serif" w:hAnsi="Times New Roman;serif"/>
                  <w:b w:val="false"/>
                  <w:color w:val="000080"/>
                  <w:sz w:val="20"/>
                  <w:u w:val="single"/>
                </w:rPr>
                <w:t>Eighteenth Supplemental Indenture, dated as of June 24, 2019, between Fiserv, Inc. and U.S. Bank National Association (</w:t>
              </w:r>
            </w:hyperlink>
            <w:hyperlink r:id="rId13">
              <w:r>
                <w:rPr>
                  <w:rStyle w:val="InternetLink"/>
                  <w:rFonts w:ascii="Times New Roman;serif" w:hAnsi="Times New Roman;serif"/>
                  <w:b w:val="false"/>
                  <w:color w:val="000080"/>
                  <w:sz w:val="20"/>
                  <w:u w:val="single"/>
                </w:rPr>
                <w:t>7</w:t>
              </w:r>
            </w:hyperlink>
            <w:hyperlink r:id="rId14">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5">
              <w:r>
                <w:rPr>
                  <w:rStyle w:val="InternetLink"/>
                  <w:rFonts w:ascii="Times New Roman;serif" w:hAnsi="Times New Roman;serif"/>
                  <w:b w:val="false"/>
                  <w:color w:val="000080"/>
                  <w:sz w:val="20"/>
                  <w:u w:val="single"/>
                </w:rPr>
                <w:t>Nineteenth Supplemental Indenture, dated as of June 24, 2019, between Fiserv, Inc. and U.S. Bank National Association (</w:t>
              </w:r>
            </w:hyperlink>
            <w:hyperlink r:id="rId16">
              <w:r>
                <w:rPr>
                  <w:rStyle w:val="InternetLink"/>
                  <w:rFonts w:ascii="Times New Roman;serif" w:hAnsi="Times New Roman;serif"/>
                  <w:b w:val="false"/>
                  <w:color w:val="000080"/>
                  <w:sz w:val="20"/>
                  <w:u w:val="single"/>
                </w:rPr>
                <w:t>7</w:t>
              </w:r>
            </w:hyperlink>
            <w:hyperlink r:id="rId17">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8">
              <w:r>
                <w:rPr>
                  <w:rStyle w:val="InternetLink"/>
                  <w:rFonts w:ascii="Times New Roman;serif" w:hAnsi="Times New Roman;serif"/>
                  <w:b w:val="false"/>
                  <w:color w:val="000080"/>
                  <w:sz w:val="20"/>
                  <w:u w:val="single"/>
                </w:rPr>
                <w:t>Twenty-First Supplemental Indenture, dated as of July 1, 2019, between Fiserv, Inc. and U.S. Bank National Association (</w:t>
              </w:r>
            </w:hyperlink>
            <w:hyperlink r:id="rId19">
              <w:r>
                <w:rPr>
                  <w:rStyle w:val="InternetLink"/>
                  <w:rFonts w:ascii="Times New Roman;serif" w:hAnsi="Times New Roman;serif"/>
                  <w:b w:val="false"/>
                  <w:color w:val="000080"/>
                  <w:sz w:val="20"/>
                  <w:u w:val="single"/>
                </w:rPr>
                <w:t>8</w:t>
              </w:r>
            </w:hyperlink>
            <w:hyperlink r:id="rId20">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21">
              <w:r>
                <w:rPr>
                  <w:rStyle w:val="InternetLink"/>
                  <w:rFonts w:ascii="Times New Roman;serif" w:hAnsi="Times New Roman;serif"/>
                  <w:b w:val="false"/>
                  <w:color w:val="000080"/>
                  <w:sz w:val="20"/>
                  <w:u w:val="single"/>
                </w:rPr>
                <w:t>Twenty-Second Supplemental Indenture, dated as of July 1, 2019, between Fiserv, Inc. and U.S. Bank National Association (</w:t>
              </w:r>
            </w:hyperlink>
            <w:hyperlink r:id="rId22">
              <w:r>
                <w:rPr>
                  <w:rStyle w:val="InternetLink"/>
                  <w:rFonts w:ascii="Times New Roman;serif" w:hAnsi="Times New Roman;serif"/>
                  <w:b w:val="false"/>
                  <w:color w:val="000080"/>
                  <w:sz w:val="20"/>
                  <w:u w:val="single"/>
                </w:rPr>
                <w:t>8</w:t>
              </w:r>
            </w:hyperlink>
            <w:hyperlink r:id="rId23">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24">
              <w:r>
                <w:rPr>
                  <w:rStyle w:val="InternetLink"/>
                  <w:rFonts w:ascii="Times New Roman;serif" w:hAnsi="Times New Roman;serif"/>
                  <w:b w:val="false"/>
                  <w:color w:val="000080"/>
                  <w:sz w:val="20"/>
                  <w:u w:val="single"/>
                </w:rPr>
                <w:t>Twenty-Fourth Supplemental Indenture, dated as of July 1, 2019, between Fiserv, Inc. and U.S. Bank National Association (</w:t>
              </w:r>
            </w:hyperlink>
            <w:hyperlink r:id="rId25">
              <w:r>
                <w:rPr>
                  <w:rStyle w:val="InternetLink"/>
                  <w:rFonts w:ascii="Times New Roman;serif" w:hAnsi="Times New Roman;serif"/>
                  <w:b w:val="false"/>
                  <w:color w:val="000080"/>
                  <w:sz w:val="20"/>
                  <w:u w:val="single"/>
                </w:rPr>
                <w:t>8</w:t>
              </w:r>
            </w:hyperlink>
            <w:hyperlink r:id="rId26">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27">
              <w:r>
                <w:rPr>
                  <w:rStyle w:val="InternetLink"/>
                  <w:rFonts w:ascii="Times New Roman;serif" w:hAnsi="Times New Roman;serif"/>
                  <w:b w:val="false"/>
                  <w:color w:val="000080"/>
                  <w:sz w:val="20"/>
                  <w:u w:val="single"/>
                </w:rPr>
                <w:t>Twenty-Fifth Supplemental Indenture, dated as of May 13, 2020, between Fiserv, Inc. and U.S. Bank National Association (</w:t>
              </w:r>
            </w:hyperlink>
            <w:hyperlink r:id="rId28">
              <w:r>
                <w:rPr>
                  <w:rStyle w:val="InternetLink"/>
                  <w:rFonts w:ascii="Times New Roman;serif" w:hAnsi="Times New Roman;serif"/>
                  <w:b w:val="false"/>
                  <w:color w:val="000080"/>
                  <w:sz w:val="20"/>
                  <w:u w:val="single"/>
                </w:rPr>
                <w:t>9</w:t>
              </w:r>
            </w:hyperlink>
            <w:hyperlink r:id="rId29">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30">
              <w:r>
                <w:rPr>
                  <w:rStyle w:val="InternetLink"/>
                  <w:rFonts w:ascii="Times New Roman;serif" w:hAnsi="Times New Roman;serif"/>
                  <w:b w:val="false"/>
                  <w:color w:val="000080"/>
                  <w:sz w:val="20"/>
                  <w:u w:val="single"/>
                </w:rPr>
                <w:t>Twenty-Sixth Supplemental Indenture, dated as of May 13, 2020, between Fiserv, Inc. and U.S. Bank National Association (</w:t>
              </w:r>
            </w:hyperlink>
            <w:hyperlink r:id="rId31">
              <w:r>
                <w:rPr>
                  <w:rStyle w:val="InternetLink"/>
                  <w:rFonts w:ascii="Times New Roman;serif" w:hAnsi="Times New Roman;serif"/>
                  <w:b w:val="false"/>
                  <w:color w:val="000080"/>
                  <w:sz w:val="20"/>
                  <w:u w:val="single"/>
                </w:rPr>
                <w:t>9</w:t>
              </w:r>
            </w:hyperlink>
            <w:hyperlink r:id="rId32">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80"/>
                  <w:sz w:val="20"/>
                  <w:u w:val="single"/>
                </w:rPr>
                <w:t>Twenty-Seventh Supplemental Indenture, dated as of March 2, 2023, between Fiserv, Inc. and U.S. Bank Trust Company, National Association (1</w:t>
              </w:r>
            </w:hyperlink>
            <w:hyperlink r:id="rId34">
              <w:r>
                <w:rPr>
                  <w:rStyle w:val="InternetLink"/>
                  <w:rFonts w:ascii="Times New Roman;serif" w:hAnsi="Times New Roman;serif"/>
                  <w:b w:val="false"/>
                  <w:color w:val="000080"/>
                  <w:sz w:val="20"/>
                  <w:u w:val="single"/>
                </w:rPr>
                <w:t>0</w:t>
              </w:r>
            </w:hyperlink>
            <w:hyperlink r:id="rId35">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80"/>
                  <w:sz w:val="20"/>
                  <w:u w:val="single"/>
                </w:rPr>
                <w:t>Twenty-Eighth Supplemental Indenture, dated as of March 2, 2023, between Fiserv, Inc. and U.S. Bank Trust Company, National Association (1</w:t>
              </w:r>
            </w:hyperlink>
            <w:hyperlink r:id="rId37">
              <w:r>
                <w:rPr>
                  <w:rStyle w:val="InternetLink"/>
                  <w:rFonts w:ascii="Times New Roman;serif" w:hAnsi="Times New Roman;serif"/>
                  <w:b w:val="false"/>
                  <w:color w:val="000080"/>
                  <w:sz w:val="20"/>
                  <w:u w:val="single"/>
                </w:rPr>
                <w:t>0</w:t>
              </w:r>
            </w:hyperlink>
            <w:hyperlink r:id="rId38">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80"/>
                  <w:sz w:val="20"/>
                  <w:u w:val="single"/>
                </w:rPr>
                <w:t xml:space="preserve">Twenty-Ninth Supplemental Indenture, dated as of May 24, 2023, between Fiserv, Inc. and U.S. Bank </w:t>
              </w:r>
            </w:hyperlink>
            <w:hyperlink r:id="rId40">
              <w:r>
                <w:rPr>
                  <w:rStyle w:val="InternetLink"/>
                  <w:rFonts w:ascii="Times New Roman;serif" w:hAnsi="Times New Roman;serif"/>
                  <w:b w:val="false"/>
                  <w:color w:val="000080"/>
                  <w:sz w:val="20"/>
                  <w:u w:val="single"/>
                </w:rPr>
                <w:t>Trust Company, National Association (1</w:t>
              </w:r>
            </w:hyperlink>
            <w:hyperlink r:id="rId41">
              <w:r>
                <w:rPr>
                  <w:rStyle w:val="InternetLink"/>
                  <w:rFonts w:ascii="Times New Roman;serif" w:hAnsi="Times New Roman;serif"/>
                  <w:b w:val="false"/>
                  <w:color w:val="000080"/>
                  <w:sz w:val="20"/>
                  <w:u w:val="single"/>
                </w:rPr>
                <w:t>1</w:t>
              </w:r>
            </w:hyperlink>
            <w:hyperlink r:id="rId42">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80"/>
                  <w:sz w:val="20"/>
                  <w:u w:val="single"/>
                </w:rPr>
                <w:t>Thirtieth Supplemental Indenture, dated as of August 21, 2023, between Fiserv, Inc. and U.S. Bank</w:t>
              </w:r>
            </w:hyperlink>
            <w:hyperlink r:id="rId44">
              <w:r>
                <w:rPr>
                  <w:rStyle w:val="InternetLink"/>
                  <w:rFonts w:ascii="Times New Roman;serif" w:hAnsi="Times New Roman;serif"/>
                  <w:b w:val="false"/>
                  <w:color w:val="000080"/>
                  <w:sz w:val="20"/>
                  <w:u w:val="single"/>
                </w:rPr>
                <w:t xml:space="preserve"> Trust Company, National Association (1</w:t>
              </w:r>
            </w:hyperlink>
            <w:hyperlink r:id="rId45">
              <w:r>
                <w:rPr>
                  <w:rStyle w:val="InternetLink"/>
                  <w:rFonts w:ascii="Times New Roman;serif" w:hAnsi="Times New Roman;serif"/>
                  <w:b w:val="false"/>
                  <w:color w:val="000080"/>
                  <w:sz w:val="20"/>
                  <w:u w:val="single"/>
                </w:rPr>
                <w:t>2</w:t>
              </w:r>
            </w:hyperlink>
            <w:hyperlink r:id="rId46">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80"/>
                  <w:sz w:val="20"/>
                  <w:u w:val="single"/>
                </w:rPr>
                <w:t>Thirty-First Supplemental Indenture, dated as of August 21, 2023, between Fiserv, Inc. and U.S. Bank Trust Company, National Association (1</w:t>
              </w:r>
            </w:hyperlink>
            <w:hyperlink r:id="rId48">
              <w:r>
                <w:rPr>
                  <w:rStyle w:val="InternetLink"/>
                  <w:rFonts w:ascii="Times New Roman;serif" w:hAnsi="Times New Roman;serif"/>
                  <w:b w:val="false"/>
                  <w:color w:val="000080"/>
                  <w:sz w:val="20"/>
                  <w:u w:val="single"/>
                </w:rPr>
                <w:t>2</w:t>
              </w:r>
            </w:hyperlink>
            <w:hyperlink r:id="rId49">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9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80"/>
                  <w:sz w:val="20"/>
                  <w:u w:val="single"/>
                </w:rPr>
                <w:t>Thirty-Second Supplemental Indenture, dated as of March 4, 2024, between Fiserv, Inc. and U.S. Bank Trust Company, National Association (1</w:t>
              </w:r>
            </w:hyperlink>
            <w:hyperlink r:id="rId51">
              <w:r>
                <w:rPr>
                  <w:rStyle w:val="InternetLink"/>
                  <w:rFonts w:ascii="Times New Roman;serif" w:hAnsi="Times New Roman;serif"/>
                  <w:b w:val="false"/>
                  <w:color w:val="000080"/>
                  <w:sz w:val="20"/>
                  <w:u w:val="single"/>
                </w:rPr>
                <w:t>3</w:t>
              </w:r>
            </w:hyperlink>
            <w:hyperlink r:id="rId52">
              <w:r>
                <w:rPr>
                  <w:rStyle w:val="InternetLink"/>
                  <w:rFonts w:ascii="Times New Roman;serif" w:hAnsi="Times New Roman;serif"/>
                  <w:b w:val="false"/>
                  <w:color w:val="000080"/>
                  <w:sz w:val="20"/>
                  <w:u w:val="single"/>
                </w:rPr>
                <w:t>)</w:t>
              </w:r>
            </w:hyperlink>
          </w:p>
        </w:tc>
      </w:tr>
      <w:tr>
        <w:trPr/>
        <w:tc>
          <w:tcPr>
            <w:tcW w:w="41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93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80"/>
                  <w:sz w:val="20"/>
                  <w:u w:val="single"/>
                </w:rPr>
                <w:t>Thirty-Third Supplemental Indenture, dated as of March 4, 2024, between Fiserv, Inc. and U.S. Bank Trust Company, National Association (1</w:t>
              </w:r>
            </w:hyperlink>
            <w:hyperlink r:id="rId54">
              <w:r>
                <w:rPr>
                  <w:rStyle w:val="InternetLink"/>
                  <w:rFonts w:ascii="Times New Roman;serif" w:hAnsi="Times New Roman;serif"/>
                  <w:b w:val="false"/>
                  <w:color w:val="000080"/>
                  <w:sz w:val="20"/>
                  <w:u w:val="single"/>
                </w:rPr>
                <w:t>3</w:t>
              </w:r>
            </w:hyperlink>
            <w:hyperlink r:id="rId55">
              <w:r>
                <w:rPr>
                  <w:rStyle w:val="InternetLink"/>
                  <w:rFonts w:ascii="Times New Roman;serif" w:hAnsi="Times New Roman;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9"/>
        <w:gridCol w:w="189"/>
        <w:gridCol w:w="193"/>
        <w:gridCol w:w="2784"/>
        <w:gridCol w:w="2687"/>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80"/>
                  <w:sz w:val="20"/>
                  <w:u w:val="single"/>
                </w:rPr>
                <w:t>Thirty-Fourth Supplemental Indenture, dated as of March 4, 2024, between Fiserv, Inc. and U.S. Bank Trust Company, National Association (1</w:t>
              </w:r>
            </w:hyperlink>
            <w:hyperlink r:id="rId57">
              <w:r>
                <w:rPr>
                  <w:rStyle w:val="InternetLink"/>
                  <w:rFonts w:ascii="Times New Roman;serif" w:hAnsi="Times New Roman;serif"/>
                  <w:b w:val="false"/>
                  <w:color w:val="000080"/>
                  <w:sz w:val="20"/>
                  <w:u w:val="single"/>
                </w:rPr>
                <w:t>3</w:t>
              </w:r>
            </w:hyperlink>
            <w:hyperlink r:id="rId58">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80"/>
                  <w:sz w:val="20"/>
                  <w:u w:val="single"/>
                </w:rPr>
                <w:t>Thirty-Fifth Supplemental Indenture, dated as of August 12, 2024, between Fiserv, Inc. and U.S. Bank Trust Company, National Association (1</w:t>
              </w:r>
            </w:hyperlink>
            <w:hyperlink r:id="rId60">
              <w:r>
                <w:rPr>
                  <w:rStyle w:val="InternetLink"/>
                  <w:rFonts w:ascii="Times New Roman;serif" w:hAnsi="Times New Roman;serif"/>
                  <w:b w:val="false"/>
                  <w:color w:val="000080"/>
                  <w:sz w:val="20"/>
                  <w:u w:val="single"/>
                </w:rPr>
                <w:t>4</w:t>
              </w:r>
            </w:hyperlink>
            <w:hyperlink r:id="rId61">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80"/>
                  <w:sz w:val="20"/>
                  <w:u w:val="single"/>
                </w:rPr>
                <w:t>Thirty-Sixth Supplemental Indenture, dated as of August 12, 2024, between Fiserv, Inc. and U.S. Bank Trust Company, National Association (1</w:t>
              </w:r>
            </w:hyperlink>
            <w:hyperlink r:id="rId63">
              <w:r>
                <w:rPr>
                  <w:rStyle w:val="InternetLink"/>
                  <w:rFonts w:ascii="Times New Roman;serif" w:hAnsi="Times New Roman;serif"/>
                  <w:b w:val="false"/>
                  <w:color w:val="000080"/>
                  <w:sz w:val="20"/>
                  <w:u w:val="single"/>
                </w:rPr>
                <w:t>4</w:t>
              </w:r>
            </w:hyperlink>
            <w:hyperlink r:id="rId64">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4.22</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Thirty-Seventh Supplemental Indenture, dated as of August 11, 2025, between Fiserv, Inc. and U.S. Bank Trust Company, National Association (15)</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4.23</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FF"/>
                  <w:sz w:val="20"/>
                  <w:u w:val="single"/>
                </w:rPr>
                <w:t>Thirty-Eighth Supplemental Indenture, dated as of August 11, 2025, between Fiserv, Inc. and U.S. Bank Trust Company, National Association (15)</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4.24</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FF"/>
                  <w:sz w:val="20"/>
                  <w:u w:val="single"/>
                </w:rPr>
                <w:t>Indenture, dated as of April 24, 2025, among Fiserv Funding Unlimited Company, Fiserv, Inc., the guarantors party thereto and U.S. Bank Trust Company, National Association (16)</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FF"/>
                  <w:sz w:val="20"/>
                  <w:u w:val="single"/>
                </w:rPr>
                <w:t>First Supplemental Indenture, dated as of May 7, 2025, among Fiserv Funding Unlimited Company, Fiserv, Inc. and U.S. Bank Trust Company, National Association (17)</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FF"/>
                  <w:sz w:val="20"/>
                  <w:u w:val="single"/>
                </w:rPr>
                <w:t>Second Supplemental Indenture, dated as of May 7, 2025, among Fiserv Funding Unlimited Company, Fiserv, Inc. and U.S. Bank Trust Company, National Association (17)</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4.27</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FF"/>
                  <w:sz w:val="20"/>
                  <w:u w:val="single"/>
                </w:rPr>
                <w:t>Third Supplemental Indenture, dated as of May 7, 2025, among Fiserv Funding Unlimited Company, Fiserv, Inc. and U.S. Bank Trust Company, National Association (17)</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4.28</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71">
              <w:r>
                <w:rPr>
                  <w:rStyle w:val="InternetLink"/>
                  <w:rFonts w:ascii="Times New Roman;serif" w:hAnsi="Times New Roman;serif"/>
                  <w:b w:val="false"/>
                  <w:color w:val="000080"/>
                  <w:sz w:val="20"/>
                  <w:u w:val="single"/>
                </w:rPr>
                <w:t>Agency Agreement, dated as of July 1, 2019, by and among Fiserv, Inc., Elavon Financial Services DAC, UK Branch, and U.S. Bank National Association (</w:t>
              </w:r>
            </w:hyperlink>
            <w:hyperlink r:id="rId72">
              <w:r>
                <w:rPr>
                  <w:rStyle w:val="InternetLink"/>
                  <w:rFonts w:ascii="Times New Roman;serif" w:hAnsi="Times New Roman;serif"/>
                  <w:b w:val="false"/>
                  <w:color w:val="000080"/>
                  <w:sz w:val="20"/>
                  <w:u w:val="single"/>
                </w:rPr>
                <w:t>8</w:t>
              </w:r>
            </w:hyperlink>
            <w:hyperlink r:id="rId73">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4.29</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80"/>
                  <w:sz w:val="20"/>
                  <w:u w:val="single"/>
                </w:rPr>
                <w:t>Agency Agreement, dated as of May 24, 2023, by and among Fiserv, Inc., Elavon Financial Services DAC, UK Branch, and U.S. Bank Trust Company, National Association (1</w:t>
              </w:r>
            </w:hyperlink>
            <w:hyperlink r:id="rId75">
              <w:r>
                <w:rPr>
                  <w:rStyle w:val="InternetLink"/>
                  <w:rFonts w:ascii="Times New Roman;serif" w:hAnsi="Times New Roman;serif"/>
                  <w:b w:val="false"/>
                  <w:color w:val="000080"/>
                  <w:sz w:val="20"/>
                  <w:u w:val="single"/>
                </w:rPr>
                <w:t>1</w:t>
              </w:r>
            </w:hyperlink>
            <w:hyperlink r:id="rId76">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77">
              <w:r>
                <w:rPr>
                  <w:rStyle w:val="InternetLink"/>
                  <w:rFonts w:ascii="Times New Roman;serif" w:hAnsi="Times New Roman;serif"/>
                  <w:b w:val="false"/>
                  <w:color w:val="0000FF"/>
                  <w:sz w:val="20"/>
                  <w:u w:val="single"/>
                </w:rPr>
                <w:t>Agency Agreement, dated as of May 7, 2025, by and among Fiserv Funding Unlimited Company, U.S. Bank Europe DAC, and U.S. Bank Trust Company, National Association (17)</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Item 601(b)(4)(iii) of Regulation S-K, the Company agrees to furnish to the Securities and Exchange Commission, upon request, any instrument defining the rights of holders of long-term debt that is not filed as an exhibit to this Form 10-K.</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78">
              <w:r>
                <w:rPr>
                  <w:rStyle w:val="InternetLink"/>
                  <w:rFonts w:ascii="Times New Roman;serif" w:hAnsi="Times New Roman;serif"/>
                  <w:b w:val="false"/>
                  <w:color w:val="000080"/>
                  <w:sz w:val="20"/>
                  <w:u w:val="single"/>
                </w:rPr>
                <w:t>Amended and Restated Fiserv, Inc. 2007 Omnibus Incentive Plan (1</w:t>
              </w:r>
            </w:hyperlink>
            <w:hyperlink r:id="rId79">
              <w:r>
                <w:rPr>
                  <w:rStyle w:val="InternetLink"/>
                  <w:rFonts w:ascii="Times New Roman;serif" w:hAnsi="Times New Roman;serif"/>
                  <w:b w:val="false"/>
                  <w:color w:val="000080"/>
                  <w:sz w:val="20"/>
                  <w:u w:val="single"/>
                </w:rPr>
                <w:t>8</w:t>
              </w:r>
            </w:hyperlink>
            <w:hyperlink r:id="rId80">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Fiserv, Inc. 2007 Omnibus Incentive Plan Forms of Award Agreements</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2formofrsuagreementnon.htm">
              <w:r>
                <w:rPr>
                  <w:rStyle w:val="InternetLink"/>
                  <w:color w:val="0000FF"/>
                  <w:u w:val="single"/>
                </w:rPr>
                <w:t> </w:t>
              </w:r>
            </w:hyperlink>
            <w:hyperlink w:anchor="ex102formofrsuagreementnon.htm">
              <w:r>
                <w:rPr>
                  <w:rStyle w:val="InternetLink"/>
                  <w:rFonts w:ascii="Times New Roman;serif" w:hAnsi="Times New Roman;serif"/>
                  <w:b w:val="false"/>
                  <w:color w:val="0000FF"/>
                  <w:sz w:val="20"/>
                  <w:u w:val="single"/>
                </w:rPr>
                <w:t>- Form of Restricted Stock Unit Agreement (Non-Employee Director)</w:t>
              </w:r>
            </w:hyperlink>
            <w:hyperlink w:anchor="ex102formofrsuagreementnon.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r>
              <w:rPr>
                <w:color w:val="0000FF"/>
                <w:u w:val="single"/>
              </w:rPr>
              <w:t> </w:t>
            </w:r>
            <w:hyperlink r:id="rId81">
              <w:r>
                <w:rPr>
                  <w:rStyle w:val="InternetLink"/>
                  <w:rFonts w:ascii="Times New Roman;serif" w:hAnsi="Times New Roman;serif"/>
                  <w:b w:val="false"/>
                  <w:color w:val="000080"/>
                  <w:sz w:val="20"/>
                  <w:u w:val="single"/>
                </w:rPr>
                <w:t>- Form of Restricted Stock Unit Agreement (Employee-SO)</w:t>
              </w:r>
            </w:hyperlink>
            <w:hyperlink r:id="rId82">
              <w:r>
                <w:rPr>
                  <w:rStyle w:val="InternetLink"/>
                  <w:rFonts w:ascii="Times New Roman;serif" w:hAnsi="Times New Roman;serif"/>
                  <w:b w:val="false"/>
                  <w:color w:val="000080"/>
                  <w:sz w:val="20"/>
                  <w:u w:val="single"/>
                </w:rPr>
                <w:t xml:space="preserve"> (for grants prior to February 18,</w:t>
              </w:r>
            </w:hyperlink>
            <w:hyperlink r:id="rId83">
              <w:r>
                <w:rPr>
                  <w:rStyle w:val="InternetLink"/>
                  <w:rFonts w:ascii="Times New Roman;serif" w:hAnsi="Times New Roman;serif"/>
                  <w:b w:val="false"/>
                  <w:color w:val="000080"/>
                  <w:sz w:val="20"/>
                  <w:u w:val="single"/>
                </w:rPr>
                <w:t xml:space="preserve"> </w:t>
              </w:r>
            </w:hyperlink>
            <w:hyperlink r:id="rId84">
              <w:r>
                <w:rPr>
                  <w:rStyle w:val="InternetLink"/>
                  <w:rFonts w:ascii="Times New Roman;serif" w:hAnsi="Times New Roman;serif"/>
                  <w:b w:val="false"/>
                  <w:color w:val="000080"/>
                  <w:sz w:val="20"/>
                  <w:u w:val="single"/>
                </w:rPr>
                <w:t>2026) (20)</w:t>
              </w:r>
            </w:hyperlink>
            <w:hyperlink r:id="rId8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4formofrsuagreementemp.htm">
              <w:r>
                <w:rPr>
                  <w:rStyle w:val="InternetLink"/>
                  <w:color w:val="0000FF"/>
                  <w:u w:val="single"/>
                </w:rPr>
                <w:t> </w:t>
              </w:r>
            </w:hyperlink>
            <w:hyperlink w:anchor="ex104formofrsuagreementemp.htm">
              <w:r>
                <w:rPr>
                  <w:rStyle w:val="InternetLink"/>
                  <w:rFonts w:ascii="Times New Roman;serif" w:hAnsi="Times New Roman;serif"/>
                  <w:b w:val="false"/>
                  <w:color w:val="000080"/>
                  <w:sz w:val="20"/>
                  <w:u w:val="single"/>
                </w:rPr>
                <w:t xml:space="preserve">- Form of Restricted Stock Unit Agreement (Employee-SO) (for grants </w:t>
              </w:r>
            </w:hyperlink>
            <w:hyperlink w:anchor="ex104formofrsuagreementemp.htm">
              <w:r>
                <w:rPr>
                  <w:rStyle w:val="InternetLink"/>
                  <w:rFonts w:ascii="Times New Roman;serif" w:hAnsi="Times New Roman;serif"/>
                  <w:b w:val="false"/>
                  <w:color w:val="000080"/>
                  <w:sz w:val="20"/>
                  <w:u w:val="single"/>
                </w:rPr>
                <w:t>on or after</w:t>
              </w:r>
            </w:hyperlink>
            <w:hyperlink w:anchor="ex104formofrsuagreementemp.htm">
              <w:r>
                <w:rPr>
                  <w:rStyle w:val="InternetLink"/>
                  <w:rFonts w:ascii="Times New Roman;serif" w:hAnsi="Times New Roman;serif"/>
                  <w:b w:val="false"/>
                  <w:color w:val="000080"/>
                  <w:sz w:val="20"/>
                  <w:u w:val="single"/>
                </w:rPr>
                <w:t xml:space="preserve"> February 18,</w:t>
              </w:r>
            </w:hyperlink>
            <w:hyperlink w:anchor="ex104formofrsuagreementemp.htm">
              <w:r>
                <w:rPr>
                  <w:rStyle w:val="InternetLink"/>
                  <w:rFonts w:ascii="Times New Roman;serif" w:hAnsi="Times New Roman;serif"/>
                  <w:b w:val="false"/>
                  <w:color w:val="000080"/>
                  <w:sz w:val="20"/>
                  <w:u w:val="single"/>
                </w:rPr>
                <w:t xml:space="preserve"> </w:t>
              </w:r>
            </w:hyperlink>
            <w:hyperlink w:anchor="ex104formofrsuagreementemp.htm">
              <w:r>
                <w:rPr>
                  <w:rStyle w:val="InternetLink"/>
                  <w:rFonts w:ascii="Times New Roman;serif" w:hAnsi="Times New Roman;serif"/>
                  <w:b w:val="false"/>
                  <w:color w:val="000080"/>
                  <w:sz w:val="20"/>
                  <w:u w:val="single"/>
                </w:rPr>
                <w:t>2026)</w:t>
              </w:r>
            </w:hyperlink>
            <w:hyperlink w:anchor="ex104formofrsuagreementemp.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86">
              <w:r>
                <w:rPr>
                  <w:rStyle w:val="InternetLink"/>
                  <w:color w:val="0000FF"/>
                  <w:u w:val="single"/>
                </w:rPr>
                <w:t> </w:t>
              </w:r>
            </w:hyperlink>
            <w:hyperlink r:id="rId87">
              <w:r>
                <w:rPr>
                  <w:rStyle w:val="InternetLink"/>
                  <w:rFonts w:ascii="Times New Roman;serif" w:hAnsi="Times New Roman;serif"/>
                  <w:b w:val="false"/>
                  <w:color w:val="0000FF"/>
                  <w:sz w:val="20"/>
                  <w:u w:val="single"/>
                </w:rPr>
                <w:t>- Form of Restricted Stock Unit Agreement (Employee-ST)</w:t>
              </w:r>
            </w:hyperlink>
            <w:hyperlink r:id="rId88">
              <w:r>
                <w:rPr>
                  <w:rStyle w:val="InternetLink"/>
                  <w:rFonts w:ascii="Times New Roman;serif" w:hAnsi="Times New Roman;serif"/>
                  <w:b w:val="false"/>
                  <w:color w:val="000080"/>
                  <w:sz w:val="20"/>
                  <w:u w:val="single"/>
                </w:rPr>
                <w:t xml:space="preserve"> (for grants </w:t>
              </w:r>
            </w:hyperlink>
            <w:hyperlink r:id="rId89">
              <w:r>
                <w:rPr>
                  <w:rStyle w:val="InternetLink"/>
                  <w:rFonts w:ascii="Times New Roman;serif" w:hAnsi="Times New Roman;serif"/>
                  <w:b w:val="false"/>
                  <w:color w:val="000080"/>
                  <w:sz w:val="20"/>
                  <w:u w:val="single"/>
                </w:rPr>
                <w:t>prior to February 18, 2026</w:t>
              </w:r>
            </w:hyperlink>
            <w:hyperlink r:id="rId90">
              <w:r>
                <w:rPr>
                  <w:rStyle w:val="InternetLink"/>
                  <w:rFonts w:ascii="Times New Roman;serif" w:hAnsi="Times New Roman;serif"/>
                  <w:b w:val="false"/>
                  <w:color w:val="000080"/>
                  <w:sz w:val="20"/>
                  <w:u w:val="single"/>
                </w:rPr>
                <w:t>) (20)</w:t>
              </w:r>
            </w:hyperlink>
            <w:hyperlink r:id="rId91">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6formofrsuagreementemp.htm">
              <w:r>
                <w:rPr>
                  <w:rStyle w:val="InternetLink"/>
                  <w:color w:val="0000FF"/>
                  <w:u w:val="single"/>
                </w:rPr>
                <w:t> </w:t>
              </w:r>
            </w:hyperlink>
            <w:hyperlink w:anchor="ex106formofrsuagreementemp.htm">
              <w:r>
                <w:rPr>
                  <w:rStyle w:val="InternetLink"/>
                  <w:rFonts w:ascii="Times New Roman;serif" w:hAnsi="Times New Roman;serif"/>
                  <w:b w:val="false"/>
                  <w:color w:val="0000FF"/>
                  <w:sz w:val="20"/>
                  <w:u w:val="single"/>
                </w:rPr>
                <w:t xml:space="preserve">- Form of Restricted Stock Unit Agreement (Employee-ST) (for grants </w:t>
              </w:r>
            </w:hyperlink>
            <w:hyperlink w:anchor="ex106formofrsuagreementemp.htm">
              <w:r>
                <w:rPr>
                  <w:rStyle w:val="InternetLink"/>
                  <w:rFonts w:ascii="Times New Roman;serif" w:hAnsi="Times New Roman;serif"/>
                  <w:b w:val="false"/>
                  <w:color w:val="000080"/>
                  <w:sz w:val="20"/>
                  <w:u w:val="single"/>
                </w:rPr>
                <w:t>on or a</w:t>
              </w:r>
            </w:hyperlink>
            <w:hyperlink w:anchor="ex106formofrsuagreementemp.htm">
              <w:r>
                <w:rPr>
                  <w:rStyle w:val="InternetLink"/>
                  <w:rFonts w:ascii="Times New Roman;serif" w:hAnsi="Times New Roman;serif"/>
                  <w:b w:val="false"/>
                  <w:color w:val="000080"/>
                  <w:sz w:val="20"/>
                  <w:u w:val="single"/>
                </w:rPr>
                <w:t>fter</w:t>
              </w:r>
            </w:hyperlink>
            <w:hyperlink w:anchor="ex106formofrsuagreementemp.htm">
              <w:r>
                <w:rPr>
                  <w:rStyle w:val="InternetLink"/>
                  <w:rFonts w:ascii="Times New Roman;serif" w:hAnsi="Times New Roman;serif"/>
                  <w:b w:val="false"/>
                  <w:color w:val="000080"/>
                  <w:sz w:val="20"/>
                  <w:u w:val="single"/>
                </w:rPr>
                <w:t xml:space="preserve"> February 18, 2026)</w:t>
              </w:r>
            </w:hyperlink>
            <w:hyperlink w:anchor="ex106formofrsuagreementemp.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7formofrsuagreementemp.htm">
              <w:r>
                <w:rPr>
                  <w:rStyle w:val="InternetLink"/>
                  <w:color w:val="0000FF"/>
                  <w:u w:val="single"/>
                </w:rPr>
                <w:t> </w:t>
              </w:r>
            </w:hyperlink>
            <w:hyperlink w:anchor="ex107formofrsuagreementemp.htm">
              <w:r>
                <w:rPr>
                  <w:rStyle w:val="InternetLink"/>
                  <w:rFonts w:ascii="Times New Roman;serif" w:hAnsi="Times New Roman;serif"/>
                  <w:b w:val="false"/>
                  <w:color w:val="0000FF"/>
                  <w:sz w:val="20"/>
                  <w:u w:val="single"/>
                </w:rPr>
                <w:t>- Form of Restricted Stock Unit Agreement (Employee-N)</w:t>
              </w:r>
            </w:hyperlink>
            <w:hyperlink w:anchor="ex107formofrsuagreementemp.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8formofrsuagreementemp.htm">
              <w:r>
                <w:rPr>
                  <w:rStyle w:val="InternetLink"/>
                  <w:color w:val="0000FF"/>
                  <w:u w:val="single"/>
                </w:rPr>
                <w:t> </w:t>
              </w:r>
            </w:hyperlink>
            <w:hyperlink w:anchor="ex108formofrsuagreementemp.htm">
              <w:r>
                <w:rPr>
                  <w:rStyle w:val="InternetLink"/>
                  <w:rFonts w:ascii="Times New Roman;serif" w:hAnsi="Times New Roman;serif"/>
                  <w:b w:val="false"/>
                  <w:color w:val="0000FF"/>
                  <w:sz w:val="20"/>
                  <w:u w:val="single"/>
                </w:rPr>
                <w:t>- Form of Restricted Stock Unit Agreement (Employee-</w:t>
              </w:r>
            </w:hyperlink>
            <w:hyperlink w:anchor="ex108formofrsuagreementemp.htm">
              <w:r>
                <w:rPr>
                  <w:rStyle w:val="InternetLink"/>
                  <w:rFonts w:ascii="Times New Roman;serif" w:hAnsi="Times New Roman;serif"/>
                  <w:b w:val="false"/>
                  <w:color w:val="000080"/>
                  <w:sz w:val="20"/>
                  <w:u w:val="single"/>
                </w:rPr>
                <w:t>SO/N</w:t>
              </w:r>
            </w:hyperlink>
            <w:hyperlink w:anchor="ex108formofrsuagreementemp.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92">
              <w:r>
                <w:rPr>
                  <w:rStyle w:val="InternetLink"/>
                  <w:color w:val="0000FF"/>
                  <w:u w:val="single"/>
                </w:rPr>
                <w:t> </w:t>
              </w:r>
            </w:hyperlink>
            <w:hyperlink r:id="rId93">
              <w:r>
                <w:rPr>
                  <w:rStyle w:val="InternetLink"/>
                  <w:rFonts w:ascii="Times New Roman;serif" w:hAnsi="Times New Roman;serif"/>
                  <w:b w:val="false"/>
                  <w:color w:val="0000FF"/>
                  <w:sz w:val="20"/>
                  <w:u w:val="single"/>
                </w:rPr>
                <w:t>- Form of Non-Qualified Stock Option Agreement (Non-Employee Director-LE) (1</w:t>
              </w:r>
            </w:hyperlink>
            <w:hyperlink r:id="rId94">
              <w:r>
                <w:rPr>
                  <w:rStyle w:val="InternetLink"/>
                  <w:rFonts w:ascii="Times New Roman;serif" w:hAnsi="Times New Roman;serif"/>
                  <w:b w:val="false"/>
                  <w:color w:val="000080"/>
                  <w:sz w:val="20"/>
                  <w:u w:val="single"/>
                </w:rPr>
                <w:t>9</w:t>
              </w:r>
            </w:hyperlink>
            <w:hyperlink r:id="rId9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96">
              <w:r>
                <w:rPr>
                  <w:rStyle w:val="InternetLink"/>
                  <w:color w:val="0000FF"/>
                  <w:u w:val="single"/>
                </w:rPr>
                <w:t> </w:t>
              </w:r>
            </w:hyperlink>
            <w:hyperlink r:id="rId97">
              <w:r>
                <w:rPr>
                  <w:rStyle w:val="InternetLink"/>
                  <w:rFonts w:ascii="Times New Roman;serif" w:hAnsi="Times New Roman;serif"/>
                  <w:b w:val="false"/>
                  <w:color w:val="0000FF"/>
                  <w:sz w:val="20"/>
                  <w:u w:val="single"/>
                </w:rPr>
                <w:t xml:space="preserve">- Form of First Amendment to Non-Qualified Stock Option Agreement (Non-Employee Director - LE) </w:t>
              </w:r>
            </w:hyperlink>
            <w:hyperlink r:id="rId98">
              <w:r>
                <w:rPr>
                  <w:rStyle w:val="InternetLink"/>
                  <w:rFonts w:ascii="Times New Roman;serif" w:hAnsi="Times New Roman;serif"/>
                  <w:b w:val="false"/>
                  <w:color w:val="000080"/>
                  <w:sz w:val="20"/>
                  <w:u w:val="single"/>
                </w:rPr>
                <w:t>(</w:t>
              </w:r>
            </w:hyperlink>
            <w:hyperlink r:id="rId99">
              <w:r>
                <w:rPr>
                  <w:rStyle w:val="InternetLink"/>
                  <w:rFonts w:ascii="Times New Roman;serif" w:hAnsi="Times New Roman;serif"/>
                  <w:b w:val="false"/>
                  <w:color w:val="000080"/>
                  <w:sz w:val="20"/>
                  <w:u w:val="single"/>
                </w:rPr>
                <w:t>22</w:t>
              </w:r>
            </w:hyperlink>
            <w:hyperlink r:id="rId100">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01">
              <w:r>
                <w:rPr>
                  <w:rStyle w:val="InternetLink"/>
                  <w:color w:val="0000FF"/>
                  <w:u w:val="single"/>
                </w:rPr>
                <w:t> </w:t>
              </w:r>
            </w:hyperlink>
            <w:hyperlink r:id="rId102">
              <w:r>
                <w:rPr>
                  <w:rStyle w:val="InternetLink"/>
                  <w:rFonts w:ascii="Times New Roman;serif" w:hAnsi="Times New Roman;serif"/>
                  <w:b w:val="false"/>
                  <w:color w:val="0000FF"/>
                  <w:sz w:val="20"/>
                  <w:u w:val="single"/>
                </w:rPr>
                <w:t>- Form of Non-Qualified Stock Option Agreement (Non-Employee Director - EE) (</w:t>
              </w:r>
            </w:hyperlink>
            <w:hyperlink r:id="rId103">
              <w:r>
                <w:rPr>
                  <w:rStyle w:val="InternetLink"/>
                  <w:rFonts w:ascii="Times New Roman;serif" w:hAnsi="Times New Roman;serif"/>
                  <w:b w:val="false"/>
                  <w:color w:val="000080"/>
                  <w:sz w:val="20"/>
                  <w:u w:val="single"/>
                </w:rPr>
                <w:t>22</w:t>
              </w:r>
            </w:hyperlink>
            <w:hyperlink r:id="rId104">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05">
              <w:r>
                <w:rPr>
                  <w:rStyle w:val="InternetLink"/>
                  <w:color w:val="0000FF"/>
                  <w:u w:val="single"/>
                </w:rPr>
                <w:t> </w:t>
              </w:r>
            </w:hyperlink>
            <w:hyperlink r:id="rId106">
              <w:r>
                <w:rPr>
                  <w:rStyle w:val="InternetLink"/>
                  <w:rFonts w:ascii="Times New Roman;serif" w:hAnsi="Times New Roman;serif"/>
                  <w:b w:val="false"/>
                  <w:color w:val="0000FF"/>
                  <w:sz w:val="20"/>
                  <w:u w:val="single"/>
                </w:rPr>
                <w:t>- Form of Second Amendment to Non-Qualified Stock Option Agreement (Non-Employee Director - LE/EE) (</w:t>
              </w:r>
            </w:hyperlink>
            <w:hyperlink r:id="rId107">
              <w:r>
                <w:rPr>
                  <w:rStyle w:val="InternetLink"/>
                  <w:rFonts w:ascii="Times New Roman;serif" w:hAnsi="Times New Roman;serif"/>
                  <w:b w:val="false"/>
                  <w:color w:val="000080"/>
                  <w:sz w:val="20"/>
                  <w:u w:val="single"/>
                </w:rPr>
                <w:t>2</w:t>
              </w:r>
            </w:hyperlink>
            <w:hyperlink r:id="rId108">
              <w:r>
                <w:rPr>
                  <w:rStyle w:val="InternetLink"/>
                  <w:rFonts w:ascii="Times New Roman;serif" w:hAnsi="Times New Roman;serif"/>
                  <w:b w:val="false"/>
                  <w:color w:val="000080"/>
                  <w:sz w:val="20"/>
                  <w:u w:val="single"/>
                </w:rPr>
                <w:t>3</w:t>
              </w:r>
            </w:hyperlink>
            <w:hyperlink r:id="rId109">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10">
              <w:r>
                <w:rPr>
                  <w:rStyle w:val="InternetLink"/>
                  <w:color w:val="0000FF"/>
                  <w:u w:val="single"/>
                </w:rPr>
                <w:t> </w:t>
              </w:r>
            </w:hyperlink>
            <w:hyperlink r:id="rId111">
              <w:r>
                <w:rPr>
                  <w:rStyle w:val="InternetLink"/>
                  <w:rFonts w:ascii="Times New Roman;serif" w:hAnsi="Times New Roman;serif"/>
                  <w:b w:val="false"/>
                  <w:color w:val="0000FF"/>
                  <w:sz w:val="20"/>
                  <w:u w:val="single"/>
                </w:rPr>
                <w:t>- Form of Stock Option Agreement (Employee-F) (2</w:t>
              </w:r>
            </w:hyperlink>
            <w:hyperlink r:id="rId112">
              <w:r>
                <w:rPr>
                  <w:rStyle w:val="InternetLink"/>
                  <w:rFonts w:ascii="Times New Roman;serif" w:hAnsi="Times New Roman;serif"/>
                  <w:b w:val="false"/>
                  <w:color w:val="000080"/>
                  <w:sz w:val="20"/>
                  <w:u w:val="single"/>
                </w:rPr>
                <w:t>4</w:t>
              </w:r>
            </w:hyperlink>
            <w:hyperlink r:id="rId113">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14">
              <w:r>
                <w:rPr>
                  <w:rStyle w:val="InternetLink"/>
                  <w:color w:val="0000FF"/>
                  <w:u w:val="single"/>
                </w:rPr>
                <w:t> </w:t>
              </w:r>
            </w:hyperlink>
            <w:hyperlink r:id="rId115">
              <w:r>
                <w:rPr>
                  <w:rStyle w:val="InternetLink"/>
                  <w:rFonts w:ascii="Times New Roman;serif" w:hAnsi="Times New Roman;serif"/>
                  <w:b w:val="false"/>
                  <w:color w:val="0000FF"/>
                  <w:sz w:val="20"/>
                  <w:u w:val="single"/>
                </w:rPr>
                <w:t>- Form of Stock Option Agreement (Employee-E) (2</w:t>
              </w:r>
            </w:hyperlink>
            <w:hyperlink r:id="rId116">
              <w:r>
                <w:rPr>
                  <w:rStyle w:val="InternetLink"/>
                  <w:rFonts w:ascii="Times New Roman;serif" w:hAnsi="Times New Roman;serif"/>
                  <w:b w:val="false"/>
                  <w:color w:val="000080"/>
                  <w:sz w:val="20"/>
                  <w:u w:val="single"/>
                </w:rPr>
                <w:t>4</w:t>
              </w:r>
            </w:hyperlink>
            <w:hyperlink r:id="rId117">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18">
              <w:r>
                <w:rPr>
                  <w:rStyle w:val="InternetLink"/>
                  <w:color w:val="0000FF"/>
                  <w:u w:val="single"/>
                </w:rPr>
                <w:t> </w:t>
              </w:r>
            </w:hyperlink>
            <w:hyperlink r:id="rId119">
              <w:r>
                <w:rPr>
                  <w:rStyle w:val="InternetLink"/>
                  <w:rFonts w:ascii="Times New Roman;serif" w:hAnsi="Times New Roman;serif"/>
                  <w:b w:val="false"/>
                  <w:color w:val="0000FF"/>
                  <w:sz w:val="20"/>
                  <w:u w:val="single"/>
                </w:rPr>
                <w:t>- Form of Stock Option Agreement (Employee-SO) (</w:t>
              </w:r>
            </w:hyperlink>
            <w:hyperlink r:id="rId120">
              <w:r>
                <w:rPr>
                  <w:rStyle w:val="InternetLink"/>
                  <w:rFonts w:ascii="Times New Roman;serif" w:hAnsi="Times New Roman;serif"/>
                  <w:b w:val="false"/>
                  <w:color w:val="000080"/>
                  <w:sz w:val="20"/>
                  <w:u w:val="single"/>
                </w:rPr>
                <w:t>21</w:t>
              </w:r>
            </w:hyperlink>
            <w:hyperlink r:id="rId121">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22">
              <w:r>
                <w:rPr>
                  <w:rStyle w:val="InternetLink"/>
                  <w:color w:val="0000FF"/>
                  <w:u w:val="single"/>
                </w:rPr>
                <w:t> </w:t>
              </w:r>
            </w:hyperlink>
            <w:hyperlink r:id="rId123">
              <w:r>
                <w:rPr>
                  <w:rStyle w:val="InternetLink"/>
                  <w:rFonts w:ascii="Times New Roman;serif" w:hAnsi="Times New Roman;serif"/>
                  <w:b w:val="false"/>
                  <w:color w:val="0000FF"/>
                  <w:sz w:val="20"/>
                  <w:u w:val="single"/>
                </w:rPr>
                <w:t>- Form of Stock Option Agreement (Employee-ST) (</w:t>
              </w:r>
            </w:hyperlink>
            <w:hyperlink r:id="rId124">
              <w:r>
                <w:rPr>
                  <w:rStyle w:val="InternetLink"/>
                  <w:rFonts w:ascii="Times New Roman;serif" w:hAnsi="Times New Roman;serif"/>
                  <w:b w:val="false"/>
                  <w:color w:val="000080"/>
                  <w:sz w:val="20"/>
                  <w:u w:val="single"/>
                </w:rPr>
                <w:t>21</w:t>
              </w:r>
            </w:hyperlink>
            <w:hyperlink r:id="rId12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r>
              <w:rPr>
                <w:color w:val="000000"/>
              </w:rPr>
              <w:t> </w:t>
            </w:r>
            <w:hyperlink r:id="rId126">
              <w:r>
                <w:rPr>
                  <w:rStyle w:val="InternetLink"/>
                  <w:rFonts w:ascii="Times New Roman;serif" w:hAnsi="Times New Roman;serif"/>
                  <w:b w:val="false"/>
                  <w:color w:val="000080"/>
                  <w:sz w:val="20"/>
                  <w:u w:val="single"/>
                </w:rPr>
                <w:t>- Form of Performance Share Unit Agreement (Employee-SO)</w:t>
              </w:r>
            </w:hyperlink>
            <w:hyperlink r:id="rId127">
              <w:r>
                <w:rPr>
                  <w:rStyle w:val="InternetLink"/>
                  <w:rFonts w:ascii="Times New Roman;serif" w:hAnsi="Times New Roman;serif"/>
                  <w:b w:val="false"/>
                  <w:color w:val="000080"/>
                  <w:sz w:val="20"/>
                  <w:u w:val="single"/>
                </w:rPr>
                <w:t xml:space="preserve"> (for grants prior to February 18, 2026) (20)</w:t>
              </w:r>
            </w:hyperlink>
            <w:hyperlink r:id="rId128">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1018formofpsuagreementem.htm">
              <w:r>
                <w:rPr>
                  <w:rStyle w:val="InternetLink"/>
                  <w:color w:val="0000FF"/>
                  <w:u w:val="single"/>
                </w:rPr>
                <w:t> </w:t>
              </w:r>
            </w:hyperlink>
            <w:hyperlink w:anchor="ex1018formofpsuagreementem.htm">
              <w:r>
                <w:rPr>
                  <w:rStyle w:val="InternetLink"/>
                  <w:rFonts w:ascii="Times New Roman;serif" w:hAnsi="Times New Roman;serif"/>
                  <w:b w:val="false"/>
                  <w:color w:val="000080"/>
                  <w:sz w:val="20"/>
                  <w:u w:val="single"/>
                </w:rPr>
                <w:t>- Form of Performance Share Unit Agreement (Employee-S</w:t>
              </w:r>
            </w:hyperlink>
            <w:hyperlink w:anchor="ex1018formofpsuagreementem.htm">
              <w:r>
                <w:rPr>
                  <w:rStyle w:val="InternetLink"/>
                  <w:rFonts w:ascii="Times New Roman;serif" w:hAnsi="Times New Roman;serif"/>
                  <w:b w:val="false"/>
                  <w:color w:val="000080"/>
                  <w:sz w:val="20"/>
                  <w:u w:val="single"/>
                </w:rPr>
                <w:t>O) (for grants on or after February 18, 2026)</w:t>
              </w:r>
            </w:hyperlink>
            <w:hyperlink w:anchor="ex1018formofpsuagreementem.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29">
              <w:r>
                <w:rPr>
                  <w:rStyle w:val="InternetLink"/>
                  <w:rFonts w:ascii="Times New Roman;serif" w:hAnsi="Times New Roman;serif"/>
                  <w:b w:val="false"/>
                  <w:color w:val="000080"/>
                  <w:sz w:val="20"/>
                  <w:u w:val="single"/>
                </w:rPr>
                <w:t>First Data Corporation 2015 Omnibus Incentive Plan (</w:t>
              </w:r>
            </w:hyperlink>
            <w:hyperlink r:id="rId130">
              <w:r>
                <w:rPr>
                  <w:rStyle w:val="InternetLink"/>
                  <w:rFonts w:ascii="Times New Roman;serif" w:hAnsi="Times New Roman;serif"/>
                  <w:b w:val="false"/>
                  <w:color w:val="000080"/>
                  <w:sz w:val="20"/>
                  <w:u w:val="single"/>
                </w:rPr>
                <w:t>2</w:t>
              </w:r>
            </w:hyperlink>
            <w:hyperlink r:id="rId131">
              <w:r>
                <w:rPr>
                  <w:rStyle w:val="InternetLink"/>
                  <w:rFonts w:ascii="Times New Roman;serif" w:hAnsi="Times New Roman;serif"/>
                  <w:b w:val="false"/>
                  <w:color w:val="000080"/>
                  <w:sz w:val="20"/>
                  <w:u w:val="single"/>
                </w:rPr>
                <w:t>5</w:t>
              </w:r>
            </w:hyperlink>
            <w:hyperlink r:id="rId132">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Data Corporation 2015 Omnibus Incentive Plan Forms of Award Agreements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2"/>
        <w:gridCol w:w="252"/>
        <w:gridCol w:w="253"/>
        <w:gridCol w:w="3126"/>
        <w:gridCol w:w="2474"/>
        <w:gridCol w:w="3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33">
              <w:r>
                <w:rPr>
                  <w:rStyle w:val="InternetLink"/>
                  <w:color w:val="0000FF"/>
                  <w:u w:val="single"/>
                </w:rPr>
                <w:t> </w:t>
              </w:r>
            </w:hyperlink>
            <w:hyperlink r:id="rId134">
              <w:r>
                <w:rPr>
                  <w:rStyle w:val="InternetLink"/>
                  <w:rFonts w:ascii="Times New Roman;serif" w:hAnsi="Times New Roman;serif"/>
                  <w:b w:val="false"/>
                  <w:color w:val="0000FF"/>
                  <w:sz w:val="20"/>
                  <w:u w:val="single"/>
                </w:rPr>
                <w:t>- Form of Option Agreement for Management Committee and Directors (</w:t>
              </w:r>
            </w:hyperlink>
            <w:hyperlink r:id="rId135">
              <w:r>
                <w:rPr>
                  <w:rStyle w:val="InternetLink"/>
                  <w:rFonts w:ascii="Times New Roman;serif" w:hAnsi="Times New Roman;serif"/>
                  <w:b w:val="false"/>
                  <w:color w:val="000080"/>
                  <w:sz w:val="20"/>
                  <w:u w:val="single"/>
                </w:rPr>
                <w:t>2</w:t>
              </w:r>
            </w:hyperlink>
            <w:hyperlink r:id="rId136">
              <w:r>
                <w:rPr>
                  <w:rStyle w:val="InternetLink"/>
                  <w:rFonts w:ascii="Times New Roman;serif" w:hAnsi="Times New Roman;serif"/>
                  <w:b w:val="false"/>
                  <w:color w:val="000080"/>
                  <w:sz w:val="20"/>
                  <w:u w:val="single"/>
                </w:rPr>
                <w:t>6</w:t>
              </w:r>
            </w:hyperlink>
            <w:hyperlink r:id="rId137">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38">
              <w:r>
                <w:rPr>
                  <w:rStyle w:val="InternetLink"/>
                  <w:rFonts w:ascii="Times New Roman;serif" w:hAnsi="Times New Roman;serif"/>
                  <w:b w:val="false"/>
                  <w:color w:val="000080"/>
                  <w:sz w:val="20"/>
                  <w:u w:val="single"/>
                </w:rPr>
                <w:t>Fiserv, Inc. Executive Severance and Change of Control Policy, effective August 10, 2021 (</w:t>
              </w:r>
            </w:hyperlink>
            <w:hyperlink r:id="rId139">
              <w:r>
                <w:rPr>
                  <w:rStyle w:val="InternetLink"/>
                  <w:rFonts w:ascii="Times New Roman;serif" w:hAnsi="Times New Roman;serif"/>
                  <w:b w:val="false"/>
                  <w:color w:val="000080"/>
                  <w:sz w:val="20"/>
                  <w:u w:val="single"/>
                </w:rPr>
                <w:t>2</w:t>
              </w:r>
            </w:hyperlink>
            <w:hyperlink r:id="rId140">
              <w:r>
                <w:rPr>
                  <w:rStyle w:val="InternetLink"/>
                  <w:rFonts w:ascii="Times New Roman;serif" w:hAnsi="Times New Roman;serif"/>
                  <w:b w:val="false"/>
                  <w:color w:val="000080"/>
                  <w:sz w:val="20"/>
                  <w:u w:val="single"/>
                </w:rPr>
                <w:t>7</w:t>
              </w:r>
            </w:hyperlink>
            <w:hyperlink r:id="rId141">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33" w:after="30"/>
              <w:jc w:val="left"/>
              <w:rPr/>
            </w:pPr>
            <w:hyperlink r:id="rId142">
              <w:r>
                <w:rPr>
                  <w:rStyle w:val="InternetLink"/>
                  <w:rFonts w:ascii="Times New Roman;serif" w:hAnsi="Times New Roman;serif"/>
                  <w:b w:val="false"/>
                  <w:color w:val="0000FF"/>
                  <w:sz w:val="20"/>
                  <w:u w:val="single"/>
                </w:rPr>
                <w:t>Fiserv, Inc. Executive Officer Cash Severance Policy (2)*</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43">
              <w:r>
                <w:rPr>
                  <w:rStyle w:val="InternetLink"/>
                  <w:rFonts w:ascii="Times New Roman;serif" w:hAnsi="Times New Roman;serif"/>
                  <w:b w:val="false"/>
                  <w:color w:val="000080"/>
                  <w:sz w:val="20"/>
                  <w:u w:val="single"/>
                </w:rPr>
                <w:t>Employment Agreement, dated December 21, 2022, between Fiserv, Inc. and Frank J. Bisignano (2</w:t>
              </w:r>
            </w:hyperlink>
            <w:hyperlink r:id="rId144">
              <w:r>
                <w:rPr>
                  <w:rStyle w:val="InternetLink"/>
                  <w:rFonts w:ascii="Times New Roman;serif" w:hAnsi="Times New Roman;serif"/>
                  <w:b w:val="false"/>
                  <w:color w:val="000080"/>
                  <w:sz w:val="20"/>
                  <w:u w:val="single"/>
                </w:rPr>
                <w:t>8</w:t>
              </w:r>
            </w:hyperlink>
            <w:hyperlink r:id="rId14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46">
              <w:r>
                <w:rPr>
                  <w:rStyle w:val="InternetLink"/>
                  <w:rFonts w:ascii="Times New Roman;serif" w:hAnsi="Times New Roman;serif"/>
                  <w:b w:val="false"/>
                  <w:color w:val="000080"/>
                  <w:sz w:val="20"/>
                  <w:u w:val="single"/>
                </w:rPr>
                <w:t>Offer Letter, dated January 22, 2025, between Fiserv, Inc. and Michael P. Lyons (2</w:t>
              </w:r>
            </w:hyperlink>
            <w:hyperlink r:id="rId147">
              <w:r>
                <w:rPr>
                  <w:rStyle w:val="InternetLink"/>
                  <w:rFonts w:ascii="Times New Roman;serif" w:hAnsi="Times New Roman;serif"/>
                  <w:b w:val="false"/>
                  <w:color w:val="000080"/>
                  <w:sz w:val="20"/>
                  <w:u w:val="single"/>
                </w:rPr>
                <w:t>9</w:t>
              </w:r>
            </w:hyperlink>
            <w:hyperlink r:id="rId148">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49">
              <w:r>
                <w:rPr>
                  <w:rStyle w:val="InternetLink"/>
                  <w:rFonts w:ascii="Times New Roman;serif" w:hAnsi="Times New Roman;serif"/>
                  <w:b w:val="false"/>
                  <w:color w:val="0000FF"/>
                  <w:sz w:val="20"/>
                  <w:u w:val="single"/>
                </w:rPr>
                <w:t>Offer Letter dated August 28, 2025 between Fiserv, Inc. and Dhivya Suryadevara (30)*</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50">
              <w:r>
                <w:rPr>
                  <w:rStyle w:val="InternetLink"/>
                  <w:rFonts w:ascii="Times New Roman;serif" w:hAnsi="Times New Roman;serif"/>
                  <w:b w:val="false"/>
                  <w:color w:val="0000FF"/>
                  <w:sz w:val="20"/>
                  <w:u w:val="single"/>
                </w:rPr>
                <w:t>Offer Letter dated October 28, 2025 between Fiserv, Inc. and Paul M. Todd (30)*</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51">
              <w:r>
                <w:rPr>
                  <w:rStyle w:val="InternetLink"/>
                  <w:rFonts w:ascii="Times New Roman;serif" w:hAnsi="Times New Roman;serif"/>
                  <w:b w:val="false"/>
                  <w:color w:val="000080"/>
                  <w:sz w:val="20"/>
                  <w:u w:val="single"/>
                </w:rPr>
                <w:t>Fiserv, Inc. Amended and Restated Non-Qualified Deferred Compensation Plan (4</w:t>
              </w:r>
            </w:hyperlink>
            <w:hyperlink r:id="rId152">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53">
              <w:r>
                <w:rPr>
                  <w:rStyle w:val="InternetLink"/>
                  <w:rFonts w:ascii="Times New Roman;serif" w:hAnsi="Times New Roman;serif"/>
                  <w:b w:val="false"/>
                  <w:color w:val="000080"/>
                  <w:sz w:val="20"/>
                  <w:u w:val="single"/>
                </w:rPr>
                <w:t>Form of Non-Employee Director Indemnity Agreement (</w:t>
              </w:r>
            </w:hyperlink>
            <w:hyperlink r:id="rId154">
              <w:r>
                <w:rPr>
                  <w:rStyle w:val="InternetLink"/>
                  <w:rFonts w:ascii="Times New Roman;serif" w:hAnsi="Times New Roman;serif"/>
                  <w:b w:val="false"/>
                  <w:color w:val="000080"/>
                  <w:sz w:val="20"/>
                  <w:u w:val="single"/>
                </w:rPr>
                <w:t>31</w:t>
              </w:r>
            </w:hyperlink>
            <w:hyperlink r:id="rId15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r:id="rId156">
              <w:r>
                <w:rPr>
                  <w:rStyle w:val="InternetLink"/>
                  <w:rFonts w:ascii="Times New Roman;serif" w:hAnsi="Times New Roman;serif"/>
                  <w:b w:val="false"/>
                  <w:color w:val="000080"/>
                  <w:sz w:val="20"/>
                  <w:u w:val="single"/>
                </w:rPr>
                <w:t>Fiserv, Inc. Non-Employee Director Deferred Compensation Plan (2</w:t>
              </w:r>
            </w:hyperlink>
            <w:hyperlink r:id="rId157">
              <w:r>
                <w:rPr>
                  <w:rStyle w:val="InternetLink"/>
                  <w:rFonts w:ascii="Times New Roman;serif" w:hAnsi="Times New Roman;serif"/>
                  <w:b w:val="false"/>
                  <w:color w:val="000080"/>
                  <w:sz w:val="20"/>
                  <w:u w:val="single"/>
                </w:rPr>
                <w:t>3</w:t>
              </w:r>
            </w:hyperlink>
            <w:hyperlink r:id="rId158">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33" w:after="30"/>
              <w:jc w:val="left"/>
              <w:rPr/>
            </w:pPr>
            <w:hyperlink w:anchor="ex1030non-employeedirector.htm">
              <w:r>
                <w:rPr>
                  <w:rStyle w:val="InternetLink"/>
                  <w:rFonts w:ascii="Times New Roman;serif" w:hAnsi="Times New Roman;serif"/>
                  <w:b w:val="false"/>
                  <w:color w:val="000080"/>
                  <w:sz w:val="20"/>
                  <w:u w:val="single"/>
                </w:rPr>
                <w:t>Non-Employee Director Compensation Schedule</w:t>
              </w:r>
            </w:hyperlink>
            <w:hyperlink w:anchor="ex1030non-employeedirector.htm">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59">
              <w:r>
                <w:rPr>
                  <w:rStyle w:val="InternetLink"/>
                  <w:rFonts w:ascii="Times New Roman;serif" w:hAnsi="Times New Roman;serif"/>
                  <w:b w:val="false"/>
                  <w:color w:val="000080"/>
                  <w:sz w:val="20"/>
                  <w:u w:val="single"/>
                </w:rPr>
                <w:t>Credit Agreement, dated as of August 12, 2025, among Fiserv, Inc., Fiserv Funding Unlimited Company, the other subsidiary borrowers party thereto, the financial institutions party thereto and JPMorgan Chase Bank, N.A. as administrative agent (3</w:t>
              </w:r>
            </w:hyperlink>
            <w:hyperlink r:id="rId160">
              <w:r>
                <w:rPr>
                  <w:rStyle w:val="InternetLink"/>
                  <w:rFonts w:ascii="Times New Roman;serif" w:hAnsi="Times New Roman;serif"/>
                  <w:b w:val="false"/>
                  <w:color w:val="000080"/>
                  <w:sz w:val="20"/>
                  <w:u w:val="single"/>
                </w:rPr>
                <w:t>2</w:t>
              </w:r>
            </w:hyperlink>
            <w:hyperlink r:id="rId161">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62">
              <w:r>
                <w:rPr>
                  <w:rStyle w:val="InternetLink"/>
                  <w:rFonts w:ascii="Times New Roman;serif" w:hAnsi="Times New Roman;serif"/>
                  <w:b w:val="false"/>
                  <w:color w:val="0000FF"/>
                  <w:sz w:val="20"/>
                  <w:u w:val="single"/>
                </w:rPr>
                <w:t>Fiserv, Inc. Securities Trading Policy (20)</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21112312025.htm">
              <w:r>
                <w:rPr>
                  <w:rStyle w:val="InternetLink"/>
                  <w:rFonts w:ascii="Times New Roman;serif" w:hAnsi="Times New Roman;serif"/>
                  <w:b w:val="false"/>
                  <w:color w:val="0000FF"/>
                  <w:sz w:val="20"/>
                  <w:u w:val="single"/>
                </w:rPr>
                <w:t>Significant Subsidiaries of Fiserv, Inc.</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163">
              <w:r>
                <w:rPr>
                  <w:rStyle w:val="InternetLink"/>
                  <w:rFonts w:ascii="Times New Roman;serif" w:hAnsi="Times New Roman;serif"/>
                  <w:b w:val="false"/>
                  <w:color w:val="000080"/>
                  <w:sz w:val="20"/>
                  <w:u w:val="single"/>
                </w:rPr>
                <w:t>Subsidiary Issuers of Guaranteed Securities (3</w:t>
              </w:r>
            </w:hyperlink>
            <w:hyperlink r:id="rId164">
              <w:r>
                <w:rPr>
                  <w:rStyle w:val="InternetLink"/>
                  <w:rFonts w:ascii="Times New Roman;serif" w:hAnsi="Times New Roman;serif"/>
                  <w:b w:val="false"/>
                  <w:color w:val="000080"/>
                  <w:sz w:val="20"/>
                  <w:u w:val="single"/>
                </w:rPr>
                <w:t>3</w:t>
              </w:r>
            </w:hyperlink>
            <w:hyperlink r:id="rId165">
              <w:r>
                <w:rPr>
                  <w:rStyle w:val="InternetLink"/>
                  <w:rFonts w:ascii="Times New Roman;serif" w:hAnsi="Times New Roman;serif"/>
                  <w:b w:val="false"/>
                  <w:color w:val="000080"/>
                  <w:sz w:val="20"/>
                  <w:u w:val="single"/>
                </w:rPr>
                <w:t>)</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23112312025.htm">
              <w:r>
                <w:rPr>
                  <w:rStyle w:val="InternetLink"/>
                  <w:rFonts w:ascii="Times New Roman;serif" w:hAnsi="Times New Roman;serif"/>
                  <w:b w:val="false"/>
                  <w:color w:val="0000FF"/>
                  <w:sz w:val="20"/>
                  <w:u w:val="single"/>
                </w:rPr>
                <w:t>Consent of Independent Registered Public Accounting Firm</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31112312025.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31212312025.htm">
              <w:r>
                <w:rPr>
                  <w:rStyle w:val="InternetLink"/>
                  <w:rFonts w:ascii="Times New Roman;serif" w:hAnsi="Times New Roman;serif"/>
                  <w:b w:val="false"/>
                  <w:color w:val="0000FF"/>
                  <w:sz w:val="20"/>
                  <w:u w:val="single"/>
                </w:rPr>
                <w:t>Certification of the Chief Financial Officer pursuant to Section 302 of the Sarbanes</w:t>
                <w:noBreakHyphen/>
                <w:t>Oxley Act of 2002</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33" w:after="30"/>
              <w:jc w:val="left"/>
              <w:rPr/>
            </w:pPr>
            <w:hyperlink w:anchor="ex32112312025.htm">
              <w:r>
                <w:rPr>
                  <w:rStyle w:val="InternetLink"/>
                  <w:rFonts w:ascii="Times New Roman;serif" w:hAnsi="Times New Roman;serif"/>
                  <w:b w:val="false"/>
                  <w:color w:val="0000FF"/>
                  <w:sz w:val="20"/>
                  <w:u w:val="single"/>
                </w:rPr>
                <w:t>Certification of the Chief Executive Officer and the Chief Financial Officer pursuant to Section 906 of the Sarbanes-Oxley Act of 2002</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r:id="rId166">
              <w:r>
                <w:rPr>
                  <w:rStyle w:val="InternetLink"/>
                  <w:rFonts w:ascii="Times New Roman;serif" w:hAnsi="Times New Roman;serif"/>
                  <w:b w:val="false"/>
                  <w:color w:val="0000FF"/>
                  <w:sz w:val="20"/>
                  <w:u w:val="single"/>
                </w:rPr>
                <w:t>Fiserv, Inc. Compensation Recoupment Policy (3)</w:t>
              </w:r>
            </w:hyperlink>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1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333" w:before="0" w:after="120"/>
        <w:jc w:val="left"/>
        <w:rPr>
          <w:rFonts w:ascii="Times New Roman;serif" w:hAnsi="Times New Roman;serif"/>
          <w:b/>
          <w:color w:val="000000"/>
          <w:sz w:val="20"/>
        </w:rPr>
      </w:pPr>
      <w:r>
        <w:rPr>
          <w:rFonts w:ascii="Times New Roman;serif" w:hAnsi="Times New Roman;serif"/>
          <w:b/>
          <w:color w:val="000000"/>
          <w:sz w:val="20"/>
        </w:rPr>
        <w:t>_____</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This exhibit is a management contract or compensatory plan or arrangement.</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with this Annual Report on Form 10-K are the following documents formatted in iXBRL (Inline Extensible Business Reporting Language): (i) the Consolidated Statements of Income for the years ended December 31, 2025, 2024 and 2023, (ii) the Consolidated Statements of Comprehensive Income for the years ended December 31, 2025, 2024 and 2023, (iii) the Consolidated Balance Sheets at December 31, 2025 and 2024, (iv) the Consolidated Statements of Equity for the years ended December 31, 2025, 2024 and 2023, (v) the Consolidated Statements of Cash Flows for the years ended December 31, 2025, 2024 and 2023, (vi) Notes to Consolidated Financial Statements, and (vii) the information included in Part I, Item 1C and Part II, Item 9B(b).</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(1)Previously filed as an exhibit to the Company’s Current Report on Form 8-K filed on February 27, 2018,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(2)Previously filed as an exhibit to the Company’s Current Report on Form 8-K filed on November 21, 2022,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(3)Previously filed as an exhibit to the Company’s Annual Report on Form 10-K filed on February 22, 2024, and incorporated herein by reference.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(4)Previously filed as an exhibit to the Company’s Annual Report on Form 10-K filed on February 27, 2020, and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(5)Previously filed as an exhibit to the Company’s Registration Statement on Form S-3 filed on November 13, 2007,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(6)Previously filed as an exhibit to the Company’s Current Report on Form 8-K filed on September 25, 2018,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(7)Previously filed as an exhibit to the Company’s Current Report on Form 8-K filed on June 24, 2019,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(8)Previously filed as an exhibit to the Company’s Current Report on Form 8-K filed on July 1, 2019,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(9)Previously filed as an exhibit to the Company’s Current Report on Form 8-K filed on May 13, 2020,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(10)Previously filed as an exhibit to the Company’s Current Report on Form 8-K filed on March 2, 2023,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(11)Previously filed as an exhibit to the Company’s Current Report on Form 8-K filed on May 24, 2023,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(12)Previously filed as an exhibit to the Company’s Current Report on Form 8-K filed on August 21, 2023,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(13)Previously filed as an exhibit to the Company’s Current Report on Form 8-K filed on March 4, 2024, and incorporated herein by reference.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(14)Previously filed as an exhibit to the Company’s Current Report on Form 8-K filed on August 12, 2024, and incorporated herein by reference.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(15)Previously filed as an exhibit to the Company’s Current Report on Form 8-K filed on August 11,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(16)Previously filed as an exhibit to Company’s Post-Effective Amendment No. 1 to the Form S-3 Registration Statement filed on April 24,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(17)Previously filed as an exhibit to the Company’s Current Report on Form 8-K filed on May 7,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(18)Previously filed as an exhibit to the Company’s Quarterly Report on Form 10-Q filed on May 2, 2018,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(19)Previously filed as an exhibit to the Company’s Annual Report on Form 10-K filed on February 24, 2012,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(20)Previously filed as an exhibit to the Company’s Annual Report on Form 10-K filed on February 20,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(21)Previously filed as an exhibit to the Company’s Annual Report on Form 10-K filed on February 23, 2023,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(22)Previously filed as an exhibit to the Company’s Quarterly Report on Form 10-Q filed on August 2, 2017,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(23)Previously filed as an exhibit to the Company’s Current Report on Form 8-K filed on December 1, 2017,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(24)Previously filed as an exhibit to the Company’s Annual Report on Form 10-K filed on February 23, 2017,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(25)Previously filed as an exhibit to the Company’s Post-Effective Amendment No. 1 on Form S-8 to the Form S-4 Registration Statement of Fiserv, Inc. filed July 29, 2019, and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(26)Previously filed as an exhibit to the Company’s Quarterly Report on Form 10-Q filed on November 7, 2019,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(27)Previously filed as an exhibit to the Company’s Current Report on Form 8-K filed on August 12, 2021,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(28)Previously filed as an exhibit to the Company’s Current Report on Form 8-K filed on December 22, 2022,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(29)Previously filed as an exhibit to the Company’s Current Report on Form 8-K filed on January 23, 2025, and incorporated herein by reference.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(30)Previously filed as an exhibit to the Company’s Current Report on form 8-K filed on October 29,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(31)Previously filed as an exhibit to the Company’s Annual Report on Form 10-K filed on February 28, 2008,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(32)Previously filed as an exhibit to the Company’s Current Report on Form 8-K filed on August 12, 2025, and incorporated herein by reference.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(33)Previously filed as an exhibit to the Company’s Quarterly Report on Form 10-Q filed on July 24, 2025,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d51169c966740c6938bec9db1147923_7">
        <w:r>
          <w:rPr>
            <w:rStyle w:val="InternetLink"/>
            <w:rFonts w:ascii="Times New Roman;serif" w:hAnsi="Times New Roman;serif"/>
            <w:b w:val="false"/>
            <w:color w:val="000080"/>
            <w:sz w:val="20"/>
            <w:u w:val="single"/>
          </w:rPr>
          <w:t xml:space="preserve">Table of </w:t>
        </w:r>
      </w:hyperlink>
      <w:hyperlink w:anchor="i8d51169c966740c6938bec9db1147923_7">
        <w:r>
          <w:rPr>
            <w:rStyle w:val="InternetLink"/>
            <w:rFonts w:ascii="Times New Roman;serif" w:hAnsi="Times New Roman;serif"/>
            <w:b w:val="false"/>
            <w:color w:val="000080"/>
            <w:sz w:val="20"/>
            <w:u w:val="single"/>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February 19, 2026.</w:t>
      </w:r>
    </w:p>
    <w:tbl>
      <w:tblPr>
        <w:tblW w:w="3005" w:type="dxa"/>
        <w:jc w:val="left"/>
        <w:tblInd w:w="0" w:type="dxa"/>
        <w:tblLayout w:type="fixed"/>
        <w:tblCellMar>
          <w:top w:w="28" w:type="dxa"/>
          <w:left w:w="28" w:type="dxa"/>
          <w:bottom w:w="28" w:type="dxa"/>
          <w:right w:w="28" w:type="dxa"/>
        </w:tblCellMar>
      </w:tblPr>
      <w:tblGrid>
        <w:gridCol w:w="124"/>
        <w:gridCol w:w="109"/>
        <w:gridCol w:w="109"/>
        <w:gridCol w:w="198"/>
        <w:gridCol w:w="198"/>
        <w:gridCol w:w="198"/>
        <w:gridCol w:w="602"/>
        <w:gridCol w:w="602"/>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February 19, 2026.</w:t>
      </w:r>
    </w:p>
    <w:tbl>
      <w:tblPr>
        <w:tblW w:w="4991" w:type="dxa"/>
        <w:jc w:val="center"/>
        <w:tblInd w:w="0" w:type="dxa"/>
        <w:tblLayout w:type="fixed"/>
        <w:tblCellMar>
          <w:top w:w="28" w:type="dxa"/>
          <w:left w:w="28" w:type="dxa"/>
          <w:bottom w:w="28" w:type="dxa"/>
          <w:right w:w="28" w:type="dxa"/>
        </w:tblCellMar>
      </w:tblPr>
      <w:tblGrid>
        <w:gridCol w:w="742"/>
        <w:gridCol w:w="652"/>
        <w:gridCol w:w="661"/>
        <w:gridCol w:w="109"/>
        <w:gridCol w:w="109"/>
        <w:gridCol w:w="109"/>
        <w:gridCol w:w="762"/>
        <w:gridCol w:w="762"/>
        <w:gridCol w:w="1085"/>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Capacity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Lyons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F. Best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br/>
              <w:t>(Principal Accounting Officer)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F. Best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Gordon M. Nixon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Gordon M. Nixon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Stephanie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Stephanie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Henrique De Castro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Henrique De Castro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Harry F. DiSimone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Harry F. DiSimone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Céline Dufétel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Céline Dufétel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Lance M. Fritz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Lance M. Fritz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Ajei S. Gopal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Ajei S. Gopal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Wafaa Mamilli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Wafaa Mamilli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Gary S. Shedlin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Gary S. Shedlin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Charlotte B. Yarkoni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Charlotte B. Yarkoni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DESCRIPTION OF THE REGISTRANT’S SECURITIES</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w: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Fiserv, Inc. (“Fiserv,” the “Company”, “we,” “our” or “us”) had eight classes of securities registered under Section 12 of the Securities Exchange Act of 1934, as amended (the “Exchange Act”): (i) Common Stock, par value $0.01 per share; (ii) 1.125% Senior Notes due 2027; (iii) 1.625% Senior Notes due 2030; (iv) 3.000% Senior Notes due 2031; (v) 4.500% Senior Notes due 2031; (vi) 2.875% Senior Notes due 2028; (vii) 3.500% Senior Notes due 2032; and (viii) 4.000% Senior Notes due 2036. Each of the Company’s securities registered under Section 12 of the Exchange Act are listed on the New York Stock Exchange.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References in the following descriptions to “$,”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herein to “£” and “GBP” are to the lawful currency of the United Kingdom. As used in the following descriptions, the terms “Fiserv,” “we,” “us” and “our” refer to Fiserv, Inc. and not any of its subsidiaries, unless the context requires otherwise.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our common stock summarizes general terms and provisions that apply to our common stock. This description is qualified in its entirety by reference to our articles of incorporation and by-laws, which are filed as exhibits to the Annual Report on Form 10-K of which this Exhibit 4.1 is a part, and applicable Wisconsin law.</w:t>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1,800,000,000 shares of common stock, $.01 par value per share, and 25,000,000 shares of preferred stock, no par value per share. </w:t>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Section 180.1150 of the Wisconsin Business Corporation Law (described below under “—Statutory Provisions”), holders of our common stock are entitled to one vote for each share of common stock held by them on all matters properly presented to shareholders. Subject to the prior rights of the holders of any shares of our preferred stock that are outstanding, our board of directors may at its discretion declare and pay dividends on our common stock out of our earnings or assets legally available for the payment of dividends. Subject to the prior rights of the holders of any shares of our preferred stock that are outstanding, if we are liquidated, any amounts remaining after the discharge of outstanding indebtedness will be paid pro rata to the holders of our common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is authorized to issue our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restricting dividends on the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diluting the voting power of the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impairing the liquidation rights of the common stock;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delaying or preventing a change in control of our company.</w:t>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Statutory Provisions</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180.1150 of the Wisconsin Business Corporation Law provides that the voting power of public Wisconsin corporations such as us held by any person or persons acting as a group in excess of 20% of our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us and a significant shareholder, unless the board of directors of the corporation approves the business combination or the shareholder’s acquisition of shares before these shares are acquired.</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NOTES</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this description, “we,” “us” and “our” refer to Fiserv, Inc., and not to any of its respective subsidiaries, as the issuer of certain series of senior notes and as the guarantor of certain series of senior notes issued by Fiserv Funding Unlimited Company, an indirect wholly owned subsidiary of Fiserv (“Fiserv Funding”), as applicable, as well as to Fiserv Funding, as the issuer of certain senior notes, as applicable. </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our 1.125% Senior Notes due 2027 (the “2027 euro notes”), 1.625% Senior Notes due 2030 (the “2030 euro notes”), 4.500% Senior Notes due 2031 (the “2031 euro notes”), 2.875% Senior Notes due 2028 (the “2028 euro notes”), 3.500% Senior Notes due 2032 (the “2032 euro notes”), the 4.000% Senior Notes due 2036 (the “2036 euro notes” and, together with the 2027 euro notes, the 2030 euro notes, the 2031 euro notes, the 2028 euro notes, the 2032 euro notes and the 2036 euro notes, the “euro notes”), 3.000% Senior Notes due 2031 (the “2031 sterling notes” or the “sterling notes,” and the sterling notes, together with the euro notes, collectively, the “notes”) summarizes certain material terms of the notes. This description is qualified in its entirety by reference to the base indentures (as defined below) and supplemental indentures (as defined below), which are filed as exhibits to the Annual Report on Form 10-K of which this Exhibit 4.1 is a part. </w:t>
      </w:r>
    </w:p>
    <w:p>
      <w:pPr>
        <w:pStyle w:val="TextBody"/>
        <w:bidi w:val="0"/>
        <w:spacing w:lineRule="auto" w:line="300"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2027 euro notes, the 2030 euro notes, the 2031 euro notes and the 2031 sterling notes were issued by us, and were issued under and are governed by an indenture, dated as of November 20, 2007 (the “Fiserv base indenture”), as supplemented in the case of the 2027 euro notes, by the twenty-first supplemental indenture, dated as of July 1, 2019, as supplemented in the case of the 2030 euro notes, by the twenty-second supplemental indenture, dated as of July 1, 2019, as supplemented in the case of the 2031 sterling notes, by the twenty-fourth supplemental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0"/>
          <w:shd w:fill="FFFFFF" w:val="clear"/>
        </w:rPr>
        <w:t xml:space="preserve">indenture, dated as of July 1, 2019, as supplemented in the case of the 2031 euro notes, by the twenty-ninth supplemental indenture, dated as of May 24, 2023 (collectively, the “Fiserv supplemental indentures”), entered into between Fiserv and U.S. Bank Trust Company, National Association (as successor in interest to U.S. Bank National Association), as trustee (the “trustee”) (the Fiserv base indenture, together with the Fiserv supplemental indentures, the “Fiserv indenture”). The 2028 euro notes, the 2032 euro notes and the 2036 euro notes were issued by Fiserv Funding and </w:t>
      </w:r>
      <w:r>
        <w:rPr>
          <w:rFonts w:ascii="Times New Roman;serif" w:hAnsi="Times New Roman;serif"/>
          <w:b w:val="false"/>
          <w:color w:val="000000"/>
          <w:sz w:val="20"/>
        </w:rPr>
        <w:t>fully and unconditionally guaranteed on a senior unsecured basis by Fiserv,</w:t>
      </w:r>
      <w:r>
        <w:rPr>
          <w:color w:val="000000"/>
          <w:shd w:fill="FFFFFF" w:val="clear"/>
        </w:rPr>
        <w:t xml:space="preserve"> </w:t>
      </w:r>
      <w:r>
        <w:rPr>
          <w:rFonts w:ascii="Times New Roman;serif" w:hAnsi="Times New Roman;serif"/>
          <w:b w:val="false"/>
          <w:color w:val="000000"/>
          <w:sz w:val="20"/>
          <w:shd w:fill="FFFFFF" w:val="clear"/>
        </w:rPr>
        <w:t xml:space="preserve">and were issued under and are governed by an indenture, dated as of April 24, 2025 (the “Fiserv Funding base indenture”), as supplemented in the case of the 2028 euro notes, by the first supplemental indenture, dated as of May 7, 2025, as supplemented in the case of the 2032 euro notes, by the second supplemental indenture, dated as of May 7, 2025, and as supplemented in the case of the 2036 euro notes, by the third supplemental indenture, dated as of May 7, 2025 (collectively, the “Fiserv Funding supplemental indentures”, and together with the Fiserv supplemental indentures, the “supplemental indentures”), entered into between Fiserv, Fiserv Funding and the trustee (the Fiserv Funding base indenture, together with the Fiserv Funding supplemental indentures, the “Fiserv Funding indenture”). We refer to the Fiserv indenture and the Fiserv Funding indenture collectively as the indentures, and each as an indenture. </w:t>
      </w:r>
    </w:p>
    <w:p>
      <w:pPr>
        <w:pStyle w:val="TextBody"/>
        <w:bidi w:val="0"/>
        <w:spacing w:lineRule="auto" w:line="300"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for convenience the 2027 euro notes, the 2030 euro notes, the 2031 euro notes, the 2031 sterling notes, the 2028 euro notes, the 2032 euro notes and the 2036 euro notes are referred to as “notes,” each were issued as a separate series and do not together have any class voting rights. Accordingly, for purposes of this Description of the Notes, references to the “notes” are deemed to refer to each series of notes separately, and not to the 2027 euro notes, the 2030 euro notes, the 2031 euro notes, the 2031 sterling notes, the 2028 euro notes, the 2032 euro notes and the 2036 euro notes on any combined basis.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On July 1, 2019, we issued €500,000,000 aggregate principal amount of the 2027 euro notes, €500,000,000 aggregate principal amount of the 2030 euro notes and £525,000,000 aggregate principal amount of the 2031 sterling notes. On May 24, 2023, we issued €800,000,000 aggregate principal amount of the 2031 euro notes. On May 7, 2025, Fiserv Funding issued €750,000,000 aggregate principal amount of the 2028 euro notes, €775,000,000 aggregate principal amount of the 2032 euro notes and €650,000,000 aggregate principal amount of the 2036 euro notes. We may, without the consent of the holders of the notes, increase the principal amount of each series in the future, on the same terms and conditions (except for the issue date, public offering price and, if applicable, the payment of interest accruing prior to the issue date and the initial interest payment date) and with the same CUSIP numbers and, if applicable, other identifying numbers as the notes previously issued;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 xml:space="preserve">that additional notes will be fungible with the previously issued notes for U.S. federal income tax purposes.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are the senior unsecured obligations of Fiserv and Fiserv Funding, as applicable, and rank equally with all other senior unsecured indebtedness of Fiserv and Fiserv Funding, as applicable, from time to time outstanding. The guarantees of the 2028 euro notes, the 2032 euro notes and the 2036 euro notes (the “guarantees”) are Fiserv’s senior unsecured obligations and rank equally with all of its other senior unsecured indebtedness from time to time outstanding. Our obligations arising under the notes and under the guarantees are not guaranteed by any of our subsidiaries. The notes effectively rank junior to any secured indebtedness of Fiserv or Fiserv Funding, as applicable, currently outstanding or that may be incurred in the future to the extent of the collateral securing the same and are structurally subordinated in right of payment to the liabilities (including trade accounts payable) and preferred equity of the subsidiaries of Fiserv and Fiserv Funding, as applicable. The notes are, in effect, subordinated to all of the existing and future secured debt of Fiserv and Fiserv Funding, as applicable, and to the existing and future debt of the subsidiaries of Fiserv and Fiserv Funding, as applicable. The guarantees are, in effect, subordinated to all of Fiserv’s existing and future secured debt and to the existing and future debt of its subsidiaries.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indentures do not contain any covenants or provisions that would afford the holders of the notes protection in the event of a highly leveraged or other transaction that is not in the best interests of noteholders, except to the limited extent described below under “—Purchase of Notes upon a Change of Control Triggering Event” and “—Covenants.”</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Principal and Interest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2027 euro notes will mature on July 1, 2027, the 2030 euro notes will mature on July 1, 2030, the 2031 euro notes will mature on May 24, 2031, the 2031 sterling notes will mature on July 1, 2031, the 2028 euro notes will mature on June 15, 2028, the 2032 euro notes will mature on June 15, 2032 and the 2036 euro notes will mature on June 15, 2036, unless, in each case, we redeem or purchase the notes prior to that date, as described below under “—Optional Redemption,” “—Optional Tax Redemption” and “—Purchase of Notes upon a Change of Control Triggering Event.” Interest on the 2027 euro notes accrues at the rate of 1.125% per year, interest on the 2030 euro notes accrues at the rate of 1.625% per year, interest on the 2031 euro notes accrues at the rate of 4.500% per year, interest on the 2031 sterling notes accrues at the rate of 3.000% per year, interest on the 2028 euro notes accrues at the rate of 2.875% per year, interest on the 2032 euro notes accrues at the rate of 3.500% per year and interest on the 2036 euro notes accrues at the rate of 4.000% per year, and, in each case, will be paid on the basis of the actual number of days in the period for which interest is being calculated and the actual number of days from and including the last scheduled interest payment date to which interest was paid on such series of notes (or from July 1, 2019, if no interest has been paid on such notes) to, but excluding, the next scheduled interest payment date. This payment convention is referred to as the ACTUAL/ACTUAL (ICMA) (as defined in the rulebook of the International Capital Markets Association) day count convention.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pay interest on the notes annually in arrears, with respect to the 2027 euro notes, the 2030 euro notes and the 2031 sterling notes, on July 1 of each year, with respect to the 2031 euro notes, on May 24 each year, and with respect to the 2028 euro notes, the 2032 euro notes and the 2036 euro notes, on June 15 each year, to the holder in whose name each such note is registered, with respect to the 2027 euro notes, the 2030 euro notes, the 2031 euro notes and the 2031 sterling notes, on the day that is 15 days prior to the relevant interest payment date, whether or not such day is a business day, and, with respect to the 2028 euro notes, the 2032 euro notes and the 2036 euro notes, at the close of business on the date that is the clearing system business day (for these purposes, Monday to Friday inclusive except December 25th and January 1st) immediately preceding each applicable interest payment date.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Amounts due on each interest payment date, stated maturity date or any earlier redemption or repurchase date, as applicable, of each series of the notes will be payable at the office or agency maintained for such purpose in London, initially the corporate trust office of the paying agent, or by electronic means, in euro in relation to the euro notes, and in GBP in relation to the sterling notes. The principal and interest payable on the global notes (as defined below) registered in the name of a nominee of the common depositary will be made in immediately available funds to the ICSDs or to the nominee of the common depositary, as the case may be, as the registered holder of such notes. If any of the notes are no longer represented by global notes, payment of interest on the notes in certified form may, at our option, be made by check mailed directly to holders of the notes at their registered addresses.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we nor the trustee will impose any service charge for any transfer or exchange of a note. However, we may ask holders of the notes to pay any taxes or other governmental charges in connection with a transfer or exchange of notes.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interest payment date, stated maturity date or earlier redemption or purchase date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(T2) or any successor thereto is open.</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Guarantee</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Fiserv Funding’s payment obligations under the 2028 euro notes, the 2032 euro notes and the 2036 euro notes are fully and unconditionally guaranteed by Fiserv on a senior unsecured basis. None of the subsidiaries of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Fiserv are guarantors. Our obligations under each guarantee are limited as necessary to prevent such guarantee from constituting a fraudulent transfer or conveyance under applicable law.</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We may, by execution and delivery to the trustee of a supplemental indenture, be released from any guarantee as described under “—Covenants—Merger, Consolidation and Sale of Assets” or “—Defeasance, Covenant Defeasance and Satisfaction and Discharge.”</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Euro Notes—Issuance in Euro; Sterling Notes—Issuance in GBP</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Initial holders of the euro notes were required to pay for the euro notes in euro, and principal, premium, if any, and interest payments in respect of the euro notes, and any payments under the guarantees, will be payable in euro; including any payments made upon the redemption or repurchase of the euro notes. If the euro is unavailable to us due to the imposition of exchange controls or other circumstances beyond our control or the euro is no longer used by the then member states of the European Economic and Monetary Union that have adopted the euro as their currency or for the settlement of transactions by public institutions within the international banking community, then all payments in respect of the euro notes and the guarantees will be made in U.S. dollars until the euro is again available to us or so used.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Initial holders of the sterling notes were required to pay for the sterling notes in GBP, and principal, premium, if any, and interest payments in respect of the sterling notes will be payable in GBP; including any payments made upon the redemption or repurchase of the sterling notes.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 payable on any date in euro or GBP, as applicable,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or U.S. dollar/GBP exchange rate, as applicable, available on or prior to the second business day prior to the relevant payment date as determined by us in our sole discretion.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“market exchange rate” means the noon buying rate in The City of New York for cable transfers of euro or GBP, as applicable, as certified for customs purposes (or, if not so certified, as otherwise determined) by the Federal Reserve Bank of New York.</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payment in respect of the notes or the guarantees so made in U.S. dollars will not constitute an event of default under the indenture or the notes. Neither the trustee nor the paying agent will be responsible for obtaining exchange rates, effecting currency conversions or otherwise handling redenominations. Holders of the notes are subject to foreign exchange risks as to payments of principal and interest that may have important economic and tax consequences to them.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Optional Redemption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at our option, redeem the 2027 euro notes, the 2030 euro notes, the 2031 euro notes, the 2031 sterling notes, the 2028 euro notes, the 2032 euro notes or the 2036 euro notes, in whole or from time to time in part, at any time prior to April 1, 2027, with respect to the 2027 euro notes, April 1, 2030, with respect to the 2030 euro notes, February 24, 2031, with respect to the 2031 euro notes, April 1, 2031, with respect to the 2031 sterling notes, May 15, 2028, with respect to the 2028 euro notes, March 15, 2032, with respect to the 2032 euro notes, and March 15, 2036, with respect to the 2036 euro notes (the foregoing dates in respect of the 2027 euro notes, the 2030 euro notes, the 2031 euro notes, the 2031 sterling notes, the 2028 euro notes, the 2032 euro notes and the 2036 euro notes, each a “Par Call Date”), at a redemption price equal to the greater of: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100% of the aggregate principal amount of any notes being redeemed; and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the sum of the present values of the remaining scheduled payments of principal and interest on the notes being redeemed, not including unpaid interest accrued to the redemption date, that would have been due if such series of notes matured on the related Par Call Date discounted to the redemption date on an annual (ACTUAL/ACTUAL (ICMA)) basis at a rate equal to the applicable comparable government bond rate plus 25 basis points, with respect to any 2027 euro notes being redeemed, 30 basis points, with respect to any 2030 euro notes being redeemed, 35 basis points, with respect to any 2031 euro notes being redeemed, 35 basis points, with respect to any 2031 sterling notes being redeemed, 20 basis points, with respect to any 2028 euro notes being redeemed, 25 basis points, with respect to any 2032 euro notes being redeemed, and 25 basis points, with respect to any 2036 euro notes being redeemed,</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plus, in each case, accrued and unpaid interest on the notes being redeemed to, but not including, the redemption date.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after any Par Call Date, we may, at our option, redeem the notes of the applicable series, in whole or from time to time in part, at a redemption price equal to 100% of the principal amount of the notes being redeemed, plus accrued and unpaid interest on the notes being redeemed to, but not including, the redemption date.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“independent investment banker” means, with respect to the 2027 euro notes, the 2030 euro notes and the 2031 sterling notes, each of J.P. Morgan Securities plc, Citigroup Global Markets Limited and Wells Fargo Securities International Limited (or their respective successors), with respect to the 2031 euro notes, each of Citigroup Global Markets Limited, MUFG Securities EMEA plc and Wells Fargo Securities International Limited (or their respective successors), and, with respect to the 2028 euro notes, the 2032 euro notes and the 2036 euro notes, each of J.P. Morgan Securities plc, Citigroup Global Markets Limited, MUFG Securities (Europe) N.V. and Wells Fargo Securities International Limited (or their respective successors), or if each such firm is unwilling or unable to select the comparable government bond, an independent investment banking institution of international standing appointed by us.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(or, at our request, the trustee) will give written notice of any redemption of any series of notes to holders of that series of notes to be redeemed at their addresses, as shown in the security register for the affected notes (or in accordance with the applicable procedures of Euroclear Bank, S.A./N.V., as operator of the Euroclear System (“Euroclear”) or Clearstream Banking, S.A. (“Clearstream” and, together with Euroclear, the “ICSDs” and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an “ICSD”)), not more than 60 nor less than 10 days prior to the date fixed for redemption, except that notice may be given more than 60 days prior to the date fixed for redemption if the notice is issued in connection with a defeasance, covenant defeasance or satisfaction and discharge. The notice of redemption will specify, among other items, the aggregate principal amount of the notes of the applicable series to be redeemed, the redemption date and the redemption price or the manner of calculating the redemption price (in which case no redemption price need be specified).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notice of redemption may provide that payment of the redemption price and the performance of our obligations with respect to such redemption may be performed by another person.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choose to redeem less than all of the notes of a series, then we will notify the trustee at least five days before giving notice of redemption, or such shorter period as is satisfactory to the trustee, of the aggregate principal amount of the notes of such series to be redeemed and the redemption date. The trustee will select, in the manner it deems fair and appropriate, the notes of that series to be redeemed in part.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have given notice as provided in the indenture and made funds irrevocably available for the redemption of the notes of a series called for redemption on or prior to the redemption date referred to in that notice, then those notes will cease to bear interest on that redemption date and the only remaining right of the holders of those notes will be to receive payment of the redemption price.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will not be subject to, or have the benefit of, a sinking fund.</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Purchase of Notes upon a Change of Control Triggering Event</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If a change of control triggering event occurs, holders of the notes will have the right to require us to repurchase all or any part of their notes pursuant to the offer described below (the “change of control offer”) on the terms set forth in the notes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with respect to euro notes submitted for repurchase in part, the remaining portion of such euro notes is in a principal amount of €100,000 or an integral multiple of €1,000 in excess thereof, and with respect to the sterling notes submitted for purchase in part, the remaining portion of such sterling notes is in a principal amount of £100,000 or an integral multiple of £1,000 in excess thereof). In the change of control offer, we will be required to offer payment in cash equal to 101% of the aggregate principal amount of notes repurchased plus accrued and unpaid interest, if any, on the notes repurchased, to but excluding the date of purchase (the “change of control payment”). Within 30 days following any change of control triggering event, we will be required to deliver (or otherwise transmit in accordance with the procedures of the ICSDs) a notice to holders of the notes describing the transaction or transactions that constitute the change of control triggering event and offering to repurchase the notes on the date specified in the notice, which date will be no earlier than 10 days and no later than 60 days from the date such notice is given (the “change of control purchase date”), pursuant to the procedures required by the notes and described in such notice. The notice will, if mailed prior to the date of the consummation of the change of control, state that the offer to purchase is conditioned on the change of control triggering event occurring on or prior to the change of control purchase date;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if the change of control triggering event occurs after such change of control purchase date, we will be required to offer to purchase the notes as described above. We must comply with the requirements of Rule 14e-l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the change of control purchase date, we will be required, to the extent lawful,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accept for payment all notes or portions of notes properly tendered pursuant to the change of control offer;</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deposit with the paying agent an amount equal to the change of control payment in respect of all notes or portions of notes properly tendered;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deliver or cause to be delivered to the trustee the notes properly accepted together with an officers’ certificate stating the aggregate principal amount of notes or portions of notes being purchased.</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The paying agent will promptly deliver (or otherwise transmit in accordance with the procedures of the ICSDs) to each holder of notes properly tendered the purchase price for the notes, and the trustee will promptly authenticate and deliver (or cause to be transferred by book-entry) to each holder a new note equal in principal amount to any unpurchased portion of any notes surrendered;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with respect to the euro notes, each new euro note will be in a principal amount of €100,000 and any integral multiple of €1,000 in excess thereof and, with respect to the sterling notes, each new sterling note will be in a principal amount of £100,000 and any integral multiple of £1,000 in excess thereof.</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not be required to make a change of control offer upon a change of control triggering event if (i) a third party makes such an offer in the manner, at the times and otherwise in compliance with the requirements for an offer made by us, and such third party purchases all notes properly tendered and not withdrawn under its offer; or (ii) prior to the occurrence of the related change of control triggering event, we have given written notice of a redemption of the notes as provided under “—Optional Redemption” above, unless we have failed to pay the redemption price on the redemption date.</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If holders of not less than 90% in aggregate principal amount of the notes then outstanding validly tender and do not withdraw such notes in a change of control offer and we, or any third party making such an offer in lieu of us as described above, purchase all of such notes properly tendered and not withdrawn by such holders, we or such third party will have the right, upon not less than 10 days’ nor more than 60 days’ prior notice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such notice is given not more than 60 days following such repurchase pursuant to the change of control offer described above) to redeem all notes that remain outstanding following such purchase on a date specified in such notice (the “second change of control purchase date”) and at a price in cash equal to 101% of the aggregate principal amount of the notes repurchased plus accrued and unpaid interest, if any, on the notes repurchased to, but excluding, the second change of control purchase date.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the foregoing discussion of a repurchase at the option of holders, the following definitions are applicable:</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0"/>
          <w:shd w:fill="FFFFFF" w:val="clear"/>
        </w:rPr>
        <w:t>Below investment grade rating event” means that the rating of the notes is lowered by each of the Rating Agencies and the notes are rated below an investment grade rating by each of the Rating Agencies, and such lowering occurs on any date from the date of the public notice of our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us in writing at its or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Fiserv and our subsidiaries taken as a whole to any “person” or “group” (as those terms are used in Section 13(d)(3) of the Exchange Act) other than us or one of our subsidiaries; (2) the approval by the holders of our common stock of any plan or proposal for the liquidation or dissolution of Fiserv (whether or not otherwise in compliance with the provisions of the indenture); (3) the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shd w:fill="FFFFFF" w:val="clear"/>
        </w:rPr>
        <w:t>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Fiserv consolidates or merges with or into any entity, pursuant to a transaction in which any of the outstanding voting stock of Fiserv or such other entity is converted into or exchanged for cash, securities or other property (except when voting stock of Fiserv is converted into, or exchanged for, at least a majority of the voting stock of the surviving person).</w:t>
      </w:r>
      <w:r>
        <w:rPr>
          <w:color w:val="000000"/>
        </w:rPr>
        <w:t xml:space="preserve"> </w:t>
      </w:r>
      <w:r>
        <w:rPr>
          <w:rFonts w:ascii="Times New Roman;serif" w:hAnsi="Times New Roman;serif"/>
          <w:b w:val="false"/>
          <w:color w:val="000000"/>
          <w:sz w:val="20"/>
          <w:shd w:fill="FFFFFF" w:val="clear"/>
        </w:rPr>
        <w:t>Notwithstanding the foregoing, with respect to the 2031 euro notes, a transaction will not be considered to be a change of control if (a) we become a direct or indirect wholly owned subsidiary of a person and (b) immediately following that transaction, the direct or indirect holders of the voting stock of such person are substantially the same as the holders of our voting stock immediately prior to that transaction.</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Change of control triggering event” means the occurrence of both a change of control and a below investment grade rating event.</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Investment grade rating” means a rating equal to or higher than Baa3 (or the equivalent under any successor rating category) by Moody’s, BBB- (or the equivalent under any successor rating category) by S&amp;P and the equivalent investment grade rating by any other Rating Agency, respectively.</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Moody’s” means Moody’s Investors Service, Inc., or its successor.</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an officer of us to the trustee) as a replacement agency for Moody’s or S&amp;P, or both of them, as the case may be.</w:t>
      </w:r>
    </w:p>
    <w:p>
      <w:pPr>
        <w:pStyle w:val="TextBody"/>
        <w:bidi w:val="0"/>
        <w:spacing w:lineRule="auto" w:line="288" w:before="0" w:after="240"/>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S&amp;P” means S&amp;P Global Ratings, a division of S&amp;P Global Inc., or its successor.</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definition of change of control includes a phrase relating to the direct or indirect sale, transfer, lease,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transfer, lease, conveyance or other disposition of less than all of the properties and assets of us and our subsidiaries taken as a whole to another person or group may be uncertain.</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Covenants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Merger, Consolidation and Sale of Assets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 issuer of the 2027 euro notes, the 2030 euro notes, the 2031 euro notes and the 2031 sterling notes and as guarantor of the 2028 euro notes, the 2032 euro notes and the 2036 euro notes, have agreed, with respect to each series of notes, not to consolidate or merge with or into any other person, permit any other person to consolidate with or merge into us or, with respect to Fiserv, to sell, transfer, lease or convey all or substantially all of the properties and assets of Fiserv and its subsidiaries, taken as a whole, to any other person,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the Republic of Ireland or Canada (or any province or territory thereof);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the surviving entity, if other than us, expressly assumes, by a supplemental indenture, with respect to the 2027 euro notes, the 2030 euro notes, the 2031 euro notes and the 2031 sterling notes, the due and punctual payment of the principal of and any premium and interest on the outstanding notes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performance and observance of every covenant in the indenture or, with respect to the 2028 euro notes, the 2032 euro notes and the 2036 euro notes, the obligations under the guarantees, and any paying agency agreement that we would otherwise have to perform or observe;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immediately after giving effect to such transaction and treating any indebtedness that becomes an obligation of ours or any of our subsidiaries as a result of such transaction as having been incurred by us or any of our subsidiaries at the time of such transaction, there will not be any event of default or event which, after notice or lapse of time or both, would become an event of default;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if, as a result of any such transaction, our property or assets would become subject to a lien which would not be permitted under “—Limitations on Liens,” we or our successor shall take those steps that are necessary to secure all outstanding notes equally and ratably with the indebtedness secured by that lien;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will have delivered to the trustee an officers’ certificate and an opinion of counsel, each stating that all conditions precedent to the consummation of the particular transaction under the indenture have been complied with.</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any consolidation or merger with or into any other person or any sale, transfer, lease or conveyance of all or substantially all of the properties and assets of us and our subsidiaries, taken as a whole, to any other person, the successor person will succeed to, and be substituted for, us under the applicable indenture (including, with respect to the Fiserv Funding indenture, the guarantee contained therein), and we, except in the case of a lease, will be relieved of all obligations and covenants under the notes or the guarantees, as applicable, and the indenture to the extent we were the predecessor person.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 issuer of the 2028 euro notes, the 2032 euro notes and the 2036 euro notes, have agreed, with respect to each series of notes, not to consolidate or merge with or into any other person or permit any other person to consolidate with or merge into us, unless:</w:t>
      </w:r>
    </w:p>
    <w:p>
      <w:pPr>
        <w:pStyle w:val="TextBody"/>
        <w:bidi w:val="0"/>
        <w:spacing w:lineRule="auto" w:line="288" w:before="100" w:after="240"/>
        <w:ind w:left="0" w:right="0" w:hanging="360"/>
        <w:jc w:val="left"/>
        <w:rPr/>
      </w:pPr>
      <w:r>
        <w:rPr>
          <w:color w:val="000000"/>
        </w:rPr>
        <w:t>•</w:t>
      </w:r>
      <w:r>
        <w:rPr>
          <w:rFonts w:ascii="Times New Roman;serif" w:hAnsi="Times New Roman;serif"/>
          <w:b w:val="false"/>
          <w:color w:val="000000"/>
          <w:sz w:val="20"/>
          <w:shd w:fill="FFFFFF" w:val="clear"/>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the Republic of Ireland or Canada (or any province or territory thereof);</w:t>
      </w:r>
    </w:p>
    <w:p>
      <w:pPr>
        <w:pStyle w:val="TextBody"/>
        <w:bidi w:val="0"/>
        <w:spacing w:lineRule="auto" w:line="288" w:before="100" w:after="240"/>
        <w:ind w:left="0" w:right="0" w:hanging="360"/>
        <w:jc w:val="left"/>
        <w:rPr/>
      </w:pPr>
      <w:r>
        <w:rPr>
          <w:color w:val="000000"/>
        </w:rPr>
        <w:t>•</w:t>
      </w:r>
      <w:r>
        <w:rPr>
          <w:rFonts w:ascii="Times New Roman;serif" w:hAnsi="Times New Roman;serif"/>
          <w:b w:val="false"/>
          <w:color w:val="000000"/>
          <w:sz w:val="20"/>
          <w:shd w:fill="FFFFFF" w:val="clear"/>
        </w:rPr>
        <w:t>the surviving entity, if other than us, expressly assumes, by a supplemental indenture, all the obligations under the notes, and the performance and observance of every covenant in the indenture and any paying agency agreement that we would otherwise have to perform or observe;</w:t>
      </w:r>
    </w:p>
    <w:p>
      <w:pPr>
        <w:pStyle w:val="TextBody"/>
        <w:bidi w:val="0"/>
        <w:spacing w:lineRule="auto" w:line="288" w:before="100" w:after="240"/>
        <w:ind w:left="0" w:right="0" w:hanging="360"/>
        <w:jc w:val="left"/>
        <w:rPr/>
      </w:pPr>
      <w:r>
        <w:rPr>
          <w:color w:val="000000"/>
        </w:rPr>
        <w:t>•</w:t>
      </w:r>
      <w:r>
        <w:rPr>
          <w:rFonts w:ascii="Times New Roman;serif" w:hAnsi="Times New Roman;serif"/>
          <w:b w:val="false"/>
          <w:color w:val="000000"/>
          <w:sz w:val="20"/>
          <w:shd w:fill="FFFFFF" w:val="clear"/>
        </w:rPr>
        <w:t>if the surviving entity is other than us or Fiserv, Fiserv shall have by supplemental indenture confirmed that its guarantees shall apply to such surviving entity’s obligations under the indenture and the notes; and</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shd w:fill="FFFFFF" w:val="clear"/>
        </w:rPr>
        <w:t>the surviving entity has delivered to the trustee an officers’ certificate and an opinion of counsel, each stating that all conditions precedent to the consummation of the particular transaction under the indenture have been complied with.</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any consolidation or merger with or into any other person, the successor person will succeed to, and be substituted for, us under the indenture and the notes and we will be relieved of all obligations and covenants under the notes and the indenture to the extent we were the predecessor person.</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Limitations on Liens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we nor any of our restricted subsidiaries may create or assume, except in our favor or in favor of one or more of our wholly owned subsidiaries, any mortgage, pledge, lien or encumbrance (as used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paragraph, “liens”) on any principal property, or upon any stock or indebtedness of any of our restricted subsidiaries, that secures any indebtedness of Fiserv or such restricted subsidiary unless the outstanding notes of each series are secured equally and ratably with (or prior to) the obligations so secured by such lien, except that the foregoing restriction does not apply to the following types of liens: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liens in connection with workers’ compensation, unemployment insurance or other social security obligations (which phrase shall not be construed to refer to ERISA or the minimum funding obligations under Section 412 of the Internal Revenue Code of 1986, as amended);</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mechanics’, workmen’s, carriers’, warehousemen’s, materialmen’s, landlords’, or other similar liens arising in the ordinary course of business with respect to obligations (i) which are not more than 30 days’ past due or are being contested in good faith and by appropriate action or (ii) the nonpayment of which in the aggregate would not reasonably be expected to have a material adverse effect on Fiserv and its subsidiaries taken as a whole;</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liens for taxes, assessments, fees or governmental charges or levies which (i) are not delinquent, (ii) are payable without material penalty, (iii) are being contested in good faith and by appropriate action or (iv) the nonpayment of which in the aggregate would not reasonably be expected to have a material adverse effect on Fiserv and its subsidiaries taken as a whole;</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 liens consisting of attachments, judgments or awards against Fiserv or any subsidiary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Fiserv or any of its subsidiaries;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 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Fiserv and its subsidiaries taken as a whole;</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 liens existing on the date of the indenture and securing indebtedness or other obligations of Fiserv or any of its subsidiaries;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 statutory liens in favor of lessors arising in connection with property leased to Fiserv or any of its subsidiaries;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liens on margin stock to the extent that a prohibition on such liens pursuant to this provision would violate Regulation U of the U.S. Federal Reserve Board, as amended;</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(j) liens on property hereafter acquired by Fiserv or any of its subsidiaries created within 270 days, with respect to the 2027 euro notes, the 2030 euro notes and the 2031 sterling notes, and 365 days, with respect to the 2031 euro notes, the 2028 euro notes, the 2032 euro notes and the 2036 euro notes,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(j));</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 liens in respect of financing leases and permitted sale-leaseback transactions;</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(l) (i) liens on the property of a person that becomes a subsidiary of Fiserv after the date hereof;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(A) such liens existed at the time such person becomes a subsidiary of Fiserv and were not created in anticipation thereof, (B) any such liens are not extended to any property of Fiserv or of any of its subsidiaries, other than the property or assets of such subsidiary, and (ii) liens on the proceeds of indebtedness incurred to finance an acquisition, investment or refinancing pursuant to customary escrow or similar arrangements to the extent such proceeds (A) secure such indebtedness or are otherwise restricted in favor of the holders of such indebtedness and (B) will be required to repay such indebtedness if such acquisition, investment or refinancing is not consummated;</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 liens on property existing at the time of acquisition thereof and not created in contemplation thereof;</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 liens (i) of a collecting bank arising under Section 4-208 of the Uniform Commercial Code on the items in the course of collection, (ii) in favor of a banking institution arising as a matter of law encumbering deposits (including the right of set off) and which are within the general parameters customary in the banking industry and (iii) on assets in order to secure defeased and/or discharged indebtedness;</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 liens securing securitized indebtedness and receivables factoring, discounting, facilities or securitizations;</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(p) any extension, renewal, refinancing, substitution or replacement (or successive extensions, renewals, refinancings, substitutions or replacements), as a whole or in part, of any of the liens referred to in paragraphs (g), (j), (l), (m) and (r) of this covenant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(q) liens on proceeds of any of the assets permitted to be the subject of any lien or assignment permitted by this covenant, </w:t>
      </w:r>
    </w:p>
    <w:p>
      <w:pPr>
        <w:pStyle w:val="TextBody"/>
        <w:bidi w:val="0"/>
        <w:spacing w:lineRule="auto" w:line="288" w:before="100" w:after="10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 with respect to the 2031 euro notes, the 2028 euro notes, the 2032 euro notes and the 2036 euro notes, 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pStyle w:val="TextBody"/>
        <w:bidi w:val="0"/>
        <w:spacing w:lineRule="auto" w:line="288" w:before="100" w:after="10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with respect to the 2031 euro notes, the 2028 euro notes, the 2032 euro notes and the 2036 euro notes, liens (i) that are contractual rights of set-off (A) relating to the establishment of depository relations with banks not given in connection with the issuance of debt, (B) relating to pooled deposit or sweep accounts to permit satisfaction of overdraft or similar obligations and other cash management activities incurred in the ordinary course of business or (C) relating to purchase orders and other agreements entered into with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or other arrangements, pursuant to which various financial institutions fund the cash requirements of automated teller machines and cash access facilities operated by us or our subsidiaries at customer locations (the “Vault Cash Operations”), in the cash provided by such institutions for such Vault Cash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 with respect to the 2031 euro notes, the 2028 euro notes, the 2032 euro notes and the 2036 euro notes, liens pursuant to the terms and conditions of any contracts between us or any subsidiary and the U.S. government; and</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(u) other liens;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without duplication, the aggregate sum of all obligations and indebtedness secured by liens incurred pursuant to this clause (u), together with the aggregate principal amount secured by liens incurred pursuant to clause (p) that extend, renew, refinance, substitute for or replace liens incurred under this clause (u)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$1,000 million, with respect to the 2027 euro notes, the 2030 euro notes and the 2031 sterling notes, $2,000 million, with respect to the 2031 euro notes, and $4,000 million, with respect to the 2028 euro notes, the 2032 euro notes and the 2036 euro notes and (ii) 15.0% of net worth as determined at the time of, and immediately after giving effect to, the incurrence of such lien based on the balance sheet for the end of the most recent quarter for which financial statements are available.</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Limitations on Sale-Leaseback Transactions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we nor any of our restricted subsidiaries may sell or transfer to any person other than Fiserv or any of its subsidiaries any principal property owned by us or any of our restricted subsidiaries with the intention of taking back a lease thereof, other than permitted sale-leaseback transactions. Our real property, improvements and fixtures are not subject to the limitations on sale-leaseback transactions described in the preceding sentence. </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Definitions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 forth below is a summary of certain of the defined terms used in the foregoing provisions. Reference is made to the indenture for the full definition of all such terms, as well as any other terms used above for which no definition is provided.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“attributable value” means, in respect of any sale-leaseback transaction,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“GAAP” means generally accepted accounting principles in the United States of America.</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The term “indebtedness” means, with respect to any person (a) all indebtedness for borrowed money,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notwithstanding anything to the contrary contained herein, for purposes of this definition, “indebtedness” shall not include (1) any intercompany indebtedness between or among Fiserv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term “net worth” means, at any date, the sum of all amounts that would be included under shareholders’ equity on a consolidated balance sheet of Fiserv and its subsidiaries determined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shd w:fill="FFFFFF" w:val="clear"/>
        </w:rPr>
        <w:t>GAAP on such date or, in the event such date is not a fiscal quarter end, as of the immediately preceding fiscal quarter end;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for purposes of calculating shareholders’ equity, any accumulated other comprehensive income or loss, in each case as reflected on such consolidated balance sheet of Fiserv and its subsidiaries determined in accordance with GAAP, shall be excluded; provided, further,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The term “permitted sale-leaseback transaction” means any sale or transfer by us or any of our restricted subsidiaries of any principal property owned by us or any of our restricted subsidiaries with the intention of taking back a lease thereof;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“permitted sale-leaseback transactions” shall not include any such transaction involving machinery and/or equipment (excluding any lease for a temporary period of not more than thirty-six months with the intent that the use of the subject machinery and/or equipment will be discontinued at or before the expiration of such period) relating to facilities (a) in full operation for more than 180 days as of the date of the indenture and (b) that are material to the business of Fiserv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clause (r) of the covenant described under “—Limitations on Liens” above, exceeds the greater of (i) $1,000 million, with respect to the 2027 euro notes, the 2030 euro notes and the 2031 sterling notes, $2,000 million, with respect to the 2031 euro notes, and $4,000 million, with respect to the 2028 euro notes, the 2032 euro notes and the 2036 euro notes and (ii) 15.0% of net worth as determined at the time of, and immediately after giving effect to, the incurrence of such transactions based on the balance sheet for the end of the most recent quarter for which financial statements are available (such greater amount, the “Applicable Threshold”). For purposes of this definition, “Applied Amounts” means an amount (which may be conclusively determined by the board of directors of Fiserv)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pStyle w:val="TextBody"/>
        <w:bidi w:val="0"/>
        <w:spacing w:lineRule="auto" w:line="288" w:before="100" w:after="1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“principal property” means the real property, fixtures, machinery and equipment relating to any facility owned by us or any restricted subsidiary, except for any facility that, in the opinion of our board of directors, is not of material importance to the business conducted by us and our subsidiaries, taken as a whole, or, with respect to the 2031 euro notes, the 2028 euro notes, the 2032 euro notes and the 2036 euro notes, has a net book value, on the date the determination of whether such property is a principal property is being made for purposes of the covenants set forth under “—Limitations on Liens” and “—Limitations on Sale-Leaseback Transactions”, of less than 2% of our net worth.</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“property” means, with respect to any person, all types of real, personal or mixed property and all types of tangible or intangible property owned or leased by such person.</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The term “restricted subsidiary” means any subsidiary of ours that constitutes a “significant subsidiary” (as such term is defined in Regulation S-X, promulgated pursuant to the Securities Act of 1933)</w:t>
      </w:r>
      <w:r>
        <w:rPr>
          <w:color w:val="000000"/>
        </w:rPr>
        <w:t xml:space="preserve"> </w:t>
      </w:r>
      <w:r>
        <w:rPr>
          <w:rFonts w:ascii="Times New Roman;serif" w:hAnsi="Times New Roman;serif"/>
          <w:b w:val="false"/>
          <w:color w:val="000000"/>
          <w:sz w:val="20"/>
          <w:shd w:fill="FFFFFF" w:val="clear"/>
        </w:rPr>
        <w:t>and, with respect to the 2031 euro notes,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“securitized indebtedness”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“subsidiary” of any person (the “parent”) means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 “FIN 46 Entity”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“Controlled” means the possession, directly or indirectly, of the power to direct or cause the direction of the management or policies of a person, whether through the ability to exercise voting power, by contract or otherwise.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“wholly owned subsidiary” of any person means (i) any corporation, association or other business entity of which 100% of the total voting power of shares of capital stock or other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(ii) any partnership, limited liability company or similar pass-through entity of which the sole partners, members or other similar persons in corresponding roles, however designated, are such person or one or more of the other subsidiaries of such person (or any combination thereof).</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otherwise expressly provided in the indenture, all accounting terms not otherwise defined in the indenture have the meanings assigned to them in accordance with GAAP as in effect on the date of the indenture, but (i) without giving effect to any election under Accounting Standards Codification 825-10-25 (or any other Accounting Standards Codification or Financial Accounting Standard having a similar result or effect) to value any indebtedness or other liabilities of Fiserv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Payment of Additional Amounts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payments made by the surviving entity under, or with respect to, the 2027 euro notes, the 2030 euro notes, the 2031 euro notes and the 2031 sterling notes, if following a transaction to which the provisions of the indenture described above under “—Merger, Consolidation and Sale of Assets” apply, the surviving entity is organized under the laws of a jurisdiction other than the United States, any state or territory thereof or the District of Columbia, and all payments made under, or with respect to, the 2028 euro notes, the 2032 euro notes and the 2036 euro notes, will be made free and clear of, and without withholding or deduction for or on account of, any present or future tax, duty, levy, impost, assessment or other governmental charge (including penalties, interest and other liabilities related thereto), which we collectively refer to as the “Taxes,” imposed or levied by or on behalf of, the jurisdiction of organization of the surviving entity or our jurisdiction of organization or tax residence (including the Republic of Ireland), as issuer or as guarantor, as applicable, or any political subdivision thereof or taxing authority therein, which we refer to as a “Taxing Jurisdiction,” unless such withholding or deduction is required by law or by the official interpretation or administration thereof.</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such withholding or deduction of any amount for, or on account of, such Taxes from any payment made under or with respect to the notes, we or the surviving entity, as applicable, will pay such additional amounts, which we refer to as “Additional Amounts,” as may be necessary so that the net amount received by each holder or beneficial owner (including Additional Amounts) after such withholding or deduction will not be less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shd w:fill="FFFFFF" w:val="clear"/>
        </w:rPr>
        <w:t>amount such holder would have received if such Taxes had not been required to be withheld or deducted;</w:t>
      </w:r>
      <w:r>
        <w:rPr>
          <w:color w:val="000000"/>
          <w:shd w:fill="FFFFFF" w:val="clear"/>
        </w:rPr>
        <w:t xml:space="preserve">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the foregoing obligation to pay Additional Amounts does not apply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 (collectively, “FATCA”) and, with respect to the 2027 euro notes, the 2030 euro notes, the 2031 euro notes and the 2031 sterling notes, any other Taxes imposed by the United States;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entity’s country of organization) or the Taxing Jurisdiction, as applicable.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are imposed or withheld by reason of the failure by the relevant holder or any beneficial owner of the notes to comply on a timely basis with a written request of us or the surviving entity, as applicable, addressed to such holder or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estate, inheritance, gift, sales, excise, transfer, personal property tax or similar tax, duty, assessment or governmental charge;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are payable other than by deduction or withholding from a payment on or in respect of the notes;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are withheld or deducted by a paying agent from a payment if the payment could have been made by another paying agent without such withholding or deduction;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are payable by any person acting as custodian bank or collecting agent on behalf of a holder, or otherwise in any manner which does not constitute a withholding or deduction by us or the surviving entity, as applicable, or any paying agent from payments made by it;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Taxes that are payable by reason of a change in law that becomes effective more than 15 days after the relevant payment becomes due and is made available for payment to the holders, unless such Taxes would have been applicable had payment been made within such 15-day period;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with respect to the 2027 euro notes, the 2030 euro notes, the 2031 euro notes and the 2031 sterling notes, any Taxes that are deducted or withheld pursuant to (i) any European Union directive or regulation concerning the taxation of interest income; (ii) any international treaty or understanding relating to such taxation and to which the Taxing Jurisdiction or the European Union is a party or (iii) any provision of law implementing, or complying with, or introduced to conform with, such directive, regulation, treaty or understanding;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any combination of the Taxes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or the surviving entity, as applicable,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Whenever reference is made in any context to the principal of, and any interest on, any note, such mention shall be deemed to include any relevant Additional Amounts to the extent that, in such context, Additional Amounts are, were or would be payable in respect of such note.</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Optional Tax Redemption</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 respect to the 2027 euro notes, the 2030 euro notes, the 2031 euro notes and the 2031 sterling notes, each series of notes may be redeemed at any time, at the surviving entity’s option, in whole but not in part, upon not less than 10 nor more than 60 days’ prior notice, at a redemption price equal to 100% of the principal amount of the notes of such series then outstanding, plus accrued and unpaid interest on the principal amount being redeemed (and any Additional Amounts) to (but excluding) the redemption date, if (i) at any time following a transaction to which the provisions of the indenture described above under “—Merger, Consolidation and Sale of Assets” apply, the surviving entity is required to pay Additional Amounts pursuant to the provisions described above under “—Payment of Additional Amounts” and, (ii) such obligation cannot be avoided by the surviving entity taking reasonable measures available to it.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mailing of any such notice of redemption pursuant to the foregoing, the surviving entity will deliver to the trustee an opinion of independent tax counsel of recognized standing to the effect that the surviving entity is or would be obligated to pay such Additional Amounts.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notice of redemption may be given earlier than 90 days prior to the earliest date on which the surviving entity would be obligated to pay Additional Amounts if a payment in respect of the relevant notes were then due.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 respect to the 2028 euro notes, the 2032 euro notes and the 2036 euro notes, each series of notes may be redeemed at any time, at our option, in whole but not in part, upon not less than 10 nor more than 60 days’ prior notice, at a redemption price equal to 100% of the principal amount of such series then outstanding, plus accrued and unpaid interest on the principal amount being redeemed (and any Additional Amounts) to (but excluding) the redemption date, if (i) as a result of any required change in or amendment to the laws (or any rules or regulations thereunder) of a Taxing Jurisdiction, or any amendment to or change in an official interpretation, administration or application of such laws, rules or regulations, which change or amendment becomes effective or, in the case of a change in official position, is announced on or after the issue date of the notes (or, if the Taxing Jurisdiction became a Taxing Jurisdiction on a later date, after such later date), we have or will become obligated to pay Additional Amounts and (ii) such obligation cannot be avoided by us taking reasonable measures to avoid it.</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Events of Default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 “event of default” with respect to each series of notes occurs if: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fail to pay interest on any of the notes of that series when due and payable and that failure continues for 30 consecutive days;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fail to pay the principal of, or premium, if any, on, any of the notes of that series at its maturity or when otherwise due;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there is a default (which shall not have been cured or waived) in the payment of any principal of or interest on any of our indebtedness for borrowed money aggregating more than $300 million, with respect to the 2027 euro notes, the 2030 euro notes, the 2031 euro notes and the 2031 sterling notes, or $500 million, with respect to the 2028 euro notes, the 2032 euro notes and the 2036 euro notes, in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principal amount, after giving effect to any applicable grace period, or in the performance of any other term or provision of any of our indebtedness in excess of $300 million, with respect to the 2027 euro notes, the 2030 euro notes, the 2031 euro notes and the 2031 sterling notes, or $500 million, with respect to the 2028 euro notes, the 2032 euro notes and the 2036 euro notes, in principal amount that results in such indebtedness becoming or being declared due and payable prior to the date on which it would otherwise become due and payable, and such acceleration is not rescinded or annulled, or such indebtedness has not been discharged, within a period of 15 consecutive days, with respect to the 2027 euro notes, the 2030 euro notes and the 2031 sterling notes, and 60 consecutive days, with respect to the 2031 euro notes, the 2028 euro notes, the 2032 euro notes and the 2036 euro notes, after there has been given written notice specifying such default as provided in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 xml:space="preserve">we fail to perform any covenant in the indenture with respect to the notes of that series and that failure continues for 60 consecutive days, with respect to the 2027 euro notes, the 2030 euro notes and the 2031 sterling notes, 90 consecutive days, with respect to the 2031 euro notes, and 30 consecutive days, with respect to the 2028 euro notes, the 2032 euro notes and the 2036 euro notes, after we receive written notice as provided in the indenture;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certain actions are taken relating to our bankruptcy, insolvency or reorganization or the bankruptcy, insolvency or reorganization of any restricted subsidiary of ours and, in certain circumstances, remain in effect for 60 consecutive days;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with respect to the 2028 euro notes, the 2032 euro notes and the 2036 euro notes, the guarantee of such notes is held in any judicial proceeding to be unenforceable or invalid or ceases for any reason to be in full force and effect, or the guarantor denies or disaffirms its obligations under its guarantee of the notes.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event of default with respect to the notes of a series occurs and continues, except for the bankruptcy, insolvency or reorganization actions referred to above, then the trustee or the holders of at least 25% in principal amount of the outstanding notes of the applicable series may require us to repay immediately the principal of, and any unpaid premium and interest on, all outstanding notes of such series. The holders of at least a majority in principal amount of the outstanding notes of the applicable series may rescind and annul that acceleration if all events of default with respect to the notes of that series, other than the nonpayment of accelerated principal, have been cured or waived as provided in the indenture. An event of default arising from the bankruptcy, insolvency or reorganization actions referred to above shall cause the principal of, and any unpaid premium and interest on, all notes to become immediately due and payable without any declaration or other act by the trustee, the holders of the notes or any other party.</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trustee is not obligated to exercise any of its rights or powers under the indenture at the request or direction of any holder of notes, unless the holders offer reasonable indemnity to the trustee. If the holders offer reasonable indemnity to the trustee, then the holders of at least a majority in principal amount of the outstanding notes of an applicable series will have the right, subject to some limitations, to direct the time, method and place of conducting any proceeding for any remedy available to the trustee or exercising any trust or power conferred on the trustee with respect to the notes of that series.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holder of any note of a series will have any right to institute any proceeding with respect to the indenture or for any remedy under the indenture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the holder has previously given to the trustee written notice of a continuing event of default with respect to the notes of that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the holders of at least 25% in principal amount of the outstanding notes of that series have made a written request, and offered reasonable indemnity, to the trustee to institute a proceeding as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the trustee has failed to institute the requested proceeding within 60 consecutive days after receipt of such notice;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the trustee has not received from the holders of at least a majority in principal amount of the outstanding notes of that series a direction inconsistent with the request during that 60-day period.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However, the holder of any note will have the absolute and unconditional right to receive payment of the principal of, and premium, if any, and interest on, that note as expressed therein, and to institute suit for the enforcement of any such payment.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required to furnish to the trustee annually within 120 days after the end of Fiserv’s fiscal year a statement as to the absence of some defaults under the indenture. Within 30 days after the occurrence of an event of default of which the trustee has received actual notice in accordance with the applicable indenture, the trustee shall give notice of such event of default to the holders of the notes, except that, in the case of a default other than a payment default, the trustee may withhold notice if the trustee determines that withholding notice is in the interest of the holders.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Modification, Amendment and Waiver</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We, together with the trustee, may modify or amend the indentures and the terms of the notes of a series with the consent of the holders of at least a majority in principal amount of the outstanding notes of such series; </w:t>
      </w:r>
      <w:r>
        <w:rPr>
          <w:rFonts w:ascii="Times New Roman;serif" w:hAnsi="Times New Roman;serif"/>
          <w:b w:val="false"/>
          <w:i/>
          <w:color w:val="000000"/>
          <w:sz w:val="20"/>
          <w:shd w:fill="FFFFFF" w:val="clear"/>
        </w:rPr>
        <w:t>provided</w:t>
      </w:r>
      <w:r>
        <w:rPr>
          <w:color w:val="000000"/>
          <w:shd w:fill="FFFFFF" w:val="clear"/>
        </w:rPr>
        <w:t> </w:t>
      </w:r>
      <w:r>
        <w:rPr>
          <w:rFonts w:ascii="Times New Roman;serif" w:hAnsi="Times New Roman;serif"/>
          <w:b w:val="false"/>
          <w:color w:val="000000"/>
          <w:sz w:val="20"/>
          <w:shd w:fill="FFFFFF" w:val="clear"/>
        </w:rPr>
        <w:t>that no modification or amendment may, without the consent of each affected holder of the notes of the affected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change the stated maturity of the principal of, or any installment of interest on, any note;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reduce the principal of, or rate of interest on, any note;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reduce any amount payable upon the redemption or purchase at the option of the holder of any note;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change any place of payment where, or the currency in which, any principal of, or premium, if any, or interest on, any note is payable;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impair the right to institute suit for the enforcement of any payment on or with respect to any note on or after the stated maturity or redemption date;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reduce the percentage in principal amount of outstanding notes the consent of whose holders is required for modification or amendment of the indenture, for waiver of compliance with certain provisions of the indenture or for waiver of certain defaults.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at least a majority in principal amount of the outstanding notes of a series may, on behalf of the holders of all notes of that series, waive any past default under the indenture and its consequences, except a default in the payment of the principal of, or premium, if any, or interest on, any notes or in respect of a covenant or provision that under the indenture cannot be modified or amended without the consent of each holder of that series. In addition, the holders of at least a majority in principal amount of the outstanding notes of a series may, on behalf of the holders of all notes of that series, waive compliance with any other provision of the indenture or the notes, including compliance with our covenants described above under “—Covenants—Limitations on Liens” and “—Covenants—Limitations on Sale-Leaseback Transactions.”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together with the trustee, may modify or amend the indentures and the terms of the notes without seeking the consent of any holders of the notes to:</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allow our successor to assume our obligations under the indentures, the notes and, if applicable, the guarantees pursuant to the provisions described above under the heading “—Covenants—Merger, Consolidation and Sale of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add to our covenants for the benefit of the holders of the notes or the trustee, paying agent, security registrar or other agent or similar person or surrender any right or power we have under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add any additional events of default;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add to or change any provisions of the indenture to the extent necessary to permit or facilitate the issuance of notes in bearer form or in uncertificated form;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with respect to the 2031 euro notes, the 2028 euro notes, the 2032 euro notes and the 2036 euro notes, amend or supplement any provision contained in the indenture or in any supplemental indentures to the extent such amendment or supplement does not apply to any outstanding notes or guarantees issued prior to the date of such amendment or supplement and entitled to the benefits of such provision;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secure the notes or the guarantees and provide for the terms of the release of such security;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add guarantees with respect to our obligations under the notes and provide for the terms of the release of such guarantees;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provide for a successor trustee or paying agent with respect to the notes or otherwise change any of the provisions of the indenture as shall be necessary to provide for or facilitate the administration of the trusts thereunder by more than one trustee or paying agent;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provide for the issuance of additional notes to the extent permitted under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provide for a co-issuer with respect to the notes;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cure any ambiguity, omission, defect or inconsistency, as determined in good faith by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conform the indenture to the description of the notes contained in the prospectus supplement and in the accompanying prospectus pursuant to which the notes were offered;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comply with the rules and regulations of Euroclear, Clearstream or any other clearing system and the rules and regulations of any securities exchange or automated quotation system on which the notes may be listed or traded;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make any other amendment or supplement to the indenture as long as that amendment or supplement does not adversely affect the rights of the holders of any notes in any material respect, as determined in good faith by us.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amendment or supplement to the indenture made solely to conform the indenture to the description of the notes contained in the prospectus supplement and in the accompanying prospectus pursuant to which the notes were offered will be deemed to adversely affect the interests of the holders of the notes.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Defeasance, Covenant Defeasance and Satisfaction and Discharge</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Except as prohibited by the indenture, if we deposit with the trustee sufficient money or government obligations, or both, to pay the principal of, and premium, if any, and interest on, the notes on the scheduled due dates therefor, then at our option we may be discharged from certain of our obligations with respect to the notes and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guarantees, as applicable, or elect that our failure to comply with certain restrictive covenants, including those described in “—Covenants—Merger, Consolidation and Sale of Assets,” “—Covenants—Limitations on Liens,” and “—Covenants—Limitations on Sale-Leaseback Transactions” will not be deemed to be or result in an event of default under the applicable indenture governing the notes.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indenture will be discharged and will cease to be of further effect as to any series of notes (except as to any surviving rights expressly provided for in the indenture) when: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either:</w:t>
      </w:r>
    </w:p>
    <w:p>
      <w:pPr>
        <w:pStyle w:val="TextBody"/>
        <w:bidi w:val="0"/>
        <w:spacing w:lineRule="auto" w:line="288" w:before="0" w:after="240"/>
        <w:ind w:left="0" w:right="0" w:hanging="360"/>
        <w:jc w:val="left"/>
        <w:rPr/>
      </w:pPr>
      <w:r>
        <w:rPr>
          <w:rFonts w:ascii="Courier New;serif" w:hAnsi="Courier New;serif"/>
          <w:b w:val="false"/>
          <w:color w:val="000000"/>
          <w:sz w:val="20"/>
        </w:rPr>
        <w:t>o</w:t>
      </w:r>
      <w:r>
        <w:rPr>
          <w:rFonts w:ascii="Times New Roman;serif" w:hAnsi="Times New Roman;serif"/>
          <w:b w:val="false"/>
          <w:color w:val="000000"/>
          <w:sz w:val="20"/>
          <w:shd w:fill="FFFFFF" w:val="clear"/>
        </w:rPr>
        <w:t>all notes of such series that have been authenticated (except lost, stolen or destroyed notes of such series that have been replaced or paid and notes of such series for whose payment money has theretofore been deposited in trust and thereafter repaid to us) have been delivered to the trustee for cancellation; or</w:t>
      </w:r>
    </w:p>
    <w:p>
      <w:pPr>
        <w:pStyle w:val="TextBody"/>
        <w:bidi w:val="0"/>
        <w:spacing w:lineRule="auto" w:line="288" w:before="0" w:after="240"/>
        <w:ind w:left="0" w:right="0" w:hanging="360"/>
        <w:jc w:val="left"/>
        <w:rPr/>
      </w:pPr>
      <w:r>
        <w:rPr>
          <w:rFonts w:ascii="Courier New;serif" w:hAnsi="Courier New;serif"/>
          <w:b w:val="false"/>
          <w:color w:val="000000"/>
          <w:sz w:val="20"/>
        </w:rPr>
        <w:t>o</w:t>
      </w:r>
      <w:r>
        <w:rPr>
          <w:rFonts w:ascii="Times New Roman;serif" w:hAnsi="Times New Roman;serif"/>
          <w:b w:val="false"/>
          <w:color w:val="000000"/>
          <w:sz w:val="20"/>
          <w:shd w:fill="FFFFFF" w:val="clear"/>
        </w:rPr>
        <w:t>all notes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or a paying agent as trust funds euro, sterling, U.S. dollars or government obligations in an amount sufficient, to pay the entire indebtedness of such notes not delivered to the trustee for cancellation, for principal, premium, if any, and accrued interest to the stated maturity or redemption date;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have paid or caused to be paid all other sums payable by us in respect of such series of notes under the indenture and in respect of our guarantee of such notes, if applicable;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with respect to the 2028 euro notes, the 2032 euro notes and the 2036 euro notes, we have delivered irrevocable written instructions to the trustee under the indenture to apply the deposited money toward the payment of the notes in accordance with the indenture;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we have delivered an officers’ certificate and an opinion of counsel to the trustee stating that we have satisfied all conditions precedent to satisfaction and discharge of the indenture with respect to such series of notes.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the notes, “government obligations” means (i) with respect to the euro notes, securities denominated in euro that are (A) direct obligations of the Federal Republic of Germany or any country that is a member of the European Economic and Monetary Union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Economic and Monetary Union, or (B) obligations of a person controlled or supervised by and acting as an agency or instrumentality of the Federal Republic of Germany or such other member of the European Economic and Monetary Union, the payments of which are unconditionally guaranteed as a full faith and credit obligation of the German government or such other member of the European Economic and Monetary Union; and (ii) with respect to the sterling notes, securities denominated in GBP, that are (A) direct obligations of the United Kingdom, the payments of which are supported by the full faith and credit of the United Kingdom, or (B) obligations of a person controlled or supervised by and acting as an agency or instrumentality of the United Kingdom, the payments of which are unconditionally guaranteed as a full faith and credit obligation of the United Kingdom.</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 respect to the 2028 euro notes, the 2032 euro notes and the 2036 euro notes, if covenant defeasance is elected with respect to such notes, (i) the guarantees will be released and (ii) the covenants described under “—Purchase of Notes upon a Change of Control Triggering Event,” “—Covenants—Limitations on Liens” and “—Covenants—Limitations on Sale-Leaseback Transactions” will cease to apply to such notes.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Trustee and Paying Agent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trustee under the indenture is U.S. Bank Trust Company, National Association (as successor in interest to U.S. Bank National Association) and Elavon Financial Services DAC, with respect to the 2027 euro notes, the 2030 euro notes, the 2031 euro notes and the 2031 sterling notes, and U.S. Bank Europe DAC, with respect to the 2028 euro notes, the 2032 euro notes and the 2036 euro notes, acts as our paying agent with respect to the notes, subject, in each case, to replacement upon certain events specified in the indenture and the paying agency agreement. The notes may be exchanged or transferred, subject to and upon satisfaction of the terms and conditions set forth in the indenture, at the office or agency maintained for such purpose, initially the corporate trust office of the trustee in Milwaukee, Wisconsin.</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Governing Law</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and the indenture are governed by, and construed in accordance with, the laws of the State of New York.</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Book-Entry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were issued in book-entry form and are represented by global notes deposited with, or on behalf of, a common depositary on behalf of Euroclear and Clearstream, and are registered in the name of the common depositary or its nominee. Except as described herein, certificated notes will not be issued in exchange for beneficial interests in the global notes.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laws of some jurisdictions may require that some purchasers of securities take physical delivery of securities in definitive form. These laws may impair the ability to transfer beneficial interests in the notes so long as the notes are represented by global notes.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Certificated Notes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RESTRICTED STOCK UNIT AWARD MEMORANDUM –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NON-EMPLOYEE DIRECTOR</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04"/>
        <w:gridCol w:w="618"/>
        <w:gridCol w:w="619"/>
        <w:gridCol w:w="109"/>
        <w:gridCol w:w="109"/>
        <w:gridCol w:w="109"/>
        <w:gridCol w:w="2647"/>
        <w:gridCol w:w="2244"/>
        <w:gridCol w:w="3046"/>
      </w:tblGrid>
      <w:tr>
        <w:trPr/>
        <w:tc>
          <w:tcPr>
            <w:tcW w:w="70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Non-Employee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[FIRST NAME] [LAST NAME]</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[GRANT DATE]</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Number of Shares Subject to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[NUMBER OF SHARES]</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Vesting Schedule: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This Award will vest, and the Shares subject to this Award will be issued (subject to any deferral election made pursuant to Section 4), on the earlier of: (a) the first anniversary of the Grant Date; or (b) immediately prior to the first annual meeting of shareholders of the Company that occurs in the year following the year of the Grant Date.</w:t>
            </w:r>
          </w:p>
        </w:tc>
      </w:tr>
    </w:tbl>
    <w:p>
      <w:pPr>
        <w:pStyle w:val="TextBody"/>
        <w:bidi w:val="0"/>
        <w:spacing w:before="157" w:after="283"/>
        <w:jc w:val="left"/>
        <w:rPr/>
      </w:pPr>
      <w:r>
        <w:rPr/>
      </w:r>
    </w:p>
    <w:p>
      <w:pPr>
        <w:pStyle w:val="TextBody"/>
        <w:bidi w:val="0"/>
        <w:spacing w:lineRule="auto" w:line="288" w:before="157" w:after="283"/>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Restricted Stock Unit Agreement (Non-Employee Director). As a condition to your receipt of any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before="157"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RESTRICTED STOCK UNIT AWARD AGREEMENT - </w:t>
      </w:r>
    </w:p>
    <w:p>
      <w:pPr>
        <w:pStyle w:val="TextBody"/>
        <w:bidi w:val="0"/>
        <w:spacing w:lineRule="auto" w:line="288" w:before="0" w:after="0"/>
        <w:jc w:val="center"/>
        <w:rPr/>
      </w:pPr>
      <w:r>
        <w:rPr>
          <w:rFonts w:ascii="Arial;sans-serif" w:hAnsi="Arial;sans-serif"/>
          <w:b/>
          <w:color w:val="000000"/>
          <w:sz w:val="20"/>
          <w:u w:val="single"/>
        </w:rPr>
        <w:t>NON-EMPLOYEE DIRECTOR</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157" w:after="283"/>
        <w:jc w:val="left"/>
        <w:rPr/>
      </w:pPr>
      <w:r>
        <w:rPr>
          <w:color w:val="000000"/>
        </w:rPr>
        <w:t>    </w:t>
      </w: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an award of Restricted Stock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such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288" w:before="200" w:after="283"/>
        <w:jc w:val="left"/>
        <w:rPr>
          <w:color w:val="000000"/>
        </w:rPr>
      </w:pPr>
      <w:r>
        <w:rPr>
          <w:color w:val="000000"/>
        </w:rPr>
        <w:t>    </w:t>
      </w:r>
      <w:r>
        <w:rPr>
          <w:rFonts w:ascii="Arial;sans-serif" w:hAnsi="Arial;sans-serif"/>
          <w:b w:val="false"/>
          <w:color w:val="000000"/>
          <w:sz w:val="20"/>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pStyle w:val="TextBody"/>
        <w:bidi w:val="0"/>
        <w:spacing w:lineRule="auto" w:line="288" w:before="200" w:after="283"/>
        <w:ind w:left="0" w:right="0" w:hanging="360"/>
        <w:jc w:val="left"/>
        <w:rPr/>
      </w:pPr>
      <w:r>
        <w:rPr>
          <w:rFonts w:ascii="Arial;sans-serif" w:hAnsi="Arial;sans-serif"/>
          <w:b w:val="false"/>
          <w:color w:val="000000"/>
          <w:sz w:val="20"/>
        </w:rPr>
        <w:t>1.</w:t>
      </w:r>
      <w:r>
        <w:rPr>
          <w:rFonts w:ascii="Arial;sans-serif" w:hAnsi="Arial;sans-serif"/>
          <w:b/>
          <w:color w:val="000000"/>
          <w:sz w:val="20"/>
          <w:u w:val="single"/>
        </w:rPr>
        <w:t>Grant Date</w:t>
      </w:r>
      <w:r>
        <w:rPr>
          <w:rFonts w:ascii="Arial;sans-serif" w:hAnsi="Arial;sans-serif"/>
          <w:b/>
          <w:color w:val="000000"/>
          <w:sz w:val="20"/>
        </w:rPr>
        <w:t xml:space="preserve">. </w:t>
      </w:r>
      <w:r>
        <w:rPr>
          <w:rFonts w:ascii="Arial;sans-serif" w:hAnsi="Arial;sans-serif"/>
          <w:b w:val="false"/>
          <w:color w:val="000000"/>
          <w:sz w:val="20"/>
        </w:rPr>
        <w:t>The Award is granted to you on the Grant Date set forth in the Award Memorandum.</w:t>
      </w:r>
    </w:p>
    <w:p>
      <w:pPr>
        <w:pStyle w:val="TextBody"/>
        <w:bidi w:val="0"/>
        <w:spacing w:lineRule="auto" w:line="288" w:before="200" w:after="283"/>
        <w:ind w:left="0" w:right="0" w:hanging="360"/>
        <w:jc w:val="left"/>
        <w:rPr/>
      </w:pPr>
      <w:r>
        <w:rPr>
          <w:rFonts w:ascii="Arial;sans-serif" w:hAnsi="Arial;sans-serif"/>
          <w:b w:val="false"/>
          <w:color w:val="000000"/>
          <w:sz w:val="20"/>
        </w:rPr>
        <w:t>2.</w:t>
      </w:r>
      <w:r>
        <w:rPr>
          <w:color w:val="000000"/>
        </w:rPr>
        <w:t>    </w:t>
      </w:r>
      <w:r>
        <w:rPr>
          <w:rFonts w:ascii="Arial;sans-serif" w:hAnsi="Arial;sans-serif"/>
          <w:b/>
          <w:color w:val="000000"/>
          <w:sz w:val="20"/>
          <w:u w:val="single"/>
        </w:rPr>
        <w:t>Vesting Provisions.</w:t>
      </w:r>
      <w:r>
        <w:rPr>
          <w:color w:val="000000"/>
        </w:rPr>
        <w:t xml:space="preserve"> </w:t>
      </w:r>
      <w:r>
        <w:rPr>
          <w:rFonts w:ascii="Arial;sans-serif" w:hAnsi="Arial;sans-serif"/>
          <w:b w:val="false"/>
          <w:color w:val="000000"/>
          <w:sz w:val="20"/>
        </w:rPr>
        <w:t>Provided you are serving on the Company’s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xml:space="preserve">) on such date, this Award will vest as indicated in the Award Memorandum. </w:t>
      </w:r>
    </w:p>
    <w:p>
      <w:pPr>
        <w:pStyle w:val="TextBody"/>
        <w:bidi w:val="0"/>
        <w:spacing w:lineRule="auto" w:line="288" w:before="200" w:after="283"/>
        <w:ind w:left="0" w:right="0" w:hanging="360"/>
        <w:jc w:val="left"/>
        <w:rPr/>
      </w:pPr>
      <w:r>
        <w:rPr>
          <w:rFonts w:ascii="Arial;sans-serif" w:hAnsi="Arial;sans-serif"/>
          <w:b w:val="false"/>
          <w:color w:val="000000"/>
          <w:sz w:val="20"/>
        </w:rPr>
        <w:t>3.</w:t>
      </w:r>
      <w:r>
        <w:rPr>
          <w:color w:val="000000"/>
        </w:rPr>
        <w:t>    </w:t>
      </w:r>
      <w:r>
        <w:rPr>
          <w:rFonts w:ascii="Arial;sans-serif" w:hAnsi="Arial;sans-serif"/>
          <w:b/>
          <w:color w:val="000000"/>
          <w:sz w:val="20"/>
          <w:u w:val="single"/>
        </w:rPr>
        <w:t>Termination of Award.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    Your Award shall terminate in all events on the earlier of (i) the date upon which vesting is no longer permitted pursuant to subsection 3(b) of this Agreement or (ii) your failure to accept the terms of this Agreement, the Award Memorandum and the Plan within the time period and in the manner specified in this Agreement.</w:t>
      </w:r>
    </w:p>
    <w:p>
      <w:pPr>
        <w:pStyle w:val="TextBody"/>
        <w:bidi w:val="0"/>
        <w:spacing w:lineRule="auto" w:line="288" w:before="200" w:after="283"/>
        <w:ind w:left="0" w:right="0" w:hanging="360"/>
        <w:jc w:val="left"/>
        <w:rPr/>
      </w:pPr>
      <w:r>
        <w:rPr>
          <w:rFonts w:ascii="Arial;sans-serif" w:hAnsi="Arial;sans-serif"/>
          <w:b w:val="false"/>
          <w:color w:val="000000"/>
          <w:sz w:val="20"/>
        </w:rPr>
        <w:t>(b) In the event of your resignation, removal, or other termination from the Board (a “</w:t>
      </w:r>
      <w:r>
        <w:rPr>
          <w:rFonts w:ascii="Arial;sans-serif" w:hAnsi="Arial;sans-serif"/>
          <w:b w:val="false"/>
          <w:color w:val="000000"/>
          <w:sz w:val="20"/>
          <w:u w:val="single"/>
        </w:rPr>
        <w:t>Termination</w:t>
      </w:r>
      <w:r>
        <w:rPr>
          <w:color w:val="000000"/>
        </w:rPr>
        <w:t>”</w:t>
      </w:r>
      <w:r>
        <w:rPr>
          <w:rFonts w:ascii="Arial;sans-serif" w:hAnsi="Arial;sans-serif"/>
          <w:b w:val="false"/>
          <w:color w:val="000000"/>
          <w:sz w:val="20"/>
        </w:rPr>
        <w:t xml:space="preserve">) for any reason before the Award vests, the Award will terminate and you will have no right to receive any Shares hereunder;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in the event of your Termination by reason of death or Disability, this Award will vest in full; and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further</w:t>
      </w:r>
      <w:r>
        <w:rPr>
          <w:rFonts w:ascii="Arial;sans-serif" w:hAnsi="Arial;sans-serif"/>
          <w:b w:val="false"/>
          <w:color w:val="000000"/>
          <w:sz w:val="20"/>
        </w:rPr>
        <w:t xml:space="preserve">, that the Board may in its sole discretion accelerate the vesting of this Award, in whole or part, in the event of your Termination by any reason other than death.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(c)    If a Change of Control of the Company occurs, the provisions of Section 17(c) of the Plan shall apply to this Award.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(d) The Company will have no further obligations to you under this Award if the Award terminates as provided herein. </w:t>
      </w:r>
    </w:p>
    <w:p>
      <w:pPr>
        <w:pStyle w:val="TextBody"/>
        <w:bidi w:val="0"/>
        <w:spacing w:lineRule="auto" w:line="288" w:before="200" w:after="283"/>
        <w:ind w:left="0" w:right="0" w:hanging="360"/>
        <w:jc w:val="left"/>
        <w:rPr/>
      </w:pPr>
      <w:r>
        <w:rPr>
          <w:rFonts w:ascii="Arial;sans-serif" w:hAnsi="Arial;sans-serif"/>
          <w:b w:val="false"/>
          <w:color w:val="000000"/>
          <w:sz w:val="20"/>
        </w:rPr>
        <w:t>4.       </w:t>
      </w:r>
      <w:r>
        <w:rPr>
          <w:rFonts w:ascii="Arial;sans-serif" w:hAnsi="Arial;sans-serif"/>
          <w:b/>
          <w:color w:val="000000"/>
          <w:sz w:val="20"/>
          <w:u w:val="single"/>
        </w:rPr>
        <w:t>Deferral</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You may elect, no later than the date set forth in the deferral election form for the Award, to defer all or any portion (in 25% increments) of the number of Shares that would otherwise be issued pursuant to this Award. Such deferred Shares will be credited to the Deferred Compensation Plan for Non-Employee Directors of Fiserv, Inc. (the “</w:t>
      </w:r>
      <w:r>
        <w:rPr>
          <w:rFonts w:ascii="Arial;sans-serif" w:hAnsi="Arial;sans-serif"/>
          <w:b w:val="false"/>
          <w:color w:val="000000"/>
          <w:sz w:val="20"/>
          <w:u w:val="single"/>
        </w:rPr>
        <w:t>Deferred Compensation Plan</w:t>
      </w:r>
      <w:r>
        <w:rPr>
          <w:color w:val="000000"/>
        </w:rPr>
        <w:t>”</w:t>
      </w:r>
      <w:r>
        <w:rPr>
          <w:rFonts w:ascii="Arial;sans-serif" w:hAnsi="Arial;sans-serif"/>
          <w:b w:val="false"/>
          <w:color w:val="000000"/>
          <w:sz w:val="20"/>
        </w:rPr>
        <w:t xml:space="preserve">) at the time they would have otherwise been issued to you, and will thereafter be subject to all of the terms and conditions of the Deferred Compensation Plan. </w:t>
      </w:r>
    </w:p>
    <w:p>
      <w:pPr>
        <w:pStyle w:val="TextBody"/>
        <w:bidi w:val="0"/>
        <w:spacing w:lineRule="auto" w:line="288" w:before="200" w:after="283"/>
        <w:ind w:left="0" w:right="0" w:hanging="360"/>
        <w:jc w:val="left"/>
        <w:rPr/>
      </w:pPr>
      <w:r>
        <w:rPr>
          <w:rFonts w:ascii="Arial;sans-serif" w:hAnsi="Arial;sans-serif"/>
          <w:b w:val="false"/>
          <w:color w:val="000000"/>
          <w:sz w:val="20"/>
        </w:rPr>
        <w:t>5.      </w:t>
      </w:r>
      <w:r>
        <w:rPr>
          <w:rFonts w:ascii="Arial;sans-serif" w:hAnsi="Arial;sans-serif"/>
          <w:b/>
          <w:color w:val="000000"/>
          <w:sz w:val="20"/>
          <w:u w:val="single"/>
        </w:rPr>
        <w:t>Issuance of Shares</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 xml:space="preserve">Subject to Section 4, the Company, or its transfer agent, will issue and deliver the Shares to you as soon as practicable after the Award vests. If you die before the Company has distributed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pPr>
      <w:r>
        <w:rPr>
          <w:rFonts w:ascii="Arial;sans-serif" w:hAnsi="Arial;sans-serif"/>
          <w:b w:val="false"/>
          <w:color w:val="000000"/>
          <w:sz w:val="20"/>
        </w:rPr>
        <w:t>state laws, and/or (c) the rules, regulations and other requirements of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or any stock exchange upon which the Shares are listed. The Company may cause an appropriate book entry notation to be made with respect to the Shares to reference any of the foregoing restrictions.</w:t>
      </w:r>
    </w:p>
    <w:p>
      <w:pPr>
        <w:pStyle w:val="TextBody"/>
        <w:bidi w:val="0"/>
        <w:spacing w:lineRule="auto" w:line="288" w:before="200" w:after="283"/>
        <w:ind w:left="0" w:right="0" w:hanging="360"/>
        <w:jc w:val="left"/>
        <w:rPr/>
      </w:pPr>
      <w:r>
        <w:rPr>
          <w:rFonts w:ascii="Arial;sans-serif" w:hAnsi="Arial;sans-serif"/>
          <w:b w:val="false"/>
          <w:color w:val="000000"/>
          <w:sz w:val="20"/>
        </w:rPr>
        <w:t xml:space="preserve">6.    </w:t>
      </w:r>
      <w:r>
        <w:rPr>
          <w:rFonts w:ascii="Arial;sans-serif" w:hAnsi="Arial;sans-serif"/>
          <w:b/>
          <w:color w:val="000000"/>
          <w:sz w:val="20"/>
          <w:u w:val="single"/>
        </w:rPr>
        <w:t>Non-Transferability of Award.</w:t>
      </w:r>
      <w:r>
        <w:rPr>
          <w:color w:val="00000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the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288" w:before="200" w:after="283"/>
        <w:ind w:left="0" w:right="0" w:hanging="360"/>
        <w:jc w:val="left"/>
        <w:rPr/>
      </w:pPr>
      <w:r>
        <w:rPr>
          <w:rFonts w:ascii="Arial;sans-serif" w:hAnsi="Arial;sans-serif"/>
          <w:b w:val="false"/>
          <w:color w:val="000000"/>
          <w:sz w:val="20"/>
        </w:rPr>
        <w:t>7.       </w:t>
      </w:r>
      <w:r>
        <w:rPr>
          <w:rFonts w:ascii="Arial;sans-serif" w:hAnsi="Arial;sans-serif"/>
          <w:b/>
          <w:color w:val="000000"/>
          <w:sz w:val="20"/>
          <w:u w:val="single"/>
        </w:rPr>
        <w:t>Conditions to Issuance of Shares</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 xml:space="preserve">The Company shall not be required to issue any certificate or certificates for Shares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as the Committee may establish from time to time for reasons of administrative convenience; and (e) your acceptance of the terms and conditions of this Agreement, the Award Memorandum and the Plan within the time period and in the manner specified in this Agreement. </w:t>
      </w:r>
    </w:p>
    <w:p>
      <w:pPr>
        <w:pStyle w:val="TextBody"/>
        <w:bidi w:val="0"/>
        <w:spacing w:lineRule="auto" w:line="288" w:before="200" w:after="283"/>
        <w:ind w:left="0" w:right="0" w:hanging="360"/>
        <w:jc w:val="left"/>
        <w:rPr/>
      </w:pPr>
      <w:r>
        <w:rPr>
          <w:rFonts w:ascii="Arial;sans-serif" w:hAnsi="Arial;sans-serif"/>
          <w:b w:val="false"/>
          <w:color w:val="000000"/>
          <w:sz w:val="20"/>
        </w:rPr>
        <w:t>8.       </w:t>
      </w:r>
      <w:r>
        <w:rPr>
          <w:rFonts w:ascii="Arial;sans-serif" w:hAnsi="Arial;sans-serif"/>
          <w:b/>
          <w:color w:val="000000"/>
          <w:sz w:val="20"/>
          <w:u w:val="single"/>
        </w:rPr>
        <w:t>Dividends; No Rights as Shareholder</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 xml:space="preserve">If the Company declares a cash dividend and the dividend record date occurs after the Grant Date and prior to the 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8, the right to receive dividends or any other distributions paid with respect to shares of Company common stock by virtue of this Award or the Shares subject hereto. </w:t>
      </w:r>
    </w:p>
    <w:p>
      <w:pPr>
        <w:pStyle w:val="TextBody"/>
        <w:bidi w:val="0"/>
        <w:spacing w:lineRule="auto" w:line="288" w:before="200" w:after="283"/>
        <w:ind w:left="0" w:right="0" w:hanging="360"/>
        <w:jc w:val="left"/>
        <w:rPr/>
      </w:pPr>
      <w:r>
        <w:rPr>
          <w:rFonts w:ascii="Arial;sans-serif" w:hAnsi="Arial;sans-serif"/>
          <w:b w:val="false"/>
          <w:color w:val="000000"/>
          <w:sz w:val="20"/>
        </w:rPr>
        <w:t>9.    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the Director shall be addressed to the Director at the address set forth in the Company’s records from time to time, or at such other address for the Director maintained on the books and records of the Company. </w:t>
      </w:r>
    </w:p>
    <w:p>
      <w:pPr>
        <w:pStyle w:val="TextBody"/>
        <w:bidi w:val="0"/>
        <w:spacing w:lineRule="auto" w:line="288" w:before="200" w:after="283"/>
        <w:ind w:left="0" w:right="0" w:hanging="360"/>
        <w:jc w:val="left"/>
        <w:rPr/>
      </w:pPr>
      <w:r>
        <w:rPr>
          <w:rFonts w:ascii="Arial;sans-serif" w:hAnsi="Arial;sans-serif"/>
          <w:b w:val="false"/>
          <w:color w:val="000000"/>
          <w:sz w:val="20"/>
        </w:rPr>
        <w:t>10.     </w:t>
      </w:r>
      <w:r>
        <w:rPr>
          <w:rFonts w:ascii="Arial;sans-serif" w:hAnsi="Arial;sans-serif"/>
          <w:b/>
          <w:color w:val="000000"/>
          <w:sz w:val="20"/>
          <w:u w:val="single"/>
        </w:rPr>
        <w:t>Captions; Agreement Severable</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 xml:space="preserve">Captions provided herein are for convenience only and are not to serve as a basis for 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pPr>
      <w:r>
        <w:rPr>
          <w:rFonts w:ascii="Arial;sans-serif" w:hAnsi="Arial;sans-serif"/>
          <w:b w:val="false"/>
          <w:color w:val="000000"/>
          <w:sz w:val="20"/>
        </w:rPr>
        <w:t>11.    </w:t>
      </w:r>
      <w:r>
        <w:rPr>
          <w:rFonts w:ascii="Arial;sans-serif" w:hAnsi="Arial;sans-serif"/>
          <w:b/>
          <w:color w:val="000000"/>
          <w:sz w:val="20"/>
          <w:u w:val="single"/>
        </w:rPr>
        <w:t>Securities and Tax Representations</w:t>
      </w:r>
      <w:r>
        <w:rPr>
          <w:rFonts w:ascii="Arial;sans-serif" w:hAnsi="Arial;sans-serif"/>
          <w:b w:val="false"/>
          <w:color w:val="000000"/>
          <w:sz w:val="20"/>
          <w:u w:val="single"/>
        </w:rPr>
        <w:t>.</w:t>
      </w:r>
      <w:r>
        <w:rPr>
          <w:color w:val="000000"/>
        </w:rPr>
        <w:t xml:space="preserve">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    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    You represent and warrant that you understand the federal, state and local income tax consequences associated with this Award, including the sale or other disposition of any Shares acquired hereunder. Unless required by law, the Company will not withhold any federal, state or local income taxes in connection with the Shares. You will be solely responsible for any tax liability associated with this Award and the Shares issued hereunder.</w:t>
      </w:r>
    </w:p>
    <w:p>
      <w:pPr>
        <w:pStyle w:val="TextBody"/>
        <w:bidi w:val="0"/>
        <w:spacing w:lineRule="auto" w:line="288" w:before="200" w:after="283"/>
        <w:ind w:left="0" w:right="0" w:hanging="360"/>
        <w:jc w:val="left"/>
        <w:rPr/>
      </w:pPr>
      <w:r>
        <w:rPr>
          <w:rFonts w:ascii="Arial;sans-serif" w:hAnsi="Arial;sans-serif"/>
          <w:b w:val="false"/>
          <w:color w:val="000000"/>
          <w:sz w:val="20"/>
        </w:rPr>
        <w:t>12.    </w:t>
      </w:r>
      <w:r>
        <w:rPr>
          <w:rFonts w:ascii="Arial;sans-serif" w:hAnsi="Arial;sans-serif"/>
          <w:b/>
          <w:color w:val="000000"/>
          <w:sz w:val="20"/>
          <w:u w:val="single"/>
        </w:rPr>
        <w:t>Market Stand-Off</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pStyle w:val="TextBody"/>
        <w:bidi w:val="0"/>
        <w:spacing w:lineRule="auto" w:line="288" w:before="200" w:after="283"/>
        <w:ind w:left="0" w:right="0" w:hanging="360"/>
        <w:jc w:val="left"/>
        <w:rPr/>
      </w:pPr>
      <w:r>
        <w:rPr>
          <w:rFonts w:ascii="Arial;sans-serif" w:hAnsi="Arial;sans-serif"/>
          <w:b w:val="false"/>
          <w:color w:val="000000"/>
          <w:sz w:val="20"/>
        </w:rPr>
        <w:t>13.  </w:t>
      </w:r>
      <w:r>
        <w:rPr>
          <w:rFonts w:ascii="Arial;sans-serif" w:hAnsi="Arial;sans-serif"/>
          <w:b/>
          <w:color w:val="000000"/>
          <w:sz w:val="20"/>
          <w:u w:val="single"/>
        </w:rPr>
        <w:t>General Provisions</w:t>
      </w:r>
      <w:r>
        <w:rPr>
          <w:rFonts w:ascii="Arial;sans-serif" w:hAnsi="Arial;sans-serif"/>
          <w:b w:val="false"/>
          <w:color w:val="000000"/>
          <w:sz w:val="20"/>
          <w:u w:val="single"/>
        </w:rPr>
        <w:t>.</w:t>
      </w:r>
      <w:r>
        <w:rPr>
          <w:color w:val="000000"/>
        </w:rPr>
        <w:t xml:space="preserve">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    None of the Plan, this Agreement or the Award Memorandum confers upon you any right to continue to serve as a director.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    This Agreement, the Award Memorandum, the Plan and the deferral election form for the Award, if any, contain the entire agreement between the Company and you relating to the Award and the Shares and supersede all prior agreements or understandings relating thereto.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(c)    This Agreement and the Award Memorandum may only be modified, amended or cancelled as provided in the Plan.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(d)    If any one or more provisions of this Agreement or the Award Memorandum is found to be invalid, illegal or unenforceable in any respect, then the provision will be modified to the minimum extent required to make such provision valid, legal and enforceable, and if such modification is not permitted by applicable law, then the validity, legality and enforceability of the remaining provisions hereof shall not in any way be affected or impaired thereby.</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(e)    Any remedies available to the Company under the Plan or this Agreement are cumulative and are in addition to, and are not affected by, the other rights and remedies available to the Company by law or otherwise.</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(f)    This Agreement and the Award Memorandum shall be governed by and construed in accordance with the laws of the State of Wisconsin, without regard to conflict of law provisions.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(g)    The Company agrees, and you agree, to be subject to and bound by all of the terms and conditions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(h)    This Agreement and the Award Memorandum shall be binding upon and inure to the benefit of any successor or assign of the Company and to any heir, distributee, executor, administrator or legal representative entitled by law to your rights hereunder.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(i)    You understand that, under the terms of the Plan, this Agreement and the Award Memorandum, the Company may cancel or rescind this Award and/or the Shares in certain circumstances.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By selecting the “Accept your award” box on the website of our administrative agent, you acknowledge your acceptance of, and agreement to be bound by the terms of, this Agreement, the Award Memorandum and the Plan.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Your acceptance of the terms of this Agreement, the Award Memorandum and the Plan through our administrative agent’s website within 120 calendar days of your Award Grant Date is a condition to your receipt of this Award. If you do not accept the terms and conditions of this Agreement, the Award Memorandum and the Plan within such time, this Award will be forfeited and immediately terminate.</w:t>
      </w:r>
    </w:p>
    <w:p>
      <w:pPr>
        <w:pStyle w:val="TextBody"/>
        <w:bidi w:val="0"/>
        <w:spacing w:before="157" w:after="283"/>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6"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RESTRICTED STOCK UNIT AWARD MEMORANDUM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SENIOR OFFICER (SO RET)</w:t>
      </w:r>
    </w:p>
    <w:p>
      <w:pPr>
        <w:pStyle w:val="TextBody"/>
        <w:bidi w:val="0"/>
        <w:spacing w:before="0" w:after="0"/>
        <w:jc w:val="center"/>
        <w:rPr/>
      </w:pPr>
      <w:r>
        <w:rPr/>
      </w:r>
    </w:p>
    <w:p>
      <w:pPr>
        <w:pStyle w:val="TextBody"/>
        <w:bidi w:val="0"/>
        <w:spacing w:before="0" w:after="0"/>
        <w:jc w:val="left"/>
        <w:rPr/>
      </w:pPr>
      <w:r>
        <w:rPr/>
      </w:r>
    </w:p>
    <w:tbl>
      <w:tblPr>
        <w:tblW w:w="7360"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893"/>
        <w:gridCol w:w="893"/>
        <w:gridCol w:w="1273"/>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[FIRST NAME] [LAST NAME]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[GRANT DATE]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Number of Shares Subject to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[NUMBER OF SHARES]</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left"/>
              <w:rPr>
                <w:rFonts w:ascii="Arial;sans-serif" w:hAnsi="Arial;sans-serif"/>
                <w:b/>
                <w:color w:val="000000"/>
                <w:sz w:val="22"/>
              </w:rPr>
            </w:pPr>
            <w:r>
              <w:rPr>
                <w:rFonts w:ascii="Arial;sans-serif" w:hAnsi="Arial;sans-serif"/>
                <w:b/>
                <w:color w:val="000000"/>
                <w:sz w:val="22"/>
              </w:rPr>
              <w:t>Date Vested: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anniversary of Grant Date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2</w:t>
            </w:r>
            <w:r>
              <w:rPr>
                <w:rFonts w:ascii="Arial;sans-serif" w:hAnsi="Arial;sans-serif"/>
                <w:b w:val="false"/>
                <w:color w:val="000000"/>
                <w:sz w:val="14"/>
              </w:rPr>
              <w:t>nd</w:t>
            </w:r>
            <w:r>
              <w:rPr>
                <w:color w:val="000000"/>
              </w:rPr>
              <w:t xml:space="preserve"> </w:t>
            </w:r>
            <w:r>
              <w:rPr>
                <w:rFonts w:ascii="Arial;sans-serif" w:hAnsi="Arial;sans-serif"/>
                <w:b w:val="false"/>
                <w:color w:val="000000"/>
                <w:sz w:val="22"/>
              </w:rPr>
              <w:t>anniversary of Grant Date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45"/>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3</w:t>
            </w:r>
            <w:r>
              <w:rPr>
                <w:rFonts w:ascii="Arial;sans-serif" w:hAnsi="Arial;sans-serif"/>
                <w:b w:val="false"/>
                <w:color w:val="000000"/>
                <w:sz w:val="14"/>
              </w:rPr>
              <w:t>rd</w:t>
            </w:r>
            <w:r>
              <w:rPr>
                <w:color w:val="000000"/>
              </w:rPr>
              <w:t xml:space="preserve"> </w:t>
            </w:r>
            <w:r>
              <w:rPr>
                <w:rFonts w:ascii="Arial;sans-serif" w:hAnsi="Arial;sans-serif"/>
                <w:b w:val="false"/>
                <w:color w:val="000000"/>
                <w:sz w:val="22"/>
              </w:rPr>
              <w:t>anniversary of Grant Date</w:t>
            </w:r>
          </w:p>
        </w:tc>
      </w:tr>
    </w:tbl>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Restricted Stock Unit Agreement. As a condition to your receipt of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lineRule="auto" w:line="288" w:before="240" w:after="240"/>
        <w:jc w:val="left"/>
        <w:rPr/>
      </w:pPr>
      <w:r>
        <w:rPr>
          <w:rFonts w:ascii="Arial;sans-serif" w:hAnsi="Arial;sans-serif"/>
          <w:b/>
          <w:color w:val="000000"/>
          <w:sz w:val="22"/>
          <w:u w:val="single"/>
        </w:rPr>
        <w:t>Note</w:t>
      </w:r>
      <w:r>
        <w:rPr>
          <w:rFonts w:ascii="Arial;sans-serif" w:hAnsi="Arial;sans-serif"/>
          <w:b/>
          <w:color w:val="000000"/>
          <w:sz w:val="22"/>
        </w:rPr>
        <w:t>: Sections 5 through 7, 9(b)(iii)(B), and 9(b)(v) of the Restricted Stock Unit Agreement contain provisions that restrict your activities. These provisions apply to you and, by accepting this Award, you agree to be bound by these restrictions. Accepting this Award, and these provisions, is not a condition of your employment or continued employment by Fiserv.</w:t>
      </w:r>
    </w:p>
    <w:p>
      <w:pPr>
        <w:pStyle w:val="TextBody"/>
        <w:bidi w:val="0"/>
        <w:spacing w:before="240" w:after="240"/>
        <w:jc w:val="left"/>
        <w:rPr/>
      </w:pPr>
      <w:r>
        <w:rPr/>
      </w:r>
    </w:p>
    <w:p>
      <w:pPr>
        <w:pStyle w:val="TextBody"/>
        <w:bidi w:val="0"/>
        <w:spacing w:before="240" w:after="240"/>
        <w:jc w:val="left"/>
        <w:rPr/>
      </w:pPr>
      <w:r>
        <w:rPr/>
      </w:r>
    </w:p>
    <w:p>
      <w:pPr>
        <w:pStyle w:val="TextBody"/>
        <w:bidi w:val="0"/>
        <w:spacing w:lineRule="auto" w:line="288" w:before="24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center"/>
        <w:rPr>
          <w:rFonts w:ascii="Arial;sans-serif" w:hAnsi="Arial;sans-serif"/>
          <w:b/>
          <w:color w:val="000000"/>
          <w:sz w:val="20"/>
          <w:u w:val="single"/>
        </w:rPr>
      </w:pPr>
      <w:r>
        <w:rPr>
          <w:rFonts w:ascii="Arial;sans-serif" w:hAnsi="Arial;sans-serif"/>
          <w:b/>
          <w:color w:val="000000"/>
          <w:sz w:val="20"/>
          <w:u w:val="single"/>
        </w:rPr>
        <w:t xml:space="preserve">RESTRICTED STOCK UNIT AGREEMENT </w:t>
      </w:r>
    </w:p>
    <w:p>
      <w:pPr>
        <w:pStyle w:val="TextBody"/>
        <w:bidi w:val="0"/>
        <w:spacing w:lineRule="auto" w:line="300" w:before="0" w:after="240"/>
        <w:ind w:left="0" w:right="0" w:firstLine="720"/>
        <w:jc w:val="left"/>
        <w:rPr/>
      </w:pP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Restricted Stock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such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300"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event of a conflict between the terms of this Agreement or the Award Memorandum and the terms of the Plan, the terms of the Plan shall govern. In the event of a conflict between the terms of this Agreement and the Award Memorandum, the terms of this Agreement shall govern. </w:t>
      </w:r>
    </w:p>
    <w:p>
      <w:pPr>
        <w:pStyle w:val="TextBody"/>
        <w:bidi w:val="0"/>
        <w:spacing w:lineRule="auto" w:line="300" w:before="0" w:after="240"/>
        <w:ind w:left="0" w:right="0" w:hanging="432"/>
        <w:jc w:val="left"/>
        <w:rPr/>
      </w:pPr>
      <w:r>
        <w:rPr>
          <w:rFonts w:ascii="Arial;sans-serif" w:hAnsi="Arial;sans-serif"/>
          <w:b w:val="false"/>
          <w:color w:val="000000"/>
          <w:sz w:val="20"/>
        </w:rPr>
        <w:t>1.</w:t>
      </w:r>
      <w:r>
        <w:rPr>
          <w:rFonts w:ascii="Arial;sans-serif" w:hAnsi="Arial;sans-serif"/>
          <w:b/>
          <w:color w:val="000000"/>
          <w:sz w:val="20"/>
          <w:u w:val="single"/>
        </w:rPr>
        <w:t>Grant Date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Award is granted to you on the Grant Date set forth in the Award Memorandum. </w:t>
      </w:r>
    </w:p>
    <w:p>
      <w:pPr>
        <w:pStyle w:val="TextBody"/>
        <w:bidi w:val="0"/>
        <w:spacing w:lineRule="auto" w:line="300" w:before="0" w:after="240"/>
        <w:ind w:left="0" w:right="0" w:hanging="432"/>
        <w:jc w:val="left"/>
        <w:rPr/>
      </w:pPr>
      <w:r>
        <w:rPr>
          <w:rFonts w:ascii="Arial;sans-serif" w:hAnsi="Arial;sans-serif"/>
          <w:b w:val="false"/>
          <w:color w:val="000000"/>
          <w:sz w:val="20"/>
        </w:rPr>
        <w:t>2.</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Provided that you are an employee as of the applicable date, this Award will vest as indicated in the Award Memorandum. This Award also may continue to vest following your Retirement (as defined below) as described in Section 9.</w:t>
      </w:r>
    </w:p>
    <w:p>
      <w:pPr>
        <w:pStyle w:val="TextBody"/>
        <w:bidi w:val="0"/>
        <w:spacing w:lineRule="auto" w:line="300" w:before="0" w:after="240"/>
        <w:ind w:left="0" w:right="0" w:hanging="432"/>
        <w:jc w:val="left"/>
        <w:rPr/>
      </w:pPr>
      <w:r>
        <w:rPr>
          <w:rFonts w:ascii="Arial;sans-serif" w:hAnsi="Arial;sans-serif"/>
          <w:b w:val="false"/>
          <w:color w:val="000000"/>
          <w:sz w:val="20"/>
        </w:rPr>
        <w:t>3.</w:t>
      </w:r>
      <w:r>
        <w:rPr>
          <w:rFonts w:ascii="Arial;sans-serif" w:hAnsi="Arial;sans-serif"/>
          <w:b/>
          <w:color w:val="000000"/>
          <w:sz w:val="20"/>
          <w:u w:val="single"/>
        </w:rPr>
        <w:t>Termination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Your Award shall terminate in all events on the earlier of (a) the date upon which vesting is no longer permitted pursuant to Section 9 or (b) your failure to accept the terms of this Agreement, the Award Memorandum, and the Plan within the time period and in the manner specified in this Agreement. Notwithstanding the foregoing, if this Award is terminated pursuant to subsection (a) of this Section 3, then the provisions of Sections 4 through 8 shall survive such termination.</w:t>
      </w:r>
    </w:p>
    <w:p>
      <w:pPr>
        <w:pStyle w:val="TextBody"/>
        <w:bidi w:val="0"/>
        <w:spacing w:lineRule="auto" w:line="300" w:before="0" w:after="240"/>
        <w:ind w:left="0" w:right="0" w:hanging="432"/>
        <w:jc w:val="left"/>
        <w:rPr/>
      </w:pPr>
      <w:r>
        <w:rPr>
          <w:rFonts w:ascii="Arial;sans-serif" w:hAnsi="Arial;sans-serif"/>
          <w:b w:val="false"/>
          <w:color w:val="000000"/>
          <w:sz w:val="20"/>
        </w:rPr>
        <w:t>4.    </w:t>
      </w:r>
      <w:r>
        <w:rPr>
          <w:rFonts w:ascii="Arial;sans-serif" w:hAnsi="Arial;sans-serif"/>
          <w:b/>
          <w:color w:val="000000"/>
          <w:sz w:val="20"/>
          <w:u w:val="single"/>
        </w:rPr>
        <w:t>Definitions Related to Confidential Information, Non-Competition and Related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val="false"/>
          <w:color w:val="000000"/>
          <w:sz w:val="20"/>
          <w:u w:val="single"/>
        </w:rPr>
        <w:t>Fiserv</w:t>
      </w:r>
      <w:r>
        <w:rPr>
          <w:color w:val="000000"/>
        </w:rPr>
        <w:t xml:space="preserve">” </w:t>
      </w:r>
      <w:r>
        <w:rPr>
          <w:rFonts w:ascii="Arial;sans-serif" w:hAnsi="Arial;sans-serif"/>
          <w:b w:val="false"/>
          <w:color w:val="000000"/>
          <w:sz w:val="20"/>
        </w:rPr>
        <w:t xml:space="preserve">means the Company, its direct and indirect Subsidiaries, affiliated entities, successors, and assigns. </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val="false"/>
          <w:color w:val="000000"/>
          <w:sz w:val="20"/>
          <w:u w:val="single"/>
        </w:rPr>
        <w:t>Confidential Information</w:t>
      </w:r>
      <w:r>
        <w:rPr>
          <w:color w:val="000000"/>
        </w:rPr>
        <w:t xml:space="preserve">” </w:t>
      </w:r>
      <w:r>
        <w:rPr>
          <w:rFonts w:ascii="Arial;sans-serif" w:hAnsi="Arial;sans-serif"/>
          <w:b w:val="false"/>
          <w:color w:val="000000"/>
          <w:sz w:val="20"/>
        </w:rPr>
        <w:t xml:space="preserve">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val="false"/>
          <w:color w:val="000000"/>
          <w:sz w:val="20"/>
          <w:u w:val="single"/>
        </w:rPr>
        <w:t>Competing Product or Service</w:t>
      </w:r>
      <w:r>
        <w:rPr>
          <w:color w:val="000000"/>
        </w:rPr>
        <w:t xml:space="preserve">” </w:t>
      </w:r>
      <w:r>
        <w:rPr>
          <w:rFonts w:ascii="Arial;sans-serif" w:hAnsi="Arial;sans-serif"/>
          <w:b w:val="false"/>
          <w:color w:val="000000"/>
          <w:sz w:val="20"/>
        </w:rPr>
        <w:t xml:space="preserve">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 </w:t>
      </w:r>
    </w:p>
    <w:p>
      <w:pPr>
        <w:pStyle w:val="TextBody"/>
        <w:bidi w:val="0"/>
        <w:spacing w:before="0" w:after="240"/>
        <w:ind w:left="0" w:right="0" w:hanging="432"/>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val="false"/>
          <w:color w:val="000000"/>
          <w:sz w:val="20"/>
          <w:u w:val="single"/>
        </w:rPr>
        <w:t>Competitor</w:t>
      </w:r>
      <w:r>
        <w:rPr>
          <w:color w:val="000000"/>
        </w:rPr>
        <w:t xml:space="preserve">” </w:t>
      </w:r>
      <w:r>
        <w:rPr>
          <w:rFonts w:ascii="Arial;sans-serif" w:hAnsi="Arial;sans-serif"/>
          <w:b w:val="false"/>
          <w:color w:val="000000"/>
          <w:sz w:val="20"/>
        </w:rPr>
        <w:t xml:space="preserve">means an individual, business or any other entity or enterprise engaged or having publicly announced its intent to engage in the sale or marketing of any Competing Product or Service.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val="false"/>
          <w:color w:val="000000"/>
          <w:sz w:val="20"/>
          <w:u w:val="single"/>
        </w:rPr>
        <w:t>Innovations</w:t>
      </w:r>
      <w:r>
        <w:rPr>
          <w:color w:val="000000"/>
        </w:rPr>
        <w:t xml:space="preserve">” </w:t>
      </w:r>
      <w:r>
        <w:rPr>
          <w:rFonts w:ascii="Arial;sans-serif" w:hAnsi="Arial;sans-serif"/>
          <w:b w:val="false"/>
          <w:color w:val="000000"/>
          <w:sz w:val="20"/>
        </w:rPr>
        <w:t xml:space="preserve">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 </w:t>
      </w:r>
    </w:p>
    <w:p>
      <w:pPr>
        <w:pStyle w:val="TextBody"/>
        <w:bidi w:val="0"/>
        <w:spacing w:lineRule="auto" w:line="300" w:before="0" w:after="240"/>
        <w:ind w:left="0" w:right="0" w:hanging="432"/>
        <w:jc w:val="left"/>
        <w:rPr/>
      </w:pPr>
      <w:r>
        <w:rPr>
          <w:rFonts w:ascii="Arial;sans-serif" w:hAnsi="Arial;sans-serif"/>
          <w:b w:val="false"/>
          <w:color w:val="000000"/>
          <w:sz w:val="20"/>
        </w:rPr>
        <w:t>(f)    “</w:t>
      </w:r>
      <w:r>
        <w:rPr>
          <w:rFonts w:ascii="Arial;sans-serif" w:hAnsi="Arial;sans-serif"/>
          <w:b w:val="false"/>
          <w:color w:val="000000"/>
          <w:sz w:val="20"/>
          <w:u w:val="single"/>
        </w:rPr>
        <w:t>Moral Rights</w:t>
      </w:r>
      <w:r>
        <w:rPr>
          <w:color w:val="000000"/>
        </w:rPr>
        <w:t xml:space="preserve">” </w:t>
      </w:r>
      <w:r>
        <w:rPr>
          <w:rFonts w:ascii="Arial;sans-serif" w:hAnsi="Arial;sans-serif"/>
          <w:b w:val="false"/>
          <w:color w:val="000000"/>
          <w:sz w:val="20"/>
        </w:rPr>
        <w:t xml:space="preserve">means any rights to claim authorship of a work of authorship, to object to or prevent the modification of any such work of authorship, or to withdraw from circulation or control the publication or distribution of any such work of authorship. </w:t>
      </w:r>
    </w:p>
    <w:p>
      <w:pPr>
        <w:pStyle w:val="TextBody"/>
        <w:bidi w:val="0"/>
        <w:spacing w:lineRule="auto" w:line="300" w:before="0" w:after="240"/>
        <w:ind w:left="0" w:right="0" w:hanging="432"/>
        <w:jc w:val="left"/>
        <w:rPr/>
      </w:pPr>
      <w:r>
        <w:rPr>
          <w:rFonts w:ascii="Arial;sans-serif" w:hAnsi="Arial;sans-serif"/>
          <w:b w:val="false"/>
          <w:color w:val="000000"/>
          <w:sz w:val="20"/>
        </w:rPr>
        <w:t>(g)    “</w:t>
      </w:r>
      <w:r>
        <w:rPr>
          <w:rFonts w:ascii="Arial;sans-serif" w:hAnsi="Arial;sans-serif"/>
          <w:b w:val="false"/>
          <w:color w:val="000000"/>
          <w:sz w:val="20"/>
          <w:u w:val="single"/>
        </w:rPr>
        <w:t>Client</w:t>
      </w:r>
      <w:r>
        <w:rPr>
          <w:color w:val="000000"/>
        </w:rPr>
        <w:t xml:space="preserve">” </w:t>
      </w:r>
      <w:r>
        <w:rPr>
          <w:rFonts w:ascii="Arial;sans-serif" w:hAnsi="Arial;sans-serif"/>
          <w:b w:val="false"/>
          <w:color w:val="000000"/>
          <w:sz w:val="20"/>
        </w:rPr>
        <w:t xml:space="preserve">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(h)    </w:t>
      </w:r>
      <w:r>
        <w:rPr>
          <w:color w:val="000000"/>
          <w:u w:val="single"/>
        </w:rPr>
        <w:t>“</w:t>
      </w:r>
      <w:r>
        <w:rPr>
          <w:rFonts w:ascii="Arial;sans-serif" w:hAnsi="Arial;sans-serif"/>
          <w:b w:val="false"/>
          <w:color w:val="000000"/>
          <w:sz w:val="20"/>
          <w:u w:val="single"/>
        </w:rPr>
        <w:t>Prospective Client</w:t>
      </w:r>
      <w:r>
        <w:rPr>
          <w:color w:val="000000"/>
        </w:rPr>
        <w:t xml:space="preserve">” </w:t>
      </w:r>
      <w:r>
        <w:rPr>
          <w:rFonts w:ascii="Arial;sans-serif" w:hAnsi="Arial;sans-serif"/>
          <w:b w:val="false"/>
          <w:color w:val="000000"/>
          <w:sz w:val="20"/>
        </w:rPr>
        <w:t>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(i)    “</w:t>
      </w:r>
      <w:r>
        <w:rPr>
          <w:rFonts w:ascii="Arial;sans-serif" w:hAnsi="Arial;sans-serif"/>
          <w:b w:val="false"/>
          <w:color w:val="000000"/>
          <w:sz w:val="20"/>
          <w:u w:val="single"/>
        </w:rPr>
        <w:t>Territory</w:t>
      </w:r>
      <w:r>
        <w:rPr>
          <w:color w:val="000000"/>
        </w:rPr>
        <w:t xml:space="preserve">” </w:t>
      </w:r>
      <w:r>
        <w:rPr>
          <w:rFonts w:ascii="Arial;sans-serif" w:hAnsi="Arial;sans-serif"/>
          <w:b w:val="false"/>
          <w:color w:val="000000"/>
          <w:sz w:val="20"/>
        </w:rPr>
        <w:t>means the geographic regions for which you had executive, managerial, supervisory, sales, marketing, client servicing, and/or other responsibilities during any part of the 24 months preceding the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(j)    “</w:t>
      </w:r>
      <w:r>
        <w:rPr>
          <w:rFonts w:ascii="Arial;sans-serif" w:hAnsi="Arial;sans-serif"/>
          <w:b w:val="false"/>
          <w:color w:val="000000"/>
          <w:sz w:val="20"/>
          <w:u w:val="single"/>
        </w:rPr>
        <w:t>Vendor</w:t>
      </w:r>
      <w:r>
        <w:rPr>
          <w:color w:val="000000"/>
        </w:rPr>
        <w:t xml:space="preserve">” </w:t>
      </w:r>
      <w:r>
        <w:rPr>
          <w:rFonts w:ascii="Arial;sans-serif" w:hAnsi="Arial;sans-serif"/>
          <w:b w:val="false"/>
          <w:color w:val="000000"/>
          <w:sz w:val="20"/>
        </w:rPr>
        <w:t xml:space="preserve">means a third party unaffiliated with Fiserv that contracts with Fiserv to provide services to Fiserv or its clients: (i) that you directly worked with or for which you supervised others in working with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(k)     “</w:t>
      </w:r>
      <w:r>
        <w:rPr>
          <w:rFonts w:ascii="Arial;sans-serif" w:hAnsi="Arial;sans-serif"/>
          <w:b w:val="false"/>
          <w:color w:val="000000"/>
          <w:sz w:val="20"/>
          <w:u w:val="single"/>
        </w:rPr>
        <w:t>Addendum</w:t>
      </w:r>
      <w:r>
        <w:rPr>
          <w:color w:val="000000"/>
        </w:rPr>
        <w:t xml:space="preserve">” </w:t>
      </w:r>
      <w:r>
        <w:rPr>
          <w:rFonts w:ascii="Arial;sans-serif" w:hAnsi="Arial;sans-serif"/>
          <w:b w:val="false"/>
          <w:color w:val="000000"/>
          <w:sz w:val="20"/>
        </w:rPr>
        <w:t>means a jurisdiction-specific provision for certain employees of Fiserv who are employed to work and/or reside in certain jurisdictions that modifies and/or supplements the terms of Sections 5 through 7, 9(b)(iii)(B), and 9(b)(v) of this Agreement to the extent specified in the Addendum. The Addendum will be incorporated into, construed jointly with, modify and/or supplement the terms of Sections 5 through 7, 9(b)(iii)(B), and 9(b)(v)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5.    </w:t>
      </w:r>
      <w:r>
        <w:rPr>
          <w:rFonts w:ascii="Arial;sans-serif" w:hAnsi="Arial;sans-serif"/>
          <w:b/>
          <w:color w:val="000000"/>
          <w:sz w:val="20"/>
          <w:u w:val="single"/>
        </w:rPr>
        <w:t>Confidentiality and Innovations</w:t>
      </w:r>
      <w:r>
        <w:rPr>
          <w:rFonts w:ascii="Arial;sans-serif" w:hAnsi="Arial;sans-serif"/>
          <w:b w:val="false"/>
          <w:color w:val="000000"/>
          <w:sz w:val="20"/>
        </w:rPr>
        <w:t>. During your employment, Fiserv will provide you with Confidential Information relating to Fiserv, its business, Clients and Prospective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9"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(c)Notwithstanding the preceding statements, you understand that: </w:t>
      </w:r>
    </w:p>
    <w:p>
      <w:pPr>
        <w:pStyle w:val="TextBody"/>
        <w:bidi w:val="0"/>
        <w:spacing w:lineRule="auto" w:line="300" w:before="0" w:after="240"/>
        <w:ind w:left="0" w:right="0" w:hanging="360"/>
        <w:jc w:val="left"/>
        <w:rPr/>
      </w:pPr>
      <w:r>
        <w:rPr>
          <w:rFonts w:ascii="Arial;sans-serif" w:hAnsi="Arial;sans-serif"/>
          <w:b w:val="false"/>
          <w:color w:val="000000"/>
          <w:sz w:val="20"/>
        </w:rPr>
        <w:t>(i)Nothing in this Agreement or any other Fiserv policy prohibits or impedes you from communicating, cooperating, or filing a complaint with any U.S., federal, state, or local governmental or law enforcement branch, agency, or entity (collectively, a “</w:t>
      </w:r>
      <w:r>
        <w:rPr>
          <w:rFonts w:ascii="Arial;sans-serif" w:hAnsi="Arial;sans-serif"/>
          <w:b w:val="false"/>
          <w:color w:val="000000"/>
          <w:sz w:val="20"/>
          <w:u w:val="single"/>
        </w:rPr>
        <w:t>Governmental Entity</w:t>
      </w:r>
      <w:r>
        <w:rPr>
          <w:color w:val="000000"/>
        </w:rPr>
        <w:t>”</w:t>
      </w:r>
      <w:r>
        <w:rPr>
          <w:rFonts w:ascii="Arial;sans-serif" w:hAnsi="Arial;sans-serif"/>
          <w:b w:val="false"/>
          <w:color w:val="000000"/>
          <w:sz w:val="20"/>
        </w:rPr>
        <w:t xml:space="preserve">)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 </w:t>
      </w:r>
    </w:p>
    <w:p>
      <w:pPr>
        <w:pStyle w:val="TextBody"/>
        <w:bidi w:val="0"/>
        <w:spacing w:lineRule="auto" w:line="300" w:before="0" w:after="240"/>
        <w:ind w:left="0" w:right="0" w:hanging="360"/>
        <w:jc w:val="left"/>
        <w:rPr>
          <w:rFonts w:ascii="Arial;sans-serif" w:hAnsi="Arial;sans-serif"/>
          <w:b w:val="false"/>
          <w:color w:val="000000"/>
          <w:sz w:val="20"/>
        </w:rPr>
      </w:pPr>
      <w:r>
        <w:rPr>
          <w:rFonts w:ascii="Arial;sans-serif" w:hAnsi="Arial;sans-serif"/>
          <w:b w:val="false"/>
          <w:color w:val="000000"/>
          <w:sz w:val="20"/>
        </w:rPr>
        <w:t>(ii)Pursuant to 18 U.S.C. §1833(b)(1) and §1833(b)(2):</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You understand that if you are found to have wrongfully misappropriated a trade secret, you may be liable to Fiserv for, among other things, exemplary damages and attorneys’ fees.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or to solicit the business or employees of Fiserv would necessarily require the use of Fiserv’s Confidential Information that was obtained by you during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6.    </w:t>
      </w:r>
      <w:r>
        <w:rPr>
          <w:rFonts w:ascii="Arial;sans-serif" w:hAnsi="Arial;sans-serif"/>
          <w:b/>
          <w:color w:val="000000"/>
          <w:sz w:val="20"/>
          <w:u w:val="single"/>
        </w:rPr>
        <w:t>Restrictions During Employment</w:t>
      </w:r>
      <w:r>
        <w:rPr>
          <w:rFonts w:ascii="Arial;sans-serif" w:hAnsi="Arial;sans-serif"/>
          <w:b w:val="false"/>
          <w:color w:val="000000"/>
          <w:sz w:val="20"/>
        </w:rPr>
        <w:t xml:space="preserve">.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(except to the extent required by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(b)entice, induce, encourage, urge or solicit Clients, Prospective Clients or Vendors of Fiserv to currently and/or prospectively breach, modify, or terminate any agreement or relationship they have or had with Fiserv;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24-month period preceding the termination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7.    </w:t>
      </w:r>
      <w:r>
        <w:rPr>
          <w:rFonts w:ascii="Arial;sans-serif" w:hAnsi="Arial;sans-serif"/>
          <w:b/>
          <w:color w:val="000000"/>
          <w:sz w:val="20"/>
          <w:u w:val="single"/>
        </w:rPr>
        <w:t>Restrictions Following Employment</w:t>
      </w:r>
      <w:r>
        <w:rPr>
          <w:rFonts w:ascii="Arial;sans-serif" w:hAnsi="Arial;sans-serif"/>
          <w:b w:val="false"/>
          <w:color w:val="000000"/>
          <w:sz w:val="20"/>
        </w:rPr>
        <w:t>.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that are the same as or similar to the duties performed by you for Fiserv at any time during any part of the 24-month period preceding the termination of your employment with Fiserv and which involve a Competing Product or Service;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(b)entice, induce, encourage, urge, or solicit Clients, Prospective Clients or Vendors of Fiserv to currently and/or prospectively breach, modify or terminate any agreement or relationship they have or had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(c)entice, induce, encourage, urge, or solicit any employee to leave employment with Fiserv or become employed by a Competitor, Client, Prospective Client, or Vendor of Fiserv (the provisions of this Section 7(c) shall apply to any employee of Fiserv with whom you worked during any part of the 24-month period preceding the termination of your employment with Fiserv); or</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(d)participate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pStyle w:val="TextBody"/>
        <w:bidi w:val="0"/>
        <w:spacing w:lineRule="auto" w:line="300" w:before="0" w:after="240"/>
        <w:ind w:left="0" w:right="0" w:hanging="432"/>
        <w:jc w:val="left"/>
        <w:rPr/>
      </w:pPr>
      <w:r>
        <w:rPr>
          <w:rFonts w:ascii="Arial;sans-serif" w:hAnsi="Arial;sans-serif"/>
          <w:b w:val="false"/>
          <w:color w:val="000000"/>
          <w:sz w:val="20"/>
        </w:rPr>
        <w:t>8.    </w:t>
      </w:r>
      <w:r>
        <w:rPr>
          <w:rFonts w:ascii="Arial;sans-serif" w:hAnsi="Arial;sans-serif"/>
          <w:b/>
          <w:color w:val="000000"/>
          <w:sz w:val="20"/>
          <w:u w:val="single"/>
        </w:rPr>
        <w:t>Acknowledgments Regarding Restrictive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For purposes of Section 7(a)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 </w:t>
      </w:r>
    </w:p>
    <w:p>
      <w:pPr>
        <w:pStyle w:val="TextBody"/>
        <w:bidi w:val="0"/>
        <w:spacing w:lineRule="auto" w:line="300" w:before="0" w:after="240"/>
        <w:ind w:left="0" w:right="0" w:hanging="432"/>
        <w:jc w:val="left"/>
        <w:rPr/>
      </w:pPr>
      <w:r>
        <w:rPr>
          <w:rFonts w:ascii="Arial;sans-serif" w:hAnsi="Arial;sans-serif"/>
          <w:b w:val="false"/>
          <w:color w:val="000000"/>
          <w:sz w:val="20"/>
        </w:rPr>
        <w:t>(b)</w:t>
      </w:r>
      <w:r>
        <w:rPr>
          <w:color w:val="000000"/>
        </w:rPr>
        <w:t>    </w:t>
      </w:r>
      <w:r>
        <w:rPr>
          <w:rFonts w:ascii="Arial;sans-serif" w:hAnsi="Arial;sans-serif"/>
          <w:b/>
          <w:color w:val="000000"/>
          <w:sz w:val="20"/>
        </w:rPr>
        <w:t>No provision of Sections 5 through 7 will apply to limit or restrict your conduct under this Agreement during or after your employment, or trigger any reimbursement obligations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limit or prohibit the enforceability of some or all of Sections 5 through 7 are set forth in the Addendum that will be provided and/or made available to you concurrently with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    You acknowledge the consideration provided for your agreement to comply with the provision of Sections 5 through 7 include (i) Fiserv’s provision of Confidential Information to you, (ii) this Award, and (iii) the Shares issued under the Award, if any.</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acknowledge and agree that compliance with Sections 5 through 7 is necessary to protect Fiserv, and that a breach of any of Sections 5 through 7 will result in irreparable and continuing damage to Fiserv for which there will be no adequate remedy at law. In the event of a breach of Sections 5 through 7, or any part thereof, Fiserv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(e)    You further agree that, in the event of your breach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You agree that the terms of this Agreement shall survive the termination of your employment with Fiserv.</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BY ACCEPTING THIS AWARD, YOU ACKNOWLEDGE THAT YOU HAVE READ THIS AGREEMENT, INCLUDING SECTIONS 5 THROUGH 7, AND AGREE THAT THE CONSIDERATION PROVIDED BY FISERV IS FAIR AND REASONABLE AND FURTHER AGREE THAT GIVEN THE IMPORTANCE TO FISERV OF ITS CONFIDENTIAL AND PROPRIETARY INFORMATION, THE RESTRICTIONS ON YOUR ACTIVITIES, INCLUDING THOSE THAT APPLY POST-EMPLOYMENT, ARE LIKEWISE FAIR AND REASONABLE.</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9.    </w:t>
      </w:r>
      <w:r>
        <w:rPr>
          <w:rFonts w:ascii="Arial;sans-serif" w:hAnsi="Arial;sans-serif"/>
          <w:b/>
          <w:color w:val="000000"/>
          <w:sz w:val="20"/>
          <w:u w:val="single"/>
        </w:rPr>
        <w:t>Termination of Employment</w:t>
      </w:r>
      <w:r>
        <w:rPr>
          <w:rFonts w:ascii="Arial;sans-serif" w:hAnsi="Arial;sans-serif"/>
          <w:b/>
          <w:color w:val="000000"/>
          <w:sz w:val="2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If you cease to be an employee of the Company or any Subsidiary for any reason (a “</w:t>
      </w:r>
      <w:r>
        <w:rPr>
          <w:rFonts w:ascii="Arial;sans-serif" w:hAnsi="Arial;sans-serif"/>
          <w:b w:val="false"/>
          <w:color w:val="000000"/>
          <w:sz w:val="20"/>
          <w:u w:val="single"/>
        </w:rPr>
        <w:t>Termination Event</w:t>
      </w:r>
      <w:r>
        <w:rPr>
          <w:color w:val="000000"/>
        </w:rPr>
        <w:t>”</w:t>
      </w:r>
      <w:r>
        <w:rPr>
          <w:rFonts w:ascii="Arial;sans-serif" w:hAnsi="Arial;sans-serif"/>
          <w:b w:val="false"/>
          <w:color w:val="000000"/>
          <w:sz w:val="20"/>
        </w:rPr>
        <w:t xml:space="preserve">), the unvested portion of the Award shall terminate on the date on which such Termination Event occurs;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u w:val="single"/>
        </w:rPr>
        <w:t>that</w:t>
      </w:r>
      <w:r>
        <w:rPr>
          <w:rFonts w:ascii="Arial;sans-serif" w:hAnsi="Arial;sans-serif"/>
          <w:b w:val="false"/>
          <w:color w:val="000000"/>
          <w:sz w:val="20"/>
        </w:rPr>
        <w:t>, if the reason for your Termination Event is: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(i)Death or Disability, then the unvested portion of this Award as of the date of your death or Disability shall be vested in full;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(ii)Retirement, then the unvested portion of the Award shall continue to vest as described in subsection (b).</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If you are regularly scheduled to work less than 20 hours per calendar week for the Company or any Subsidiary, you will be deemed to have experienced a Termination Event (except as otherwise provided in subsection (d)).</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color w:val="000000"/>
          <w:sz w:val="20"/>
          <w:u w:val="single"/>
        </w:rPr>
        <w:t>Continued Vesting Upon Retirement</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(i)For purposes of this Section 9, “</w:t>
      </w:r>
      <w:r>
        <w:rPr>
          <w:rFonts w:ascii="Arial;sans-serif" w:hAnsi="Arial;sans-serif"/>
          <w:b w:val="false"/>
          <w:color w:val="000000"/>
          <w:sz w:val="20"/>
          <w:u w:val="single"/>
        </w:rPr>
        <w:t>Retirement</w:t>
      </w:r>
      <w:r>
        <w:rPr>
          <w:color w:val="000000"/>
        </w:rPr>
        <w:t xml:space="preserve">” </w:t>
      </w:r>
      <w:r>
        <w:rPr>
          <w:rFonts w:ascii="Arial;sans-serif" w:hAnsi="Arial;sans-serif"/>
          <w:b w:val="false"/>
          <w:color w:val="000000"/>
          <w:sz w:val="20"/>
        </w:rPr>
        <w:t>means the cessation of service as an employee for any reason other than death, Disability or termination for Cause if:</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you are at least 55 years of age, have at least 5 years of continuous service with the Company and its Subsidiaries, and the sum of your age and years of continuous service with the Company and its Subsidiaries is at least 65; and</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have provided for an orderly transition of your duties to a successor, including by:</w:t>
      </w:r>
    </w:p>
    <w:p>
      <w:pPr>
        <w:pStyle w:val="TextBody"/>
        <w:bidi w:val="0"/>
        <w:spacing w:lineRule="auto" w:line="300" w:before="0" w:after="240"/>
        <w:ind w:left="0" w:right="0" w:hanging="432"/>
        <w:jc w:val="left"/>
        <w:rPr/>
      </w:pPr>
      <w:r>
        <w:rPr>
          <w:rFonts w:ascii="Arial;sans-serif" w:hAnsi="Arial;sans-serif"/>
          <w:b w:val="false"/>
          <w:color w:val="000000"/>
          <w:sz w:val="20"/>
        </w:rPr>
        <w:t xml:space="preserve">(1)providing notice </w:t>
      </w:r>
      <w:r>
        <w:rPr>
          <w:rFonts w:ascii="Arial;sans-serif" w:hAnsi="Arial;sans-serif"/>
          <w:b w:val="false"/>
          <w:color w:val="000000"/>
          <w:sz w:val="20"/>
          <w:shd w:fill="FFFFFF" w:val="clear"/>
        </w:rPr>
        <w:t xml:space="preserve">to the Chief Executive Officer of the Company (or in the case of the Chief Executive Officer, to the Chairman or Lead Director of the Board of Directors of the Company as the case may be) </w:t>
      </w:r>
      <w:r>
        <w:rPr>
          <w:rFonts w:ascii="Arial;sans-serif" w:hAnsi="Arial;sans-serif"/>
          <w:b w:val="false"/>
          <w:color w:val="000000"/>
          <w:sz w:val="20"/>
        </w:rPr>
        <w:t>that you are considering retirement sufficiently in advance of your anticipated retirement date; and</w:t>
      </w:r>
    </w:p>
    <w:p>
      <w:pPr>
        <w:pStyle w:val="TextBody"/>
        <w:bidi w:val="0"/>
        <w:spacing w:lineRule="auto" w:line="300" w:before="0" w:after="240"/>
        <w:ind w:left="0" w:right="0" w:hanging="432"/>
        <w:jc w:val="left"/>
        <w:rPr/>
      </w:pPr>
      <w:r>
        <w:rPr>
          <w:rFonts w:ascii="Arial;sans-serif" w:hAnsi="Arial;sans-serif"/>
          <w:b w:val="false"/>
          <w:color w:val="000000"/>
          <w:sz w:val="20"/>
        </w:rPr>
        <w:t>(2)assisting with the identification and selection of, and transition of your duties to, a successor ((1) and (2) being referred to herein collectively as the “</w:t>
      </w:r>
      <w:r>
        <w:rPr>
          <w:rFonts w:ascii="Arial;sans-serif" w:hAnsi="Arial;sans-serif"/>
          <w:b w:val="false"/>
          <w:color w:val="000000"/>
          <w:sz w:val="20"/>
          <w:u w:val="single"/>
        </w:rPr>
        <w:t>Specified Transition Requirements</w:t>
      </w:r>
      <w:r>
        <w:rPr>
          <w:color w:val="000000"/>
        </w:rPr>
        <w:t>”</w:t>
      </w:r>
      <w:r>
        <w:rPr>
          <w:rFonts w:ascii="Arial;sans-serif" w:hAnsi="Arial;sans-serif"/>
          <w:b w:val="false"/>
          <w:color w:val="000000"/>
          <w:sz w:val="20"/>
        </w:rPr>
        <w:t>).</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If you satisfy the requirements of clauses (A) and (B) above, your cessation of service will be deemed to be a qualifying Retirement; provided that, the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(ii)    After your Retirement, the unvested portion of the Award shall continue to vest, subject to Sections 9(b)(iv) and (v), on the normal vesting dates indicated in the Award Memorandum as if you had not ceased to be an employee.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(iii)    Notwithstanding the foregoing: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If you receive written notification from the Committee that you failed to satisfy any Specified Transition Requirement, then any portion of the Award that is unvested as of the date of such notification shall terminate as of such date.</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(B)    In addition to the obligations set forth in Sections 5 through 7 for the period set forth therein, while any portion of this Award remains unvested and until the last vesting event of any equity award held by you at the time of Retirement (the “</w:t>
      </w:r>
      <w:r>
        <w:rPr>
          <w:rFonts w:ascii="Arial;sans-serif" w:hAnsi="Arial;sans-serif"/>
          <w:b w:val="false"/>
          <w:color w:val="000000"/>
          <w:sz w:val="20"/>
          <w:u w:val="single"/>
        </w:rPr>
        <w:t>Restricted Period</w:t>
      </w:r>
      <w:r>
        <w:rPr>
          <w:color w:val="000000"/>
        </w:rPr>
        <w:t>”</w:t>
      </w:r>
      <w:r>
        <w:rPr>
          <w:rFonts w:ascii="Arial;sans-serif" w:hAnsi="Arial;sans-serif"/>
          <w:b w:val="false"/>
          <w:color w:val="000000"/>
          <w:sz w:val="20"/>
        </w:rPr>
        <w:t xml:space="preserve">), you may not: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(1)    perform work of any kind for a Competitor, including as an employee, board member, consultant or otherwise;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(2)    perform work for a non-Competitor other than as permitted by clause (v) below; or </w:t>
      </w:r>
    </w:p>
    <w:p>
      <w:pPr>
        <w:pStyle w:val="TextBody"/>
        <w:bidi w:val="0"/>
        <w:spacing w:lineRule="auto" w:line="300" w:before="0" w:after="240"/>
        <w:ind w:left="0" w:right="0" w:hanging="432"/>
        <w:jc w:val="left"/>
        <w:rPr/>
      </w:pPr>
      <w:r>
        <w:rPr>
          <w:rFonts w:ascii="Arial;sans-serif" w:hAnsi="Arial;sans-serif"/>
          <w:b w:val="false"/>
          <w:color w:val="000000"/>
          <w:sz w:val="20"/>
        </w:rPr>
        <w:t>(3)    violate any post-employment covenant applicable to you under any agreement in effect with, or policy of, the Company or any of its Subsidiaries (each of (1)-(3) being a “</w:t>
      </w:r>
      <w:r>
        <w:rPr>
          <w:rFonts w:ascii="Arial;sans-serif" w:hAnsi="Arial;sans-serif"/>
          <w:b w:val="false"/>
          <w:color w:val="000000"/>
          <w:sz w:val="20"/>
          <w:u w:val="single"/>
        </w:rPr>
        <w:t>Post-Retirement Violation</w:t>
      </w:r>
      <w:r>
        <w:rPr>
          <w:color w:val="000000"/>
        </w:rPr>
        <w:t>”</w:t>
      </w:r>
      <w:r>
        <w:rPr>
          <w:rFonts w:ascii="Arial;sans-serif" w:hAnsi="Arial;sans-serif"/>
          <w:b w:val="false"/>
          <w:color w:val="000000"/>
          <w:sz w:val="20"/>
        </w:rPr>
        <w: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(iv)    Without limiting any other provision of this Agreement, including Sections 5 through 7 as applicable, if a Post-Retirement Violation occurs and if the Post-Retirement Violation was of the nature described in Section 9(b)(iii)(B)(1) or (3) above: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vesting of any unvested portion of the Award shall immediately cease;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the remedies available to the Company under Section 8, including recoupment of Shares, shall apply if the Post-Retirement Violation occurred during the first 12 months following Retirement; and</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any Shares received upon vesting after your Retirement are subject to recoupment (either the actual shares or the current value thereof) if the Post-Retirement Violation occurred after the one-year anniversary of your Retirement.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(v)    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those which you had while employed by Fiserv then vesting of any unvested portion of the Award shall immediately cease.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(vi)    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(vii)    All determinations regarding whether you have engaged in a Post-Retirement Violation shall be made by the Committee.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(viii)    If you die after Retirement and prior to the date the Award vests in full (and provided that a Post-Retirement Violation has not occurred), then the Award shall become fully vested as of the date of your death. </w:t>
      </w:r>
    </w:p>
    <w:p>
      <w:pPr>
        <w:pStyle w:val="TextBody"/>
        <w:bidi w:val="0"/>
        <w:spacing w:lineRule="auto" w:line="300" w:before="0" w:after="240"/>
        <w:ind w:left="0" w:right="0" w:hanging="432"/>
        <w:jc w:val="left"/>
        <w:rPr/>
      </w:pPr>
      <w:r>
        <w:rPr>
          <w:rFonts w:ascii="Arial;sans-serif" w:hAnsi="Arial;sans-serif"/>
          <w:b w:val="false"/>
          <w:color w:val="000000"/>
          <w:sz w:val="20"/>
        </w:rPr>
        <w:t>(ix)    </w:t>
      </w:r>
      <w:r>
        <w:rPr>
          <w:rFonts w:ascii="Arial;sans-serif" w:hAnsi="Arial;sans-serif"/>
          <w:b/>
          <w:color w:val="000000"/>
          <w:sz w:val="20"/>
        </w:rPr>
        <w:t xml:space="preserve">No provision of this Section 9(b) will apply to limit or restrict your conduct under this Agreement after your employment, nor will be deemed a Post-Retirement Violation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limit or prohibit the enforceability of some or all of this Section 9(b) are set forth in the Addendum that will be provided and/or made available to you concurrently with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(x)    BY ACCEPTING THIS AWARD, 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color w:val="000000"/>
          <w:sz w:val="20"/>
          <w:u w:val="single"/>
        </w:rPr>
        <w:t>Change of Control</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a Change of Control of the Company occurs, the provisions of Section 18(c) of the Plan shall apply to this 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9(b)(iii)(B), and 9(b)(v) shall immediately cease to apply. </w:t>
      </w:r>
    </w:p>
    <w:p>
      <w:pPr>
        <w:pStyle w:val="TextBody"/>
        <w:bidi w:val="0"/>
        <w:spacing w:lineRule="auto" w:line="300" w:before="0" w:after="240"/>
        <w:jc w:val="left"/>
        <w:rPr/>
      </w:pPr>
      <w:r>
        <w:rPr>
          <w:color w:val="000000"/>
        </w:rPr>
        <w:t>“</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 xml:space="preserve">means your suffering any of the following events upon or following a Change of Control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 </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 </w: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color w:val="000000"/>
          <w:sz w:val="20"/>
          <w:u w:val="single"/>
        </w:rPr>
        <w:t>Service as Director</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For purposes of this Agreement, an employee of the Company or a Subsidiary, if also serving as a director, will not be deemed to have experienced a Termination Event for purposes of this Agreement until his or her service as a director ends, and his or her years of service will be deemed to include years of service as a director.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color w:val="000000"/>
          <w:sz w:val="20"/>
          <w:u w:val="single"/>
        </w:rPr>
        <w:t>No Further Obligation</w:t>
      </w:r>
      <w:r>
        <w:rPr>
          <w:rFonts w:ascii="Arial;sans-serif" w:hAnsi="Arial;sans-serif"/>
          <w:b/>
          <w:color w:val="000000"/>
          <w:sz w:val="20"/>
        </w:rPr>
        <w:t xml:space="preserve">. </w:t>
      </w:r>
      <w:r>
        <w:rPr>
          <w:rFonts w:ascii="Arial;sans-serif" w:hAnsi="Arial;sans-serif"/>
          <w:b w:val="false"/>
          <w:color w:val="000000"/>
          <w:sz w:val="20"/>
        </w:rPr>
        <w:t xml:space="preserve">The Company will have no further obligations to you under this Agreement if the Award terminates as provided herein. </w:t>
      </w:r>
    </w:p>
    <w:p>
      <w:pPr>
        <w:pStyle w:val="TextBody"/>
        <w:bidi w:val="0"/>
        <w:spacing w:lineRule="auto" w:line="300" w:before="0" w:after="240"/>
        <w:ind w:left="0" w:right="0" w:hanging="432"/>
        <w:jc w:val="left"/>
        <w:rPr/>
      </w:pPr>
      <w:r>
        <w:rPr>
          <w:rFonts w:ascii="Arial;sans-serif" w:hAnsi="Arial;sans-serif"/>
          <w:b w:val="false"/>
          <w:color w:val="000000"/>
          <w:sz w:val="20"/>
        </w:rPr>
        <w:t>(f)</w:t>
      </w:r>
      <w:r>
        <w:rPr>
          <w:rFonts w:ascii="Arial;sans-serif" w:hAnsi="Arial;sans-serif"/>
          <w:b/>
          <w:color w:val="000000"/>
          <w:sz w:val="20"/>
          <w:u w:val="single"/>
        </w:rPr>
        <w:t>Separation Agreement</w:t>
      </w:r>
      <w:r>
        <w:rPr>
          <w:rFonts w:ascii="Arial;sans-serif" w:hAnsi="Arial;sans-serif"/>
          <w:b/>
          <w:color w:val="000000"/>
          <w:sz w:val="20"/>
        </w:rPr>
        <w:t xml:space="preserve">. </w:t>
      </w:r>
      <w:r>
        <w:rPr>
          <w:rFonts w:ascii="Arial;sans-serif" w:hAnsi="Arial;sans-serif"/>
          <w:b w:val="false"/>
          <w:color w:val="000000"/>
          <w:sz w:val="20"/>
        </w:rPr>
        <w:t>The provisions of this Section 9 are subject to (and may be amended by) the terms of a written separation agreement entered into between you and the Company or any of its Subsidiaries.</w:t>
      </w:r>
    </w:p>
    <w:p>
      <w:pPr>
        <w:pStyle w:val="TextBody"/>
        <w:bidi w:val="0"/>
        <w:spacing w:lineRule="auto" w:line="300" w:before="0" w:after="240"/>
        <w:ind w:left="0" w:right="0" w:hanging="432"/>
        <w:jc w:val="left"/>
        <w:rPr/>
      </w:pPr>
      <w:r>
        <w:rPr>
          <w:rFonts w:ascii="Arial;sans-serif" w:hAnsi="Arial;sans-serif"/>
          <w:b w:val="false"/>
          <w:color w:val="000000"/>
          <w:sz w:val="20"/>
        </w:rPr>
        <w:t>10.    </w:t>
      </w:r>
      <w:r>
        <w:rPr>
          <w:rFonts w:ascii="Arial;sans-serif" w:hAnsi="Arial;sans-serif"/>
          <w:b/>
          <w:color w:val="000000"/>
          <w:sz w:val="20"/>
          <w:u w:val="single"/>
        </w:rPr>
        <w:t>Deferral of Restricted Stock Units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you are eligible to, and properly elect to, defer delivery of all or part of the Shares otherwise issuable under this Award, such deferral will be governed by the Restricted Stock Unit Deferral Election Form executed by you separately from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11.    </w:t>
      </w:r>
      <w:r>
        <w:rPr>
          <w:rFonts w:ascii="Arial;sans-serif" w:hAnsi="Arial;sans-serif"/>
          <w:b/>
          <w:color w:val="000000"/>
          <w:sz w:val="20"/>
          <w:u w:val="single"/>
        </w:rPr>
        <w:t>Issuance of Shares</w:t>
      </w:r>
      <w:r>
        <w:rPr>
          <w:rFonts w:ascii="Arial;sans-serif" w:hAnsi="Arial;sans-serif"/>
          <w:b/>
          <w:color w:val="000000"/>
          <w:sz w:val="20"/>
        </w:rPr>
        <w:t xml:space="preserve">. </w:t>
      </w:r>
      <w:r>
        <w:rPr>
          <w:rFonts w:ascii="Arial;sans-serif" w:hAnsi="Arial;sans-serif"/>
          <w:b w:val="false"/>
          <w:color w:val="000000"/>
          <w:sz w:val="20"/>
        </w:rPr>
        <w:t>The Company, or its transfer agent, will issue and deliver the Shares to you as soon as practicable after the Award 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(i.e., after meeting the requirement set forth in Section 9(b)(i)(A)), then the Shares will be delivered upon the scheduled vesting dates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(“SEC”) or any stock exchange upon which the Shares are listed. The Company may cause an appropriate book entry notation to be made with respect to the Shares to reference any of the foregoing restrictions.</w:t>
      </w:r>
    </w:p>
    <w:p>
      <w:pPr>
        <w:pStyle w:val="TextBody"/>
        <w:bidi w:val="0"/>
        <w:spacing w:lineRule="auto" w:line="300" w:before="0" w:after="240"/>
        <w:ind w:left="0" w:right="0" w:hanging="432"/>
        <w:jc w:val="left"/>
        <w:rPr/>
      </w:pPr>
      <w:r>
        <w:rPr>
          <w:rFonts w:ascii="Arial;sans-serif" w:hAnsi="Arial;sans-serif"/>
          <w:b w:val="false"/>
          <w:color w:val="000000"/>
          <w:sz w:val="20"/>
        </w:rPr>
        <w:t>12.    </w:t>
      </w:r>
      <w:r>
        <w:rPr>
          <w:rFonts w:ascii="Arial;sans-serif" w:hAnsi="Arial;sans-serif"/>
          <w:b/>
          <w:color w:val="000000"/>
          <w:sz w:val="20"/>
          <w:u w:val="single"/>
        </w:rPr>
        <w:t>Non-Transferability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300" w:before="0" w:after="240"/>
        <w:ind w:left="0" w:right="0" w:hanging="432"/>
        <w:jc w:val="left"/>
        <w:rPr/>
      </w:pPr>
      <w:r>
        <w:rPr>
          <w:rFonts w:ascii="Arial;sans-serif" w:hAnsi="Arial;sans-serif"/>
          <w:b w:val="false"/>
          <w:color w:val="000000"/>
          <w:sz w:val="20"/>
        </w:rPr>
        <w:t>13.    </w:t>
      </w:r>
      <w:r>
        <w:rPr>
          <w:rFonts w:ascii="Arial;sans-serif" w:hAnsi="Arial;sans-serif"/>
          <w:b/>
          <w:color w:val="000000"/>
          <w:sz w:val="20"/>
          <w:u w:val="single"/>
        </w:rPr>
        <w:t>Conditions to 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or the payment event specified in a deferral election as the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14.    </w:t>
      </w:r>
      <w:r>
        <w:rPr>
          <w:rFonts w:ascii="Arial;sans-serif" w:hAnsi="Arial;sans-serif"/>
          <w:b/>
          <w:color w:val="000000"/>
          <w:sz w:val="20"/>
          <w:u w:val="single"/>
        </w:rPr>
        <w:t>Dividends; No Rights as Shareholder</w:t>
      </w:r>
      <w:r>
        <w:rPr>
          <w:rFonts w:ascii="Arial;sans-serif" w:hAnsi="Arial;sans-serif"/>
          <w:b/>
          <w:color w:val="000000"/>
          <w:sz w:val="20"/>
        </w:rPr>
        <w:t xml:space="preserve">. </w:t>
      </w:r>
      <w:r>
        <w:rPr>
          <w:rFonts w:ascii="Arial;sans-serif" w:hAnsi="Arial;sans-serif"/>
          <w:b w:val="false"/>
          <w:color w:val="000000"/>
          <w:sz w:val="20"/>
        </w:rPr>
        <w:t xml:space="preserve">If the Company declares a cash dividend and the dividend record date occurs after the Grant Date and prior to the 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or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distributions paid with respect to shares of Company common stock by virtue of this Award or the Shares subject hereto.</w:t>
      </w:r>
    </w:p>
    <w:p>
      <w:pPr>
        <w:pStyle w:val="TextBody"/>
        <w:bidi w:val="0"/>
        <w:spacing w:lineRule="auto" w:line="300" w:before="0" w:after="240"/>
        <w:ind w:left="0" w:right="0" w:hanging="432"/>
        <w:jc w:val="left"/>
        <w:rPr/>
      </w:pPr>
      <w:r>
        <w:rPr>
          <w:rFonts w:ascii="Arial;sans-serif" w:hAnsi="Arial;sans-serif"/>
          <w:b w:val="false"/>
          <w:color w:val="000000"/>
          <w:sz w:val="20"/>
        </w:rPr>
        <w:t>15.    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Unless otherwise set forth herein, 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pStyle w:val="TextBody"/>
        <w:bidi w:val="0"/>
        <w:spacing w:lineRule="auto" w:line="300" w:before="0" w:after="240"/>
        <w:ind w:left="0" w:right="0" w:hanging="432"/>
        <w:jc w:val="left"/>
        <w:rPr/>
      </w:pPr>
      <w:r>
        <w:rPr>
          <w:rFonts w:ascii="Arial;sans-serif" w:hAnsi="Arial;sans-serif"/>
          <w:b w:val="false"/>
          <w:color w:val="000000"/>
          <w:sz w:val="20"/>
        </w:rPr>
        <w:t>16.    </w:t>
      </w:r>
      <w:r>
        <w:rPr>
          <w:rFonts w:ascii="Arial;sans-serif" w:hAnsi="Arial;sans-serif"/>
          <w:b/>
          <w:color w:val="000000"/>
          <w:sz w:val="20"/>
          <w:u w:val="single"/>
        </w:rPr>
        <w:t>Captions; Agreement Severable</w:t>
      </w:r>
      <w:r>
        <w:rPr>
          <w:rFonts w:ascii="Arial;sans-serif" w:hAnsi="Arial;sans-serif"/>
          <w:b/>
          <w:color w:val="000000"/>
          <w:sz w:val="20"/>
        </w:rPr>
        <w:t>.</w:t>
      </w:r>
      <w:r>
        <w:rPr>
          <w:color w:val="000000"/>
        </w:rPr>
        <w:t xml:space="preserve"> </w:t>
      </w:r>
      <w:r>
        <w:rPr>
          <w:rFonts w:ascii="Arial;sans-serif" w:hAnsi="Arial;sans-serif"/>
          <w:b w:val="false"/>
          <w:color w:val="000000"/>
          <w:sz w:val="20"/>
        </w:rPr>
        <w:t>Captions provided herein are for convenience only and are not to serve as a basis for 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17.    </w:t>
      </w:r>
      <w:r>
        <w:rPr>
          <w:rFonts w:ascii="Arial;sans-serif" w:hAnsi="Arial;sans-serif"/>
          <w:b/>
          <w:color w:val="000000"/>
          <w:sz w:val="20"/>
          <w:u w:val="single"/>
        </w:rPr>
        <w:t>Securities and Tax Representations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represent and warrant that you understand the federal, state and local income and employment tax consequences associated with this Award, including the sale or other disposition of any Shares acquired hereunder. You understand and agree that when you realize gross income (if any) taxable as compensation in respect of this Award, the Company will be required to withhold federal, state and local taxes on the full amount of the compensation income realized by you and may also be required to withhold other amounts.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You will be solely responsible for any tax liability associated with this Award and any Shares issued hereunder to the extent not satisfied through tax withholding. All matters with respect to the total amount to be withheld shall be determined by the Company in its sole discretion.</w:t>
      </w:r>
    </w:p>
    <w:p>
      <w:pPr>
        <w:pStyle w:val="TextBody"/>
        <w:bidi w:val="0"/>
        <w:spacing w:lineRule="auto" w:line="300" w:before="0" w:after="240"/>
        <w:ind w:left="0" w:right="0" w:hanging="432"/>
        <w:jc w:val="left"/>
        <w:rPr/>
      </w:pPr>
      <w:r>
        <w:rPr>
          <w:rFonts w:ascii="Arial;sans-serif" w:hAnsi="Arial;sans-serif"/>
          <w:b w:val="false"/>
          <w:color w:val="000000"/>
          <w:sz w:val="20"/>
        </w:rPr>
        <w:t>18.    </w:t>
      </w:r>
      <w:r>
        <w:rPr>
          <w:rFonts w:ascii="Arial;sans-serif" w:hAnsi="Arial;sans-serif"/>
          <w:b/>
          <w:color w:val="000000"/>
          <w:sz w:val="20"/>
          <w:u w:val="single"/>
        </w:rPr>
        <w:t>Market Stand-Off</w:t>
      </w:r>
      <w:r>
        <w:rPr>
          <w:rFonts w:ascii="Arial;sans-serif" w:hAnsi="Arial;sans-serif"/>
          <w:b/>
          <w:color w:val="000000"/>
          <w:sz w:val="20"/>
        </w:rPr>
        <w:t xml:space="preserve">. </w:t>
      </w:r>
      <w:r>
        <w:rPr>
          <w:rFonts w:ascii="Arial;sans-serif" w:hAnsi="Arial;sans-serif"/>
          <w:b w:val="false"/>
          <w:color w:val="000000"/>
          <w:sz w:val="20"/>
        </w:rPr>
        <w:t>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19.    </w:t>
      </w:r>
      <w:r>
        <w:rPr>
          <w:rFonts w:ascii="Arial;sans-serif" w:hAnsi="Arial;sans-serif"/>
          <w:b/>
          <w:color w:val="000000"/>
          <w:sz w:val="20"/>
          <w:u w:val="single"/>
        </w:rPr>
        <w:t>General Provisions</w:t>
      </w:r>
      <w:r>
        <w:rPr>
          <w:rFonts w:ascii="Arial;sans-serif" w:hAnsi="Arial;sans-serif"/>
          <w:b/>
          <w:color w:val="000000"/>
          <w:sz w:val="2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None of the Plan, this Agreement or the Award Memorandum confers upon you any right to continue to be employed by the Company or any Subsidiary or limits in any respect any right of the Company or any Subsidiary to terminate your employment at any time, without liability.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This Agreement, the Award Memorandum and the Addendum may only be modified, amended or cancelled as provided in the Plan.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If any one or more provisions of this Agreement, the Award Memorandum or the Addendum is found to be invalid, illegal or unenforceable in any respect, then the provision will be modified to the minimum extent required to make such provision valid, legal and enforceable, and if such modification is not permitted by applicable law, then the validity, legality and enforceability of the remaining provisions hereof shall not in any way be affected or impaired thereby.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Any remedies available to the Company under the Plan or this Agreement are cumulative and are in addition to, and are not affected by, the other rights and remedies available to the Company by law or otherwise.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This Agreement and the Award Memorandum shall be governed by and construed in accordance with the laws of the State of Wisconsin, without regard to its conflict of law provisions, except that Sections 5 through 7, 9(b)(iii)(B),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The Company agrees, and you agree, to be subject to and bound by all of the terms and conditions of the Plan.</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(h)    This Agreement, the Award Memorandum and the Addendum shall be binding upon and inure to the benefit of any successor or assign of the Company and to any heir, distributee, executor, administrator or legal representative entitled by law to your rights hereunder.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(i)You understand that, under the terms of the Plan, this Agreement and the Award Memorandum, the Company may cancel or rescind this Award and/or the Shares in certain circumstances.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(j)In consideration of, among other things, your continued employment with the Company or a Subsidiary, you acknowledge and agree that you are and will continue to be subject to the Fiserv, Inc. Compensation Recoupment Policy (as amended from time to time, the “Policy”) and that the Policy will apply both during and after the termination of your employment with the Company or any Subsidiary. You can access this Policy as currently in effect by visiting https://investors.fiserv.com/corporate-governance/governance-documents. Further, by accepting this Award,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you are a party or participant or to which you are subject.</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By selecting the “Accept your award” box on the website of our administrative agent, you acknowledge your acceptance of, and agreement to be bound by, this Agreement, the Award Memorandum, the Plan, and the Policy.</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Your acceptance of the terms of this Agreement, the Award Memorandum, the Plan, the Addendum, and the Policy through our administrative agent’s website within 120 calendar days of your Award Grant Date is a condition to your receipt of this Award. If you do not accept the terms and conditions of this Agreement, the Award Memorandum, the Plan, the Addendum, and the Policy within such time, this Award will be forfeited and immediately terminate.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RESTRICTED STOCK UNIT AWARD MEMORANDUM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STANDARD (ST RET)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7360"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893"/>
        <w:gridCol w:w="893"/>
        <w:gridCol w:w="1273"/>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[FIRST NAME] [LAST NAME]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[GRANT DATE]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Number of Shares Subject to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[NUMBER OF SHARES]</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left"/>
              <w:rPr>
                <w:rFonts w:ascii="Arial;sans-serif" w:hAnsi="Arial;sans-serif"/>
                <w:b/>
                <w:color w:val="000000"/>
                <w:sz w:val="22"/>
              </w:rPr>
            </w:pPr>
            <w:r>
              <w:rPr>
                <w:rFonts w:ascii="Arial;sans-serif" w:hAnsi="Arial;sans-serif"/>
                <w:b/>
                <w:color w:val="000000"/>
                <w:sz w:val="22"/>
              </w:rPr>
              <w:t>Date Vested: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anniversary of Grant Date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2</w:t>
            </w:r>
            <w:r>
              <w:rPr>
                <w:rFonts w:ascii="Arial;sans-serif" w:hAnsi="Arial;sans-serif"/>
                <w:b w:val="false"/>
                <w:color w:val="000000"/>
                <w:sz w:val="14"/>
              </w:rPr>
              <w:t>nd</w:t>
            </w:r>
            <w:r>
              <w:rPr>
                <w:color w:val="000000"/>
              </w:rPr>
              <w:t xml:space="preserve"> </w:t>
            </w:r>
            <w:r>
              <w:rPr>
                <w:rFonts w:ascii="Arial;sans-serif" w:hAnsi="Arial;sans-serif"/>
                <w:b w:val="false"/>
                <w:color w:val="000000"/>
                <w:sz w:val="22"/>
              </w:rPr>
              <w:t>anniversary of Grant Date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45"/>
              <w:jc w:val="center"/>
              <w:rPr>
                <w:rFonts w:ascii="Arial;sans-serif" w:hAnsi="Arial;sans-serif"/>
                <w:b w:val="false"/>
                <w:color w:val="000000"/>
                <w:sz w:val="22"/>
              </w:rPr>
            </w:pPr>
            <w:r>
              <w:rPr>
                <w:rFonts w:ascii="Arial;sans-serif" w:hAnsi="Arial;sans-serif"/>
                <w:b w:val="false"/>
                <w:color w:val="000000"/>
                <w:sz w:val="22"/>
              </w:rPr>
              <w:t>1/3 of Shares Subject to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2"/>
              </w:rPr>
              <w:t>3</w:t>
            </w:r>
            <w:r>
              <w:rPr>
                <w:rFonts w:ascii="Arial;sans-serif" w:hAnsi="Arial;sans-serif"/>
                <w:b w:val="false"/>
                <w:color w:val="000000"/>
                <w:sz w:val="14"/>
              </w:rPr>
              <w:t>rd</w:t>
            </w:r>
            <w:r>
              <w:rPr>
                <w:color w:val="000000"/>
              </w:rPr>
              <w:t xml:space="preserve"> </w:t>
            </w:r>
            <w:r>
              <w:rPr>
                <w:rFonts w:ascii="Arial;sans-serif" w:hAnsi="Arial;sans-serif"/>
                <w:b w:val="false"/>
                <w:color w:val="000000"/>
                <w:sz w:val="22"/>
              </w:rPr>
              <w:t>anniversary of Grant Date</w:t>
            </w:r>
          </w:p>
        </w:tc>
      </w:tr>
    </w:tbl>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Restricted Stock Unit Agreement. As a condition to your receipt of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lineRule="auto" w:line="288" w:before="240" w:after="240"/>
        <w:jc w:val="left"/>
        <w:rPr/>
      </w:pPr>
      <w:r>
        <w:rPr>
          <w:rFonts w:ascii="Arial;sans-serif" w:hAnsi="Arial;sans-serif"/>
          <w:b/>
          <w:color w:val="000000"/>
          <w:sz w:val="22"/>
          <w:u w:val="single"/>
        </w:rPr>
        <w:t>Note</w:t>
      </w:r>
      <w:r>
        <w:rPr>
          <w:rFonts w:ascii="Arial;sans-serif" w:hAnsi="Arial;sans-serif"/>
          <w:b/>
          <w:color w:val="000000"/>
          <w:sz w:val="22"/>
        </w:rPr>
        <w:t xml:space="preserve">: Sections 5 through 7, 9(b)(iii), and 9(b)(v) of the Restricted Stock Unit Agreement contain provisions that restrict your activities. These provisions apply to you and, by accepting this Award, you agree to be bound by these restrictions. Accepting this Award, and these provisions, is not a condition of your employment or continued employment by Fiserv. </w:t>
      </w:r>
    </w:p>
    <w:p>
      <w:pPr>
        <w:pStyle w:val="TextBody"/>
        <w:bidi w:val="0"/>
        <w:spacing w:lineRule="auto" w:line="288" w:before="24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center"/>
        <w:rPr>
          <w:rFonts w:ascii="Arial;sans-serif" w:hAnsi="Arial;sans-serif"/>
          <w:b/>
          <w:color w:val="000000"/>
          <w:sz w:val="20"/>
          <w:u w:val="single"/>
        </w:rPr>
      </w:pPr>
      <w:r>
        <w:rPr>
          <w:rFonts w:ascii="Arial;sans-serif" w:hAnsi="Arial;sans-serif"/>
          <w:b/>
          <w:color w:val="000000"/>
          <w:sz w:val="20"/>
          <w:u w:val="single"/>
        </w:rPr>
        <w:t xml:space="preserve">RESTRICTED STOCK UNIT AGREEMENT </w:t>
      </w:r>
    </w:p>
    <w:p>
      <w:pPr>
        <w:pStyle w:val="TextBody"/>
        <w:bidi w:val="0"/>
        <w:spacing w:lineRule="auto" w:line="300" w:before="0" w:after="240"/>
        <w:ind w:left="0" w:right="0" w:firstLine="720"/>
        <w:jc w:val="left"/>
        <w:rPr/>
      </w:pP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Restricted Stock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such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300"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event of a conflict between the terms of this Agreement or the Award Memorandum and the terms of the Plan, the terms of the Plan shall govern. In the event of a conflict between the terms of this Agreement and the Award Memorandum, the terms of this Agreement shall govern. </w:t>
      </w:r>
    </w:p>
    <w:p>
      <w:pPr>
        <w:pStyle w:val="TextBody"/>
        <w:bidi w:val="0"/>
        <w:spacing w:lineRule="auto" w:line="300" w:before="0" w:after="240"/>
        <w:ind w:left="0" w:right="0" w:hanging="432"/>
        <w:jc w:val="left"/>
        <w:rPr/>
      </w:pPr>
      <w:r>
        <w:rPr>
          <w:rFonts w:ascii="Arial;sans-serif" w:hAnsi="Arial;sans-serif"/>
          <w:b w:val="false"/>
          <w:color w:val="000000"/>
          <w:sz w:val="20"/>
        </w:rPr>
        <w:t>1.    </w:t>
      </w:r>
      <w:r>
        <w:rPr>
          <w:rFonts w:ascii="Arial;sans-serif" w:hAnsi="Arial;sans-serif"/>
          <w:b/>
          <w:color w:val="000000"/>
          <w:sz w:val="20"/>
          <w:u w:val="single"/>
        </w:rPr>
        <w:t>Grant Date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Award is granted to you on the Grant Date set forth in the Award Memorandum. </w:t>
      </w:r>
    </w:p>
    <w:p>
      <w:pPr>
        <w:pStyle w:val="TextBody"/>
        <w:bidi w:val="0"/>
        <w:spacing w:lineRule="auto" w:line="300" w:before="0" w:after="240"/>
        <w:ind w:left="0" w:right="0" w:hanging="432"/>
        <w:jc w:val="left"/>
        <w:rPr/>
      </w:pPr>
      <w:r>
        <w:rPr>
          <w:rFonts w:ascii="Arial;sans-serif" w:hAnsi="Arial;sans-serif"/>
          <w:b w:val="false"/>
          <w:color w:val="000000"/>
          <w:sz w:val="20"/>
        </w:rPr>
        <w:t>2.    </w:t>
      </w:r>
      <w:r>
        <w:rPr>
          <w:rFonts w:ascii="Arial;sans-serif" w:hAnsi="Arial;sans-serif"/>
          <w:b/>
          <w:color w:val="000000"/>
          <w:sz w:val="20"/>
          <w:u w:val="single"/>
        </w:rPr>
        <w:t>Vesting</w:t>
      </w:r>
      <w:r>
        <w:rPr>
          <w:rFonts w:ascii="Arial;sans-serif" w:hAnsi="Arial;sans-serif"/>
          <w:b/>
          <w:color w:val="000000"/>
          <w:sz w:val="20"/>
        </w:rPr>
        <w:t xml:space="preserve">. </w:t>
      </w:r>
      <w:r>
        <w:rPr>
          <w:rFonts w:ascii="Arial;sans-serif" w:hAnsi="Arial;sans-serif"/>
          <w:b w:val="false"/>
          <w:color w:val="000000"/>
          <w:sz w:val="20"/>
        </w:rPr>
        <w:t>Provided that you are an employee as of the applicable date, this Award will vest as indicated in the Award Memorandum. This Award also may continue to vest following your Retirement (as defined below) as described in Section 9.</w:t>
      </w:r>
    </w:p>
    <w:p>
      <w:pPr>
        <w:pStyle w:val="TextBody"/>
        <w:bidi w:val="0"/>
        <w:spacing w:lineRule="auto" w:line="300" w:before="0" w:after="240"/>
        <w:ind w:left="0" w:right="0" w:hanging="432"/>
        <w:jc w:val="left"/>
        <w:rPr/>
      </w:pPr>
      <w:r>
        <w:rPr>
          <w:color w:val="000000"/>
        </w:rPr>
        <w:t> </w:t>
      </w:r>
      <w:r>
        <w:rPr>
          <w:rFonts w:ascii="Arial;sans-serif" w:hAnsi="Arial;sans-serif"/>
          <w:b w:val="false"/>
          <w:color w:val="000000"/>
          <w:sz w:val="20"/>
        </w:rPr>
        <w:t>3.    </w:t>
      </w:r>
      <w:r>
        <w:rPr>
          <w:rFonts w:ascii="Arial;sans-serif" w:hAnsi="Arial;sans-serif"/>
          <w:b/>
          <w:color w:val="000000"/>
          <w:sz w:val="20"/>
          <w:u w:val="single"/>
        </w:rPr>
        <w:t>Termination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Your Award shall terminate in all events on the earlier of (a) the date upon which vesting is no longer permitted pursuant to Section 9 or (b) your failure to accept the terms of this Agreement, the Award Memorandum and the Plan within the time period and in the manner specified in this Agreement. Notwithstanding the foregoing, if this Award is terminated pursuant to subsection (a) of this Section 3, then the provisions of Sections 4 through 8 shall survive such termination.</w:t>
      </w:r>
    </w:p>
    <w:p>
      <w:pPr>
        <w:pStyle w:val="TextBody"/>
        <w:bidi w:val="0"/>
        <w:spacing w:lineRule="auto" w:line="300" w:before="0" w:after="240"/>
        <w:ind w:left="0" w:right="0" w:hanging="432"/>
        <w:jc w:val="left"/>
        <w:rPr/>
      </w:pPr>
      <w:r>
        <w:rPr>
          <w:rFonts w:ascii="Arial;sans-serif" w:hAnsi="Arial;sans-serif"/>
          <w:b w:val="false"/>
          <w:color w:val="000000"/>
          <w:sz w:val="20"/>
        </w:rPr>
        <w:t>4.    </w:t>
      </w:r>
      <w:r>
        <w:rPr>
          <w:rFonts w:ascii="Arial;sans-serif" w:hAnsi="Arial;sans-serif"/>
          <w:b/>
          <w:color w:val="000000"/>
          <w:sz w:val="20"/>
          <w:u w:val="single"/>
        </w:rPr>
        <w:t>Definitions Related to Confidential Information, Non-Competition and Related Covenants</w:t>
      </w:r>
      <w:r>
        <w:rPr>
          <w:rFonts w:ascii="Arial;sans-serif" w:hAnsi="Arial;sans-serif"/>
          <w:b/>
          <w:color w:val="000000"/>
          <w:sz w:val="2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val="false"/>
          <w:color w:val="000000"/>
          <w:sz w:val="20"/>
          <w:u w:val="single"/>
        </w:rPr>
        <w:t>Fiserv</w:t>
      </w:r>
      <w:r>
        <w:rPr>
          <w:color w:val="000000"/>
        </w:rPr>
        <w:t xml:space="preserve">” </w:t>
      </w:r>
      <w:r>
        <w:rPr>
          <w:rFonts w:ascii="Arial;sans-serif" w:hAnsi="Arial;sans-serif"/>
          <w:b w:val="false"/>
          <w:color w:val="000000"/>
          <w:sz w:val="20"/>
        </w:rPr>
        <w:t xml:space="preserve">means the Company, its direct and indirect Subsidiaries, affiliated entities, successors, and assigns. </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val="false"/>
          <w:color w:val="000000"/>
          <w:sz w:val="20"/>
          <w:u w:val="single"/>
        </w:rPr>
        <w:t>Confidential Information</w:t>
      </w:r>
      <w:r>
        <w:rPr>
          <w:color w:val="000000"/>
        </w:rPr>
        <w:t xml:space="preserve">” </w:t>
      </w:r>
      <w:r>
        <w:rPr>
          <w:rFonts w:ascii="Arial;sans-serif" w:hAnsi="Arial;sans-serif"/>
          <w:b w:val="false"/>
          <w:color w:val="000000"/>
          <w:sz w:val="20"/>
        </w:rPr>
        <w:t xml:space="preserve">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val="false"/>
          <w:color w:val="000000"/>
          <w:sz w:val="20"/>
          <w:u w:val="single"/>
        </w:rPr>
        <w:t>Competing Product or Service</w:t>
      </w:r>
      <w:r>
        <w:rPr>
          <w:color w:val="000000"/>
        </w:rPr>
        <w:t xml:space="preserve">” </w:t>
      </w:r>
      <w:r>
        <w:rPr>
          <w:rFonts w:ascii="Arial;sans-serif" w:hAnsi="Arial;sans-serif"/>
          <w:b w:val="false"/>
          <w:color w:val="000000"/>
          <w:sz w:val="20"/>
        </w:rPr>
        <w:t xml:space="preserve">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Fiserv, or for which you supervised one or more Fiserv employees, units, divisions, or departments in doing so. </w: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val="false"/>
          <w:color w:val="000000"/>
          <w:sz w:val="20"/>
          <w:u w:val="single"/>
        </w:rPr>
        <w:t>Competitor</w:t>
      </w:r>
      <w:r>
        <w:rPr>
          <w:color w:val="000000"/>
        </w:rPr>
        <w:t xml:space="preserve">” </w:t>
      </w:r>
      <w:r>
        <w:rPr>
          <w:rFonts w:ascii="Arial;sans-serif" w:hAnsi="Arial;sans-serif"/>
          <w:b w:val="false"/>
          <w:color w:val="000000"/>
          <w:sz w:val="20"/>
        </w:rPr>
        <w:t xml:space="preserve">means an individual, business or any other entity or enterprise engaged or having publicly announced its intent to engage in the sale or marketing of any Competing Product or Service.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val="false"/>
          <w:color w:val="000000"/>
          <w:sz w:val="20"/>
          <w:u w:val="single"/>
        </w:rPr>
        <w:t>Innovations</w:t>
      </w:r>
      <w:r>
        <w:rPr>
          <w:color w:val="000000"/>
        </w:rPr>
        <w:t xml:space="preserve">” </w:t>
      </w:r>
      <w:r>
        <w:rPr>
          <w:rFonts w:ascii="Arial;sans-serif" w:hAnsi="Arial;sans-serif"/>
          <w:b w:val="false"/>
          <w:color w:val="000000"/>
          <w:sz w:val="20"/>
        </w:rPr>
        <w:t xml:space="preserve">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 </w:t>
      </w:r>
    </w:p>
    <w:p>
      <w:pPr>
        <w:pStyle w:val="TextBody"/>
        <w:bidi w:val="0"/>
        <w:spacing w:lineRule="auto" w:line="300" w:before="0" w:after="240"/>
        <w:ind w:left="0" w:right="0" w:hanging="432"/>
        <w:jc w:val="left"/>
        <w:rPr/>
      </w:pPr>
      <w:r>
        <w:rPr>
          <w:rFonts w:ascii="Arial;sans-serif" w:hAnsi="Arial;sans-serif"/>
          <w:b w:val="false"/>
          <w:color w:val="000000"/>
          <w:sz w:val="20"/>
        </w:rPr>
        <w:t>(f)    “</w:t>
      </w:r>
      <w:r>
        <w:rPr>
          <w:rFonts w:ascii="Arial;sans-serif" w:hAnsi="Arial;sans-serif"/>
          <w:b w:val="false"/>
          <w:color w:val="000000"/>
          <w:sz w:val="20"/>
          <w:u w:val="single"/>
        </w:rPr>
        <w:t>Moral Rights</w:t>
      </w:r>
      <w:r>
        <w:rPr>
          <w:color w:val="000000"/>
        </w:rPr>
        <w:t xml:space="preserve">” </w:t>
      </w:r>
      <w:r>
        <w:rPr>
          <w:rFonts w:ascii="Arial;sans-serif" w:hAnsi="Arial;sans-serif"/>
          <w:b w:val="false"/>
          <w:color w:val="000000"/>
          <w:sz w:val="20"/>
        </w:rPr>
        <w:t xml:space="preserve">means any rights to claim authorship of a work of authorship, to object to or prevent the modification of any such work of authorship, or to withdraw from circulation or control the publication or distribution of any such work of authorship. </w:t>
      </w:r>
    </w:p>
    <w:p>
      <w:pPr>
        <w:pStyle w:val="TextBody"/>
        <w:bidi w:val="0"/>
        <w:spacing w:lineRule="auto" w:line="300" w:before="0" w:after="240"/>
        <w:ind w:left="0" w:right="0" w:hanging="432"/>
        <w:jc w:val="left"/>
        <w:rPr/>
      </w:pPr>
      <w:r>
        <w:rPr>
          <w:rFonts w:ascii="Arial;sans-serif" w:hAnsi="Arial;sans-serif"/>
          <w:b w:val="false"/>
          <w:color w:val="000000"/>
          <w:sz w:val="20"/>
        </w:rPr>
        <w:t>(g)    “</w:t>
      </w:r>
      <w:r>
        <w:rPr>
          <w:rFonts w:ascii="Arial;sans-serif" w:hAnsi="Arial;sans-serif"/>
          <w:b w:val="false"/>
          <w:color w:val="000000"/>
          <w:sz w:val="20"/>
          <w:u w:val="single"/>
        </w:rPr>
        <w:t>Client</w:t>
      </w:r>
      <w:r>
        <w:rPr>
          <w:color w:val="000000"/>
        </w:rPr>
        <w:t xml:space="preserve">” </w:t>
      </w:r>
      <w:r>
        <w:rPr>
          <w:rFonts w:ascii="Arial;sans-serif" w:hAnsi="Arial;sans-serif"/>
          <w:b w:val="false"/>
          <w:color w:val="000000"/>
          <w:sz w:val="20"/>
        </w:rPr>
        <w:t xml:space="preserve">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(h)    “</w:t>
      </w:r>
      <w:r>
        <w:rPr>
          <w:rFonts w:ascii="Arial;sans-serif" w:hAnsi="Arial;sans-serif"/>
          <w:b w:val="false"/>
          <w:color w:val="000000"/>
          <w:sz w:val="20"/>
          <w:u w:val="single"/>
        </w:rPr>
        <w:t>Prospective Client</w:t>
      </w:r>
      <w:r>
        <w:rPr>
          <w:color w:val="000000"/>
        </w:rPr>
        <w:t xml:space="preserve">” </w:t>
      </w:r>
      <w:r>
        <w:rPr>
          <w:rFonts w:ascii="Arial;sans-serif" w:hAnsi="Arial;sans-serif"/>
          <w:b w:val="false"/>
          <w:color w:val="000000"/>
          <w:sz w:val="20"/>
        </w:rPr>
        <w:t xml:space="preserve">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(i)    “</w:t>
      </w:r>
      <w:r>
        <w:rPr>
          <w:rFonts w:ascii="Arial;sans-serif" w:hAnsi="Arial;sans-serif"/>
          <w:b w:val="false"/>
          <w:color w:val="000000"/>
          <w:sz w:val="20"/>
          <w:u w:val="single"/>
        </w:rPr>
        <w:t>Territory</w:t>
      </w:r>
      <w:r>
        <w:rPr>
          <w:color w:val="000000"/>
        </w:rPr>
        <w:t xml:space="preserve">” </w:t>
      </w:r>
      <w:r>
        <w:rPr>
          <w:rFonts w:ascii="Arial;sans-serif" w:hAnsi="Arial;sans-serif"/>
          <w:b w:val="false"/>
          <w:color w:val="000000"/>
          <w:sz w:val="20"/>
        </w:rPr>
        <w:t>means the geographic regions for which you had executive, managerial, supervisory, sales, marketing, client servicing, and/or other responsibilities during any part of the 24 months preceding the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(j)     “</w:t>
      </w:r>
      <w:r>
        <w:rPr>
          <w:rFonts w:ascii="Arial;sans-serif" w:hAnsi="Arial;sans-serif"/>
          <w:b w:val="false"/>
          <w:color w:val="000000"/>
          <w:sz w:val="20"/>
          <w:u w:val="single"/>
        </w:rPr>
        <w:t>Vendor</w:t>
      </w:r>
      <w:r>
        <w:rPr>
          <w:color w:val="000000"/>
        </w:rPr>
        <w:t xml:space="preserve">” </w:t>
      </w:r>
      <w:r>
        <w:rPr>
          <w:rFonts w:ascii="Arial;sans-serif" w:hAnsi="Arial;sans-serif"/>
          <w:b w:val="false"/>
          <w:color w:val="000000"/>
          <w:sz w:val="20"/>
        </w:rPr>
        <w:t xml:space="preserve">means a third party unaffiliated with Fiserv that contracts with Fiserv to provide services to Fiserv or its clients: (i) that you directly worked with or for which you supervised others in working with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(k)    “</w:t>
      </w:r>
      <w:r>
        <w:rPr>
          <w:rFonts w:ascii="Arial;sans-serif" w:hAnsi="Arial;sans-serif"/>
          <w:b w:val="false"/>
          <w:color w:val="000000"/>
          <w:sz w:val="20"/>
          <w:u w:val="single"/>
        </w:rPr>
        <w:t>Addendum</w:t>
      </w:r>
      <w:r>
        <w:rPr>
          <w:color w:val="000000"/>
        </w:rPr>
        <w:t xml:space="preserve">” </w:t>
      </w:r>
      <w:r>
        <w:rPr>
          <w:rFonts w:ascii="Arial;sans-serif" w:hAnsi="Arial;sans-serif"/>
          <w:b w:val="false"/>
          <w:color w:val="000000"/>
          <w:sz w:val="20"/>
        </w:rPr>
        <w:t>means a jurisdiction-specific provision for certain employees of Fiserv who are employed to work and/or reside in certain jurisdictions that modifies and/or supplements the terms of Sections 5 through 7, 9(b)(iii), and 9(b)(v) of this Agreement to the extent specified in the Addendum. The Addendum will be incorporated into, construed jointly with, modify and/or supplement the terms of Sections 5 through 7, 9(b)(iii), and 9(b)(v)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5.     </w:t>
      </w:r>
      <w:r>
        <w:rPr>
          <w:rFonts w:ascii="Arial;sans-serif" w:hAnsi="Arial;sans-serif"/>
          <w:b/>
          <w:color w:val="000000"/>
          <w:sz w:val="20"/>
          <w:u w:val="single"/>
        </w:rPr>
        <w:t>Confidentiality and Innovations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During your employment, Fiserv will provide you with Confidential Information relating to Fiserv, its business, Clients and Prospective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Company or, in the case of the Chief Executive Officer of the Company, without the written approval of the Board: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    Notwithstanding the preceding statements, you understand that:</w:t>
      </w:r>
    </w:p>
    <w:p>
      <w:pPr>
        <w:pStyle w:val="TextBody"/>
        <w:bidi w:val="0"/>
        <w:spacing w:lineRule="auto" w:line="300" w:before="0" w:after="240"/>
        <w:ind w:left="0" w:right="0" w:hanging="432"/>
        <w:jc w:val="left"/>
        <w:rPr/>
      </w:pPr>
      <w:r>
        <w:rPr>
          <w:rFonts w:ascii="Arial;sans-serif" w:hAnsi="Arial;sans-serif"/>
          <w:b w:val="false"/>
          <w:color w:val="000000"/>
          <w:sz w:val="20"/>
        </w:rPr>
        <w:t>(i)Nothing in this Agreement or any other Fiserv policy prohibits or impedes you from communicating, cooperating, or filing a complaint with any U.S., federal, state, or local governmental or law enforcement branch, agency, or entity (collectively, a “</w:t>
      </w:r>
      <w:r>
        <w:rPr>
          <w:rFonts w:ascii="Arial;sans-serif" w:hAnsi="Arial;sans-serif"/>
          <w:b w:val="false"/>
          <w:color w:val="000000"/>
          <w:sz w:val="20"/>
          <w:u w:val="single"/>
        </w:rPr>
        <w:t>Governmental Entity</w:t>
      </w:r>
      <w:r>
        <w:rPr>
          <w:color w:val="000000"/>
        </w:rPr>
        <w:t>”</w:t>
      </w:r>
      <w:r>
        <w:rPr>
          <w:rFonts w:ascii="Arial;sans-serif" w:hAnsi="Arial;sans-serif"/>
          <w:b w:val="false"/>
          <w:color w:val="000000"/>
          <w:sz w:val="20"/>
        </w:rPr>
        <w:t xml:space="preserve">)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 </w:t>
      </w:r>
    </w:p>
    <w:p>
      <w:pPr>
        <w:pStyle w:val="TextBody"/>
        <w:bidi w:val="0"/>
        <w:spacing w:lineRule="auto" w:line="300" w:before="0" w:after="240"/>
        <w:ind w:left="0" w:right="0" w:hanging="294"/>
        <w:jc w:val="left"/>
        <w:rPr/>
      </w:pPr>
      <w:r>
        <w:rPr>
          <w:rFonts w:ascii="Arial;sans-serif" w:hAnsi="Arial;sans-serif"/>
          <w:b w:val="false"/>
          <w:color w:val="000000"/>
          <w:sz w:val="20"/>
        </w:rPr>
        <w:t>(ii)</w:t>
      </w:r>
      <w:r>
        <w:rPr>
          <w:color w:val="000000"/>
        </w:rPr>
        <w:t xml:space="preserve"> </w:t>
      </w:r>
      <w:r>
        <w:rPr>
          <w:rFonts w:ascii="Arial;sans-serif" w:hAnsi="Arial;sans-serif"/>
          <w:b w:val="false"/>
          <w:color w:val="000000"/>
          <w:sz w:val="20"/>
        </w:rPr>
        <w:t>Pursuant to 18 U.S.C. §1833(b)(1) and §1833(b)(2):</w:t>
      </w:r>
    </w:p>
    <w:p>
      <w:pPr>
        <w:pStyle w:val="TextBody"/>
        <w:bidi w:val="0"/>
        <w:spacing w:lineRule="auto" w:line="30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    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pStyle w:val="TextBody"/>
        <w:bidi w:val="0"/>
        <w:spacing w:lineRule="auto" w:line="30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    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You understand that if you are found to have wrongfully misappropriated a trade secret, you may be liable to Fiserv for, among other things, exemplary damages and attorneys’ fees.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post-employment efforts by you to work for a Competitor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6.     </w:t>
      </w:r>
      <w:r>
        <w:rPr>
          <w:rFonts w:ascii="Arial;sans-serif" w:hAnsi="Arial;sans-serif"/>
          <w:b/>
          <w:color w:val="000000"/>
          <w:sz w:val="20"/>
          <w:u w:val="single"/>
        </w:rPr>
        <w:t>Restrictions During Employment</w:t>
      </w:r>
      <w:r>
        <w:rPr>
          <w:rFonts w:ascii="Arial;sans-serif" w:hAnsi="Arial;sans-serif"/>
          <w:b/>
          <w:color w:val="000000"/>
          <w:sz w:val="20"/>
        </w:rPr>
        <w:t>.</w:t>
      </w:r>
      <w:r>
        <w:rPr>
          <w:color w:val="000000"/>
        </w:rPr>
        <w:t xml:space="preserve"> </w:t>
      </w:r>
      <w:r>
        <w:rPr>
          <w:rFonts w:ascii="Arial;sans-serif" w:hAnsi="Arial;sans-serif"/>
          <w:b w:val="false"/>
          <w:color w:val="000000"/>
          <w:sz w:val="20"/>
        </w:rPr>
        <w:t>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perform duties as or for a Competitor of Fiserv (except to the extent required by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entice, induce, encourage, urge, or solicit Clients, Prospective Clients or Vendors of Fiserv to currently and/or prospectively breach, modify, or terminate any agreement or relationship they have or had with Fiserv;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     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24-month period preceding the termination of your employment with Fiserv).</w:t>
      </w:r>
    </w:p>
    <w:p>
      <w:pPr>
        <w:pStyle w:val="TextBody"/>
        <w:bidi w:val="0"/>
        <w:spacing w:lineRule="auto" w:line="300" w:before="0" w:after="240"/>
        <w:ind w:left="0" w:right="0" w:hanging="432"/>
        <w:jc w:val="left"/>
        <w:rPr/>
      </w:pPr>
      <w:r>
        <w:rPr>
          <w:color w:val="000000"/>
        </w:rPr>
        <w:t> </w:t>
      </w:r>
      <w:r>
        <w:rPr>
          <w:rFonts w:ascii="Arial;sans-serif" w:hAnsi="Arial;sans-serif"/>
          <w:b w:val="false"/>
          <w:color w:val="000000"/>
          <w:sz w:val="20"/>
        </w:rPr>
        <w:t>7.     </w:t>
      </w:r>
      <w:r>
        <w:rPr>
          <w:rFonts w:ascii="Arial;sans-serif" w:hAnsi="Arial;sans-serif"/>
          <w:b/>
          <w:color w:val="000000"/>
          <w:sz w:val="20"/>
          <w:u w:val="single"/>
        </w:rPr>
        <w:t>Restrictions Following Employment</w:t>
      </w:r>
      <w:r>
        <w:rPr>
          <w:rFonts w:ascii="Arial;sans-serif" w:hAnsi="Arial;sans-serif"/>
          <w:b/>
          <w:color w:val="000000"/>
          <w:sz w:val="20"/>
        </w:rPr>
        <w:t>.</w:t>
      </w:r>
      <w:r>
        <w:rPr>
          <w:color w:val="000000"/>
        </w:rPr>
        <w:t xml:space="preserve"> </w:t>
      </w:r>
      <w:r>
        <w:rPr>
          <w:rFonts w:ascii="Arial;sans-serif" w:hAnsi="Arial;sans-serif"/>
          <w:b w:val="false"/>
          <w:color w:val="000000"/>
          <w:sz w:val="20"/>
        </w:rPr>
        <w:t>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that are the same as or similar to the duties performed by you for Fiserv at any time during any part of the 24-month period preceding the termination of your employment with Fiserv and which involve a Competing Product or Service;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entice, induce, encourage, urge or solicit Clients, Prospective Clients, or Vendors of Fiserv to currently and/or prospectively breach, modify or terminate any agreement or relationship they have or had with Fiserv;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entice, induce, encourage urge or solicit any employee to leave employment with Fiserv or become employed by a Competitor, Client, Prospective Client, or Vendor of Fiserv (the provisions of this Section 7(c) shall apply to any employee of Fiserv with whom you worked during any part of the 24-month period preceding the termination of your employment with Fiserv); or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 </w:t>
      </w:r>
    </w:p>
    <w:p>
      <w:pPr>
        <w:pStyle w:val="TextBody"/>
        <w:bidi w:val="0"/>
        <w:spacing w:lineRule="auto" w:line="300" w:before="0" w:after="240"/>
        <w:ind w:left="0" w:right="0" w:hanging="432"/>
        <w:jc w:val="left"/>
        <w:rPr/>
      </w:pPr>
      <w:r>
        <w:rPr>
          <w:rFonts w:ascii="Arial;sans-serif" w:hAnsi="Arial;sans-serif"/>
          <w:b w:val="false"/>
          <w:color w:val="000000"/>
          <w:sz w:val="20"/>
        </w:rPr>
        <w:t xml:space="preserve">8. </w:t>
      </w:r>
      <w:r>
        <w:rPr>
          <w:rFonts w:ascii="Arial;sans-serif" w:hAnsi="Arial;sans-serif"/>
          <w:b/>
          <w:color w:val="000000"/>
          <w:sz w:val="20"/>
          <w:u w:val="single"/>
        </w:rPr>
        <w:t>Acknowledgments Regarding Restrictive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w:t>
      </w:r>
      <w:r>
        <w:rPr>
          <w:rFonts w:ascii="Arial;sans-serif" w:hAnsi="Arial;sans-serif"/>
          <w:b/>
          <w:color w:val="000000"/>
          <w:sz w:val="20"/>
        </w:rPr>
        <w:t>No provision of Sections 5 through 7 will apply to limit or restrict your conduct under this Agreement during or after your employment, or trigger any reimbursement obligations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limit or prohibit the enforceability of some or all of Sections 5 through 7 are set forth in the Addendum that will be provided and/or made available to you concurrently with this Agreement</w:t>
      </w:r>
      <w:r>
        <w:rPr>
          <w:rFonts w:ascii="Arial;sans-serif" w:hAnsi="Arial;sans-serif"/>
          <w:b w:val="false"/>
          <w:color w:val="000000"/>
          <w:sz w:val="20"/>
        </w:rPr>
        <w:t xml:space="preserve">.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(b)    You acknowledge the consideration provided for your agreement to comply with the provision of Sections 5 through 7 include (i) Fiserv’s provision of Confidential Information to you, (ii) this Award, and (iii) the Shares issued under the Award, if any.</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You acknowledge and agree that compliance with Sections 5 through 7 is necessary to protect Fiserv, and that a breach of any of Sections 5 through 7 will result in irreparable and continuing damage to Fiserv for which there will be no adequate remedy at law. In the event of a breach of Sections 5 through 7, or any part thereof, Fiserv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further agree that, in the event of your breach of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(e)    You agree that the terms of this Agreement shall survive the termination of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(f)    BY ACCEPTING THIS AWARD, YOU ACKNOWLEDGE THAT YOU HAVE READ THIS AGREEMENT, INCLUDING SECTIONS 5 THROUGH 7, AND AGREE THAT THE CONSIDERATION PROVIDED BY FISERV IS FAIR AND REASONABLE AND FURTHER AGREE THAT GIVEN THE IMPORTANCE TO FISERV OF ITS CONFIDENTIAL AND PROPRIETARY INFORMATION, THE RESTRICTIONS ON YOUR ACTIVITIES,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INCLUDING THOSE THAT APPLY POST-EMPLOYMENT, ARE LIKEWISE FAIR AND REASONABLE. </w:t>
      </w:r>
    </w:p>
    <w:p>
      <w:pPr>
        <w:pStyle w:val="TextBody"/>
        <w:bidi w:val="0"/>
        <w:spacing w:lineRule="auto" w:line="300" w:before="0" w:after="240"/>
        <w:ind w:left="0" w:right="0" w:firstLine="180"/>
        <w:jc w:val="left"/>
        <w:rPr/>
      </w:pPr>
      <w:r>
        <w:rPr>
          <w:rFonts w:ascii="Arial;sans-serif" w:hAnsi="Arial;sans-serif"/>
          <w:b w:val="false"/>
          <w:color w:val="000000"/>
          <w:sz w:val="20"/>
        </w:rPr>
        <w:t>9.    </w:t>
      </w:r>
      <w:r>
        <w:rPr>
          <w:rFonts w:ascii="Arial;sans-serif" w:hAnsi="Arial;sans-serif"/>
          <w:b/>
          <w:color w:val="000000"/>
          <w:sz w:val="20"/>
          <w:u w:val="single"/>
        </w:rPr>
        <w:t>Termination of Employment</w:t>
      </w:r>
      <w:r>
        <w:rPr>
          <w:rFonts w:ascii="Arial;sans-serif" w:hAnsi="Arial;sans-serif"/>
          <w:b/>
          <w:color w:val="000000"/>
          <w:sz w:val="2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color w:val="000000"/>
          <w:sz w:val="20"/>
          <w:u w:val="single"/>
        </w:rPr>
        <w:t>Vesting</w:t>
      </w:r>
      <w:r>
        <w:rPr>
          <w:rFonts w:ascii="Arial;sans-serif" w:hAnsi="Arial;sans-serif"/>
          <w:b w:val="false"/>
          <w:color w:val="000000"/>
          <w:sz w:val="20"/>
        </w:rPr>
        <w:t>. If you cease to be an employee of the Company or any Subsidiary for any reason (a “</w:t>
      </w:r>
      <w:r>
        <w:rPr>
          <w:rFonts w:ascii="Arial;sans-serif" w:hAnsi="Arial;sans-serif"/>
          <w:b w:val="false"/>
          <w:color w:val="000000"/>
          <w:sz w:val="20"/>
          <w:u w:val="single"/>
        </w:rPr>
        <w:t>Termination Event</w:t>
      </w:r>
      <w:r>
        <w:rPr>
          <w:color w:val="000000"/>
        </w:rPr>
        <w:t>”</w:t>
      </w:r>
      <w:r>
        <w:rPr>
          <w:rFonts w:ascii="Arial;sans-serif" w:hAnsi="Arial;sans-serif"/>
          <w:b w:val="false"/>
          <w:color w:val="000000"/>
          <w:sz w:val="20"/>
        </w:rPr>
        <w:t xml:space="preserve">), the unvested portion of the Award shall terminate on the date on which such Termination Event occurs;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u w:val="single"/>
        </w:rPr>
        <w:t>that</w:t>
      </w:r>
      <w:r>
        <w:rPr>
          <w:rFonts w:ascii="Arial;sans-serif" w:hAnsi="Arial;sans-serif"/>
          <w:b w:val="false"/>
          <w:color w:val="000000"/>
          <w:sz w:val="20"/>
        </w:rPr>
        <w:t>, if the reason for your Termination Event is: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(i)Death or Disability, then the unvested portion of this Award as of the date of your death or Disability shall be vested in full;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(ii)Retirement, then the unvested portion of the Award shall continue to vest as described in subsection (b).</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If you are regularly scheduled to work less than 20 hours per calendar week for the Company or any Subsidiary, you will be deemed to have experienced a Termination Event (except as otherwise provided in subsection (d)).</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color w:val="000000"/>
          <w:sz w:val="20"/>
          <w:u w:val="single"/>
        </w:rPr>
        <w:t>Continued Vesting Upon Retirement</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(i)     For purposes of this Section 9, “</w:t>
      </w:r>
      <w:r>
        <w:rPr>
          <w:rFonts w:ascii="Arial;sans-serif" w:hAnsi="Arial;sans-serif"/>
          <w:b w:val="false"/>
          <w:color w:val="000000"/>
          <w:sz w:val="20"/>
          <w:u w:val="single"/>
        </w:rPr>
        <w:t>Retirement</w:t>
      </w:r>
      <w:r>
        <w:rPr>
          <w:color w:val="000000"/>
        </w:rPr>
        <w:t xml:space="preserve">” </w:t>
      </w:r>
      <w:r>
        <w:rPr>
          <w:rFonts w:ascii="Arial;sans-serif" w:hAnsi="Arial;sans-serif"/>
          <w:b w:val="false"/>
          <w:color w:val="000000"/>
          <w:sz w:val="20"/>
        </w:rPr>
        <w:t>means the cessation of service as an employee for any reason other than death, Disability or termination for Cause if:</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you are at least 55 years of age, have at least 5 years of continuous service with the Company and its Subsidiaries, and the sum of your age and years of continuous service with the Company and its Subsidiaries is at least 65; and</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have provided advance notice of your retirement as described below, unless a shorter period is approved by the Company’s Chief Executive Officer, Chief Human Resources Officer or their respective designees: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(1)     If you are employed at the Vice President level or below, you have provided at least 6 months’ advance notice of your retirement;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(2)     If you are employed at the Senior Vice President level or above, you have provided at least 12 months’ advance notice of your retirement.</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The Chief Executive Officer or Chief Legal Officer of the Company shall make a determination if there is a question as to the level of an employee and the applicable notice requirement.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(ii)     After your Retirement, the unvested portion of the Award shall continue to vest, subject to Sections 9(b)(iv) and (v), on the normal vesting dates indicated in the Award Memorandum as if you had not ceased to be an employee.</w:t>
      </w:r>
    </w:p>
    <w:p>
      <w:pPr>
        <w:pStyle w:val="TextBody"/>
        <w:bidi w:val="0"/>
        <w:spacing w:lineRule="auto" w:line="300" w:before="0" w:after="240"/>
        <w:ind w:left="0" w:right="0" w:hanging="432"/>
        <w:jc w:val="left"/>
        <w:rPr/>
      </w:pPr>
      <w:r>
        <w:rPr>
          <w:rFonts w:ascii="Arial;sans-serif" w:hAnsi="Arial;sans-serif"/>
          <w:b w:val="false"/>
          <w:color w:val="000000"/>
          <w:sz w:val="20"/>
        </w:rPr>
        <w:t>(iii)    If you are employed at the Vice President level or higher as of the date of your Retirement, in addition to the obligations set forth in Sections 5 through 7 for the period set forth therein, while any portion of this Award remains unvested and until the last vesting event of any equity award held by you at the time of Retirement (the “</w:t>
      </w:r>
      <w:r>
        <w:rPr>
          <w:rFonts w:ascii="Arial;sans-serif" w:hAnsi="Arial;sans-serif"/>
          <w:b w:val="false"/>
          <w:color w:val="000000"/>
          <w:sz w:val="20"/>
          <w:u w:val="single"/>
        </w:rPr>
        <w:t>Restricted Period</w:t>
      </w:r>
      <w:r>
        <w:rPr>
          <w:color w:val="000000"/>
        </w:rPr>
        <w:t>”</w:t>
      </w:r>
      <w:r>
        <w:rPr>
          <w:rFonts w:ascii="Arial;sans-serif" w:hAnsi="Arial;sans-serif"/>
          <w:b w:val="false"/>
          <w:color w:val="000000"/>
          <w:sz w:val="20"/>
        </w:rPr>
        <w:t xml:space="preserve">), you may not: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perform work of any kind for a Competitor, including as an employee, board member, consultant or otherwise;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perform work for a non-Competitor other than as permitted by clause (v) below; or </w:t>
      </w:r>
    </w:p>
    <w:p>
      <w:pPr>
        <w:pStyle w:val="TextBody"/>
        <w:bidi w:val="0"/>
        <w:spacing w:lineRule="auto" w:line="300" w:before="0" w:after="240"/>
        <w:ind w:left="0" w:right="0" w:hanging="432"/>
        <w:jc w:val="left"/>
        <w:rPr/>
      </w:pPr>
      <w:r>
        <w:rPr>
          <w:rFonts w:ascii="Arial;sans-serif" w:hAnsi="Arial;sans-serif"/>
          <w:b w:val="false"/>
          <w:color w:val="000000"/>
          <w:sz w:val="20"/>
        </w:rPr>
        <w:t>(C)     violate any post-employment covenant applicable to you under any agreement in effect with, or policy of, the Company or any of its Subsidiaries (each of (A)-(C) being a “</w:t>
      </w:r>
      <w:r>
        <w:rPr>
          <w:rFonts w:ascii="Arial;sans-serif" w:hAnsi="Arial;sans-serif"/>
          <w:b w:val="false"/>
          <w:color w:val="000000"/>
          <w:sz w:val="20"/>
          <w:u w:val="single"/>
        </w:rPr>
        <w:t>Post-Retirement Violation</w:t>
      </w:r>
      <w:r>
        <w:rPr>
          <w:color w:val="000000"/>
        </w:rPr>
        <w:t>”</w:t>
      </w:r>
      <w:r>
        <w:rPr>
          <w:rFonts w:ascii="Arial;sans-serif" w:hAnsi="Arial;sans-serif"/>
          <w:b w:val="false"/>
          <w:color w:val="000000"/>
          <w:sz w:val="2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(iv)    Without limiting any other provision of this Agreement, including Sections 5 through 7 as applicable, if a Post-Retirement Violation occurs and if the Post-Retirement Violation was of the nature described in 9(b)(iii)(A) or (C) above: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vesting of any unvested portion of the Award shall immediately cease;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the remedies available to the Company under Section 8, including recoupment of Shares, shall apply if the Post-Retirement Violation occurred during the first 12 months following Retirement; and</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any Shares received upon vesting after Retirement are subject to recoupment (either the actual shares or the current value thereof) if the Post Retirement Violation occurred after the one-year anniversary of your Retirement. </w:t>
      </w:r>
    </w:p>
    <w:p>
      <w:pPr>
        <w:pStyle w:val="TextBody"/>
        <w:bidi w:val="0"/>
        <w:spacing w:lineRule="auto" w:line="300" w:before="0" w:after="240"/>
        <w:ind w:left="0" w:right="0" w:hanging="432"/>
        <w:jc w:val="left"/>
        <w:rPr/>
      </w:pPr>
      <w:r>
        <w:rPr>
          <w:rFonts w:ascii="Arial;sans-serif" w:hAnsi="Arial;sans-serif"/>
          <w:b w:val="false"/>
          <w:color w:val="000000"/>
          <w:sz w:val="20"/>
        </w:rPr>
        <w:t>(v)    </w:t>
      </w:r>
      <w:r>
        <w:rPr>
          <w:rFonts w:ascii="Arial;sans-serif" w:hAnsi="Arial;sans-serif"/>
          <w:b w:val="false"/>
          <w:color w:val="000000"/>
          <w:sz w:val="20"/>
          <w:shd w:fill="FFFFFF" w:val="clear"/>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r>
        <w:rPr>
          <w:rFonts w:ascii="Arial;sans-serif" w:hAnsi="Arial;sans-serif"/>
          <w:b w:val="false"/>
          <w:color w:val="000000"/>
          <w:sz w:val="20"/>
        </w:rPr>
        <w:t xml:space="preserve">. If during the Restricted Period, you commence employment with or perform work for a non-Competitor where the role or responsibilities is similar to or greater than those which you had while employed by Fiserv, then vesting of any unvested portion of the Award shall immediately cease.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(vi)    While this Award is outstanding, as a condition to continued vesting, upon request of the Company, you must certify that you have not engaged in a Post-Retirement Violation and must provide such information as the Company requests in order to verify such certification.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(vii)    All determinations regarding whether you have engaged in a Post-Retirement Violation shall be made by the Committee.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(viii)    If you die after Retirement and prior to the date the Award vests in full (and provided that a Post-Retirement Violation has not occurred), then the Award shall become fully vested as of the date of your death. </w:t>
      </w:r>
    </w:p>
    <w:p>
      <w:pPr>
        <w:pStyle w:val="TextBody"/>
        <w:bidi w:val="0"/>
        <w:spacing w:lineRule="auto" w:line="300" w:before="0" w:after="240"/>
        <w:ind w:left="0" w:right="0" w:hanging="432"/>
        <w:jc w:val="left"/>
        <w:rPr/>
      </w:pPr>
      <w:r>
        <w:rPr>
          <w:rFonts w:ascii="Arial;sans-serif" w:hAnsi="Arial;sans-serif"/>
          <w:b w:val="false"/>
          <w:color w:val="000000"/>
          <w:sz w:val="20"/>
        </w:rPr>
        <w:t>(ix)     </w:t>
      </w:r>
      <w:r>
        <w:rPr>
          <w:rFonts w:ascii="Arial;sans-serif" w:hAnsi="Arial;sans-serif"/>
          <w:b/>
          <w:color w:val="000000"/>
          <w:sz w:val="20"/>
        </w:rPr>
        <w:t>No provision of this Section 9(b) will apply to limit or restrict your conduct under this Agreement after your employment, nor will be deemed a Post-Retirement Violation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limit or prohibit the enforceability of some or all of this Section 9(b) are set forth in the Addendum that will be provided and/or made available to you concurrently with this Agreement</w:t>
      </w:r>
      <w:r>
        <w:rPr>
          <w:rFonts w:ascii="Arial;sans-serif" w:hAnsi="Arial;sans-serif"/>
          <w:b w:val="false"/>
          <w:color w:val="000000"/>
          <w:sz w:val="20"/>
        </w:rPr>
        <w:t>.</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00" w:before="0" w:after="240"/>
        <w:ind w:left="0" w:right="0" w:hanging="414"/>
        <w:jc w:val="left"/>
        <w:rPr>
          <w:rFonts w:ascii="Arial;sans-serif" w:hAnsi="Arial;sans-serif"/>
          <w:b w:val="false"/>
          <w:color w:val="000000"/>
          <w:sz w:val="20"/>
        </w:rPr>
      </w:pPr>
      <w:r>
        <w:rPr>
          <w:rFonts w:ascii="Arial;sans-serif" w:hAnsi="Arial;sans-serif"/>
          <w:b w:val="false"/>
          <w:color w:val="000000"/>
          <w:sz w:val="20"/>
        </w:rPr>
        <w:t xml:space="preserve">(x)    BY ACCEPTING THIS AWARD, 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color w:val="000000"/>
          <w:sz w:val="20"/>
          <w:u w:val="single"/>
        </w:rPr>
        <w:t>Change of Control</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a Change of Control of the Company occurs, the provisions of Section 18(c) of the Plan shall apply to this 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and 9(b)(iii) and (v) shall immediately cease to apply. </w:t>
      </w:r>
    </w:p>
    <w:p>
      <w:pPr>
        <w:pStyle w:val="TextBody"/>
        <w:bidi w:val="0"/>
        <w:spacing w:lineRule="auto" w:line="300" w:before="0" w:after="240"/>
        <w:jc w:val="left"/>
        <w:rPr/>
      </w:pPr>
      <w:r>
        <w:rPr>
          <w:color w:val="000000"/>
        </w:rPr>
        <w:t>“</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 xml:space="preserve">means your suffering any of the following events upon or following a Change of Control without your consent: (i) significant or material lessening of your responsibilities; (ii)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(iii) the Company requiring you to be based anywhere other than within 50 miles of your place of employment at the time of the occurrence of the Change of Control, except for reasonably required travel to an extent substantially consistent with your business travel obligations. </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 </w: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color w:val="000000"/>
          <w:sz w:val="20"/>
          <w:u w:val="single"/>
        </w:rPr>
        <w:t>Service as Director</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For purposes of this Agreement, an employee of the Company or a Subsidiary, if also serving as a director, will not be deemed to have experienced a Termination Event for purposes of this Agreement until his or her service as a director ends, and his or her years of service will be deemed to include years of service as a director.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color w:val="000000"/>
          <w:sz w:val="20"/>
          <w:u w:val="single"/>
        </w:rPr>
        <w:t>No Further Obligation</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will have no further obligations to you under this Agreement if the Award terminates as provided herein. </w:t>
      </w:r>
    </w:p>
    <w:p>
      <w:pPr>
        <w:pStyle w:val="TextBody"/>
        <w:bidi w:val="0"/>
        <w:spacing w:lineRule="auto" w:line="300" w:before="0" w:after="240"/>
        <w:ind w:left="0" w:right="0" w:hanging="432"/>
        <w:jc w:val="left"/>
        <w:rPr/>
      </w:pPr>
      <w:r>
        <w:rPr>
          <w:rFonts w:ascii="Arial;sans-serif" w:hAnsi="Arial;sans-serif"/>
          <w:b w:val="false"/>
          <w:color w:val="000000"/>
          <w:sz w:val="20"/>
        </w:rPr>
        <w:t>(f)    </w:t>
      </w:r>
      <w:r>
        <w:rPr>
          <w:rFonts w:ascii="Arial;sans-serif" w:hAnsi="Arial;sans-serif"/>
          <w:b/>
          <w:color w:val="000000"/>
          <w:sz w:val="20"/>
          <w:u w:val="single"/>
        </w:rPr>
        <w:t>Separation Agreement</w:t>
      </w:r>
      <w:r>
        <w:rPr>
          <w:rFonts w:ascii="Arial;sans-serif" w:hAnsi="Arial;sans-serif"/>
          <w:b/>
          <w:color w:val="000000"/>
          <w:sz w:val="20"/>
        </w:rPr>
        <w:t>.</w:t>
      </w:r>
      <w:r>
        <w:rPr>
          <w:color w:val="000000"/>
        </w:rPr>
        <w:t xml:space="preserve"> </w:t>
      </w:r>
      <w:r>
        <w:rPr>
          <w:rFonts w:ascii="Arial;sans-serif" w:hAnsi="Arial;sans-serif"/>
          <w:b w:val="false"/>
          <w:color w:val="000000"/>
          <w:sz w:val="20"/>
        </w:rPr>
        <w:t>The provisions of this Section 9 are subject to (and may be amended by) the terms of a written separation agreement entered into between you and the Company or any of its Subsidiaries.</w:t>
      </w:r>
    </w:p>
    <w:p>
      <w:pPr>
        <w:pStyle w:val="TextBody"/>
        <w:bidi w:val="0"/>
        <w:spacing w:lineRule="auto" w:line="300" w:before="0" w:after="240"/>
        <w:ind w:left="0" w:right="0" w:hanging="432"/>
        <w:jc w:val="left"/>
        <w:rPr/>
      </w:pPr>
      <w:r>
        <w:rPr>
          <w:rFonts w:ascii="Arial;sans-serif" w:hAnsi="Arial;sans-serif"/>
          <w:b w:val="false"/>
          <w:color w:val="000000"/>
          <w:sz w:val="20"/>
        </w:rPr>
        <w:t>10.     </w:t>
      </w:r>
      <w:r>
        <w:rPr>
          <w:rFonts w:ascii="Arial;sans-serif" w:hAnsi="Arial;sans-serif"/>
          <w:b/>
          <w:color w:val="000000"/>
          <w:sz w:val="20"/>
          <w:u w:val="single"/>
        </w:rPr>
        <w:t>Deferral of Restricted Stock Units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you are eligible to, and properly elect to, defer delivery of all or part of the Shares otherwise issuable under this Award, such deferral will be governed by the Restricted Stock Unit Deferral Election Form executed by you separately from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11.     </w:t>
      </w:r>
      <w:r>
        <w:rPr>
          <w:rFonts w:ascii="Arial;sans-serif" w:hAnsi="Arial;sans-serif"/>
          <w:b/>
          <w:color w:val="000000"/>
          <w:sz w:val="20"/>
          <w:u w:val="single"/>
        </w:rPr>
        <w:t>Issuance of Shares</w:t>
      </w:r>
      <w:r>
        <w:rPr>
          <w:rFonts w:ascii="Arial;sans-serif" w:hAnsi="Arial;sans-serif"/>
          <w:b/>
          <w:color w:val="000000"/>
          <w:sz w:val="20"/>
        </w:rPr>
        <w:t xml:space="preserve">. </w:t>
      </w:r>
      <w:r>
        <w:rPr>
          <w:rFonts w:ascii="Arial;sans-serif" w:hAnsi="Arial;sans-serif"/>
          <w:b w:val="false"/>
          <w:color w:val="000000"/>
          <w:sz w:val="20"/>
        </w:rPr>
        <w:t xml:space="preserve">The Company, or its transfer agent, will issue and deliver the Shares to you as soon as practicable after the Award vests (pursuant to the terms hereof) with respect to such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00" w:before="0" w:after="240"/>
        <w:jc w:val="left"/>
        <w:rPr/>
      </w:pPr>
      <w:r>
        <w:rPr>
          <w:rFonts w:ascii="Arial;sans-serif" w:hAnsi="Arial;sans-serif"/>
          <w:b w:val="false"/>
          <w:color w:val="000000"/>
          <w:sz w:val="20"/>
        </w:rPr>
        <w:t>Shares, or, if a deferral election was made, at the time specified in the Deferral Election Form; provided that, if the Award vests as a result of a Termination Event resulting from your Disability after you become Retirement-eligible (i.e., after meeting the requirement set forth in Section 9(b)(i)(A)), then the Shares will be delivered upon the scheduled vesting dates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(i) the Plan and any agreement between you and the Company with respect to this Award or the Shares, (ii) any applicable federal or state laws, and (iii) the rules, regulations and other requirements of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or any stock exchange upon which the Shares are listed. The Company may cause an appropriate book entry notation to be made with respect to the Shares to reference any of the foregoing restrictions.</w:t>
      </w:r>
    </w:p>
    <w:p>
      <w:pPr>
        <w:pStyle w:val="TextBody"/>
        <w:bidi w:val="0"/>
        <w:spacing w:lineRule="auto" w:line="300" w:before="0" w:after="240"/>
        <w:ind w:left="0" w:right="0" w:hanging="432"/>
        <w:jc w:val="left"/>
        <w:rPr/>
      </w:pPr>
      <w:r>
        <w:rPr>
          <w:rFonts w:ascii="Arial;sans-serif" w:hAnsi="Arial;sans-serif"/>
          <w:b w:val="false"/>
          <w:color w:val="000000"/>
          <w:sz w:val="20"/>
        </w:rPr>
        <w:t>12.     </w:t>
      </w:r>
      <w:r>
        <w:rPr>
          <w:rFonts w:ascii="Arial;sans-serif" w:hAnsi="Arial;sans-serif"/>
          <w:b/>
          <w:color w:val="000000"/>
          <w:sz w:val="20"/>
          <w:u w:val="single"/>
        </w:rPr>
        <w:t>Non-Transferability of Award</w:t>
      </w:r>
      <w:r>
        <w:rPr>
          <w:rFonts w:ascii="Arial;sans-serif" w:hAnsi="Arial;sans-serif"/>
          <w:b/>
          <w:color w:val="000000"/>
          <w:sz w:val="2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300" w:before="0" w:after="240"/>
        <w:ind w:left="0" w:right="0" w:hanging="432"/>
        <w:jc w:val="left"/>
        <w:rPr/>
      </w:pPr>
      <w:r>
        <w:rPr>
          <w:rFonts w:ascii="Arial;sans-serif" w:hAnsi="Arial;sans-serif"/>
          <w:b w:val="false"/>
          <w:color w:val="000000"/>
          <w:sz w:val="20"/>
        </w:rPr>
        <w:t>13.     </w:t>
      </w:r>
      <w:r>
        <w:rPr>
          <w:rFonts w:ascii="Arial;sans-serif" w:hAnsi="Arial;sans-serif"/>
          <w:b/>
          <w:color w:val="000000"/>
          <w:sz w:val="20"/>
          <w:u w:val="single"/>
        </w:rPr>
        <w:t>Conditions to 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or the payment event specified in a deferral election as the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14.     </w:t>
      </w:r>
      <w:r>
        <w:rPr>
          <w:rFonts w:ascii="Arial;sans-serif" w:hAnsi="Arial;sans-serif"/>
          <w:b/>
          <w:color w:val="000000"/>
          <w:sz w:val="20"/>
          <w:u w:val="single"/>
        </w:rPr>
        <w:t>Dividends; No Rights as Shareholder</w:t>
      </w:r>
      <w:r>
        <w:rPr>
          <w:rFonts w:ascii="Arial;sans-serif" w:hAnsi="Arial;sans-serif"/>
          <w:b/>
          <w:color w:val="000000"/>
          <w:sz w:val="20"/>
        </w:rPr>
        <w:t xml:space="preserve">. </w:t>
      </w:r>
      <w:r>
        <w:rPr>
          <w:rFonts w:ascii="Arial;sans-serif" w:hAnsi="Arial;sans-serif"/>
          <w:b w:val="false"/>
          <w:color w:val="000000"/>
          <w:sz w:val="20"/>
        </w:rPr>
        <w:t xml:space="preserve">If the Company declares a cash dividend and the dividend record date occurs after the Grant Date and prior to the 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receive dividends or any other distributions paid with respect to shares of Company common stock by virtue of this Award or the Shares subject hereto. </w:t>
      </w:r>
    </w:p>
    <w:p>
      <w:pPr>
        <w:pStyle w:val="TextBody"/>
        <w:bidi w:val="0"/>
        <w:spacing w:lineRule="auto" w:line="300" w:before="0" w:after="240"/>
        <w:ind w:left="0" w:right="0" w:hanging="432"/>
        <w:jc w:val="left"/>
        <w:rPr/>
      </w:pPr>
      <w:r>
        <w:rPr>
          <w:rFonts w:ascii="Arial;sans-serif" w:hAnsi="Arial;sans-serif"/>
          <w:b w:val="false"/>
          <w:color w:val="000000"/>
          <w:sz w:val="20"/>
        </w:rPr>
        <w:t>15.     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Unless otherwise set forth herein, 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  </w:t>
      </w:r>
    </w:p>
    <w:p>
      <w:pPr>
        <w:pStyle w:val="TextBody"/>
        <w:bidi w:val="0"/>
        <w:spacing w:lineRule="auto" w:line="300" w:before="0" w:after="240"/>
        <w:ind w:left="0" w:right="0" w:hanging="432"/>
        <w:jc w:val="left"/>
        <w:rPr/>
      </w:pPr>
      <w:r>
        <w:rPr>
          <w:rFonts w:ascii="Arial;sans-serif" w:hAnsi="Arial;sans-serif"/>
          <w:b w:val="false"/>
          <w:color w:val="000000"/>
          <w:sz w:val="20"/>
        </w:rPr>
        <w:t>16.     </w:t>
      </w:r>
      <w:r>
        <w:rPr>
          <w:rFonts w:ascii="Arial;sans-serif" w:hAnsi="Arial;sans-serif"/>
          <w:b/>
          <w:color w:val="000000"/>
          <w:sz w:val="20"/>
          <w:u w:val="single"/>
        </w:rPr>
        <w:t>Captions</w:t>
      </w:r>
      <w:r>
        <w:rPr>
          <w:rFonts w:ascii="Arial;sans-serif" w:hAnsi="Arial;sans-serif"/>
          <w:b/>
          <w:color w:val="000000"/>
          <w:sz w:val="20"/>
        </w:rPr>
        <w:t xml:space="preserve">. </w:t>
      </w:r>
      <w:r>
        <w:rPr>
          <w:rFonts w:ascii="Arial;sans-serif" w:hAnsi="Arial;sans-serif"/>
          <w:b w:val="false"/>
          <w:color w:val="000000"/>
          <w:sz w:val="20"/>
        </w:rPr>
        <w:t>Captions provided herein are for convenience only and are not to serve as a basis for interpretation or construction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17.     </w:t>
      </w:r>
      <w:r>
        <w:rPr>
          <w:rFonts w:ascii="Arial;sans-serif" w:hAnsi="Arial;sans-serif"/>
          <w:b/>
          <w:color w:val="000000"/>
          <w:sz w:val="20"/>
          <w:u w:val="single"/>
        </w:rPr>
        <w:t>Securities and Tax Representations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You represent and warrant that you understand the federal, state and local income and employment tax consequences associated with this Award, including the sale or other disposition of any Shares acquired hereunder. You understand and agree that when you realize gross income (if any) taxable as compensation in respect of this Award, the Company will be required to withhold federal, state and local taxes on the full amount of the compensation income realized by you and may also be required to withhold other amounts.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You will be solely responsible for any tax liability associated with this Award and any Shares issued hereunder to the extent not satisfied through tax withholding. All matters with respect to the total amount to be withheld shall be determined by the Company in its sole discretion. </w:t>
      </w:r>
    </w:p>
    <w:p>
      <w:pPr>
        <w:pStyle w:val="TextBody"/>
        <w:bidi w:val="0"/>
        <w:spacing w:lineRule="auto" w:line="300" w:before="0" w:after="240"/>
        <w:ind w:left="0" w:right="0" w:hanging="450"/>
        <w:jc w:val="left"/>
        <w:rPr/>
      </w:pPr>
      <w:r>
        <w:rPr>
          <w:rFonts w:ascii="Arial;sans-serif" w:hAnsi="Arial;sans-serif"/>
          <w:b w:val="false"/>
          <w:color w:val="000000"/>
          <w:sz w:val="20"/>
        </w:rPr>
        <w:t>18.     </w:t>
      </w:r>
      <w:r>
        <w:rPr>
          <w:rFonts w:ascii="Arial;sans-serif" w:hAnsi="Arial;sans-serif"/>
          <w:b/>
          <w:color w:val="000000"/>
          <w:sz w:val="20"/>
          <w:u w:val="single"/>
        </w:rPr>
        <w:t>Market Stand-Off</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60"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19.     </w:t>
      </w:r>
      <w:r>
        <w:rPr>
          <w:rFonts w:ascii="Arial;sans-serif" w:hAnsi="Arial;sans-serif"/>
          <w:b/>
          <w:color w:val="000000"/>
          <w:sz w:val="20"/>
          <w:u w:val="single"/>
        </w:rPr>
        <w:t>General Provisions</w:t>
      </w:r>
      <w:r>
        <w:rPr>
          <w:rFonts w:ascii="Arial;sans-serif" w:hAnsi="Arial;sans-serif"/>
          <w:b/>
          <w:color w:val="000000"/>
          <w:sz w:val="20"/>
        </w:rPr>
        <w:t xml:space="preserve">. </w:t>
      </w:r>
    </w:p>
    <w:p>
      <w:pPr>
        <w:pStyle w:val="TextBody"/>
        <w:bidi w:val="0"/>
        <w:spacing w:lineRule="auto" w:line="300" w:before="0" w:after="240"/>
        <w:ind w:left="0" w:right="0" w:hanging="432"/>
        <w:jc w:val="left"/>
        <w:rPr>
          <w:color w:val="000000"/>
        </w:rPr>
      </w:pPr>
      <w:r>
        <w:rPr>
          <w:color w:val="000000"/>
        </w:rPr>
        <w:t> </w:t>
      </w:r>
      <w:r>
        <w:rPr>
          <w:rFonts w:ascii="Arial;sans-serif" w:hAnsi="Arial;sans-serif"/>
          <w:b w:val="false"/>
          <w:color w:val="000000"/>
          <w:sz w:val="20"/>
        </w:rPr>
        <w:t xml:space="preserve">(a)    None of the Plan, this Agreement or the Award Memorandum confers upon you any right to continue to be employed by the Company or any Subsidiary or limits in any respect any right of the Company or any Subsidiary to terminate your employment at any time, without liability.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This Agreement, the Award Memorandum, and the Addendum may only be modified, amended or cancelled as provided in the Plan.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If any one or more provisions of this Agreement, the Award Memorandum, or the Addendum is found to be invalid, illegal or unenforceable in any respect, then the provision will be modified to the minimum extent required to make such provision valid, legal and enforceable, and if such modification is not permitted by applicable law, then such provision shall be severable and the validity, legality and enforceability of the remaining provisions hereof shall not in any way be affected or impaired thereby.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(e)    Any remedies available to the Company under the Plan or this Agreement are cumulative and are in addition to, and are not affected by, the other rights and remedies available to the Company by law or otherwise.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This Agreement and the Award Memorandum shall be governed by and construed in accordance with the laws of the State of Wisconsin, without regard to its conflict of law provisions, except that Sections 5 through 7, 9(b)(iii)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The Company agrees, and you agree, to be subject to and bound by all of the terms and conditions of the Plan.</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(h)    This Agreement, the Award Memorandum and the Addendum shall be binding upon and inure to the benefit of any successor or assign of the Company and to any heir, distributee, executor, administrator or legal representative entitled by law to your rights hereunder.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(i)    You understand that, under the terms of the Plan, this Agreement and the Award Memorandum, the Company may cancel or rescind this Award and/or the Shares in certain circumstances.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(j)    In consideration of, among other things, your continued employment with the Company or a Subsidiary, you acknowledge and agree that you are and will continue to be subject to the Fiserv, Inc. Compensation Recoupment Policy (as amended from time to time, the “Policy”) and that the Policy will apply both during and after the termination of your employment with the Company or any Subsidiary. You can access this Policy as currently in effect by visiting https://investors.fiserv.com/corporate-governance/governance-documents. Further, by accepting this Award, you agree to abide by the terms of the Policy, including, without limitation, by returning any Excess Compensation (as defined in the Policy) to the Company to the extent required by, and in a manner consistent with, the Policy, regardless of the terms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1"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of, and whether or not consistent with, any other agreement, plan, policy or similar document to which you are a party or participant or to which you are subject. </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 xml:space="preserve">By selecting the “Accept your award” box on the website of our administrative agent, you acknowledge your acceptance of, and agreement to be bound by, this Agreement, the Award Memorandum, the Plan, the Addendum, and the Policy. </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Your acceptance of the terms of this Agreement, the Award Memorandum, the Plan, the Addendum, and the Policy through our administrative agent’s website within 120 calendar days of your Award Grant Date is a condition to your receipt of this Award. If you do not accept the terms and conditions of this Agreement, the Award Memorandum, the Plan, the Addendum, and the Policy within such time, this Award will be forfeited and immediately terminate.</w:t>
      </w:r>
    </w:p>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2"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RESTRICTED STOCK UNIT AWARD MEMORANDUM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STANDARD (NO RETIREMENT)</w:t>
      </w:r>
    </w:p>
    <w:p>
      <w:pPr>
        <w:pStyle w:val="TextBody"/>
        <w:bidi w:val="0"/>
        <w:spacing w:before="0" w:after="0"/>
        <w:jc w:val="center"/>
        <w:rPr/>
      </w:pPr>
      <w:r>
        <w:rPr/>
      </w:r>
    </w:p>
    <w:tbl>
      <w:tblPr>
        <w:tblW w:w="7360"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893"/>
        <w:gridCol w:w="893"/>
        <w:gridCol w:w="1273"/>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[FIRST NAME] [LAST NAME]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[GRANT DATE]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Number of Shares Subject to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[NUMBER OF SHARES]</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left"/>
              <w:rPr>
                <w:rFonts w:ascii="Arial;sans-serif" w:hAnsi="Arial;sans-serif"/>
                <w:b/>
                <w:color w:val="000000"/>
                <w:sz w:val="22"/>
              </w:rPr>
            </w:pPr>
            <w:r>
              <w:rPr>
                <w:rFonts w:ascii="Arial;sans-serif" w:hAnsi="Arial;sans-serif"/>
                <w:b/>
                <w:color w:val="000000"/>
                <w:sz w:val="22"/>
              </w:rPr>
              <w:t>Date Vested: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[VESTING SCHEDULE]</w:t>
            </w:r>
          </w:p>
        </w:tc>
      </w:tr>
    </w:tbl>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Restricted Stock Unit Agreement. As a condition to your receipt of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lineRule="auto" w:line="288" w:before="240" w:after="240"/>
        <w:jc w:val="left"/>
        <w:rPr/>
      </w:pPr>
      <w:r>
        <w:rPr>
          <w:rFonts w:ascii="Arial;sans-serif" w:hAnsi="Arial;sans-serif"/>
          <w:b/>
          <w:color w:val="000000"/>
          <w:sz w:val="22"/>
          <w:u w:val="single"/>
        </w:rPr>
        <w:t>Note</w:t>
      </w:r>
      <w:r>
        <w:rPr>
          <w:rFonts w:ascii="Arial;sans-serif" w:hAnsi="Arial;sans-serif"/>
          <w:b/>
          <w:color w:val="000000"/>
          <w:sz w:val="22"/>
        </w:rPr>
        <w:t>: Sections 5 through 7 of the Restricted Stock Unit Agreement contain provisions that restrict your activities. These provisions apply to you and, by accepting this Award, you agree to be bound by these restrictions. Accepting this Award, and these provisions, is not a condition of your employment or continued employment by Fiserv.</w:t>
      </w:r>
    </w:p>
    <w:p>
      <w:pPr>
        <w:pStyle w:val="TextBody"/>
        <w:bidi w:val="0"/>
        <w:spacing w:before="240" w:after="240"/>
        <w:jc w:val="left"/>
        <w:rPr/>
      </w:pPr>
      <w:r>
        <w:rPr/>
      </w:r>
    </w:p>
    <w:p>
      <w:pPr>
        <w:pStyle w:val="TextBody"/>
        <w:bidi w:val="0"/>
        <w:spacing w:before="240" w:after="240"/>
        <w:jc w:val="left"/>
        <w:rPr/>
      </w:pPr>
      <w:r>
        <w:rPr/>
      </w:r>
    </w:p>
    <w:p>
      <w:pPr>
        <w:pStyle w:val="TextBody"/>
        <w:bidi w:val="0"/>
        <w:spacing w:lineRule="auto" w:line="288" w:before="24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center"/>
        <w:rPr>
          <w:rFonts w:ascii="Arial;sans-serif" w:hAnsi="Arial;sans-serif"/>
          <w:b/>
          <w:color w:val="000000"/>
          <w:sz w:val="20"/>
          <w:u w:val="single"/>
        </w:rPr>
      </w:pPr>
      <w:r>
        <w:rPr>
          <w:rFonts w:ascii="Arial;sans-serif" w:hAnsi="Arial;sans-serif"/>
          <w:b/>
          <w:color w:val="000000"/>
          <w:sz w:val="20"/>
          <w:u w:val="single"/>
        </w:rPr>
        <w:t xml:space="preserve">RESTRICTED STOCK UNIT AGREEMENT </w:t>
      </w:r>
    </w:p>
    <w:p>
      <w:pPr>
        <w:pStyle w:val="TextBody"/>
        <w:bidi w:val="0"/>
        <w:spacing w:lineRule="auto" w:line="300" w:before="0" w:after="240"/>
        <w:ind w:left="0" w:right="0" w:firstLine="720"/>
        <w:jc w:val="left"/>
        <w:rPr/>
      </w:pP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Restricted Stock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such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300"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event of a conflict between the terms of this Agreement or the Award Memorandum and the terms of the Plan, the terms of the Plan shall govern. In the event of a conflict between the terms of this Agreement and the Award Memorandum, the terms of this Agreement shall govern. </w:t>
      </w:r>
    </w:p>
    <w:p>
      <w:pPr>
        <w:pStyle w:val="TextBody"/>
        <w:bidi w:val="0"/>
        <w:spacing w:lineRule="auto" w:line="300" w:before="0" w:after="240"/>
        <w:ind w:left="0" w:right="0" w:hanging="432"/>
        <w:jc w:val="left"/>
        <w:rPr/>
      </w:pPr>
      <w:r>
        <w:rPr>
          <w:rFonts w:ascii="Arial;sans-serif" w:hAnsi="Arial;sans-serif"/>
          <w:b w:val="false"/>
          <w:color w:val="000000"/>
          <w:sz w:val="20"/>
        </w:rPr>
        <w:t>1.</w:t>
      </w:r>
      <w:r>
        <w:rPr>
          <w:rFonts w:ascii="Arial;sans-serif" w:hAnsi="Arial;sans-serif"/>
          <w:b/>
          <w:color w:val="000000"/>
          <w:sz w:val="20"/>
          <w:u w:val="single"/>
        </w:rPr>
        <w:t>Grant Date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Award is granted to you on the Grant Date set forth in the Award Memorandum. </w:t>
      </w:r>
    </w:p>
    <w:p>
      <w:pPr>
        <w:pStyle w:val="TextBody"/>
        <w:bidi w:val="0"/>
        <w:spacing w:lineRule="auto" w:line="300" w:before="0" w:after="240"/>
        <w:ind w:left="0" w:right="0" w:hanging="432"/>
        <w:jc w:val="left"/>
        <w:rPr/>
      </w:pPr>
      <w:r>
        <w:rPr>
          <w:rFonts w:ascii="Arial;sans-serif" w:hAnsi="Arial;sans-serif"/>
          <w:b w:val="false"/>
          <w:color w:val="000000"/>
          <w:sz w:val="20"/>
        </w:rPr>
        <w:t>2.</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Provided that you are an employee as of the applicable date, this Award will vest as indicated in the Award Memorandum.</w:t>
      </w:r>
    </w:p>
    <w:p>
      <w:pPr>
        <w:pStyle w:val="TextBody"/>
        <w:bidi w:val="0"/>
        <w:spacing w:lineRule="auto" w:line="300" w:before="0" w:after="240"/>
        <w:ind w:left="0" w:right="0" w:hanging="432"/>
        <w:jc w:val="left"/>
        <w:rPr/>
      </w:pPr>
      <w:r>
        <w:rPr>
          <w:rFonts w:ascii="Arial;sans-serif" w:hAnsi="Arial;sans-serif"/>
          <w:b w:val="false"/>
          <w:color w:val="000000"/>
          <w:sz w:val="20"/>
        </w:rPr>
        <w:t>3.</w:t>
      </w:r>
      <w:r>
        <w:rPr>
          <w:rFonts w:ascii="Arial;sans-serif" w:hAnsi="Arial;sans-serif"/>
          <w:b/>
          <w:color w:val="000000"/>
          <w:sz w:val="20"/>
          <w:u w:val="single"/>
        </w:rPr>
        <w:t>Termination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Your Award shall terminate in all events on the earlier of (a) the date upon which vesting is no longer permitted pursuant to Section 9 or (b) your failure to accept the terms of this Agreement, the Award Memorandum and the Plan within the time period and in the manner specified in this Agreement. Notwithstanding the foregoing, if this Award is terminated pursuant to subsection (a) of this Section 3, then the provisions of Sections 4 through 8 shall survive such termination.</w:t>
      </w:r>
    </w:p>
    <w:p>
      <w:pPr>
        <w:pStyle w:val="TextBody"/>
        <w:bidi w:val="0"/>
        <w:spacing w:lineRule="auto" w:line="300" w:before="0" w:after="240"/>
        <w:ind w:left="0" w:right="0" w:hanging="432"/>
        <w:jc w:val="left"/>
        <w:rPr/>
      </w:pPr>
      <w:r>
        <w:rPr>
          <w:rFonts w:ascii="Arial;sans-serif" w:hAnsi="Arial;sans-serif"/>
          <w:b w:val="false"/>
          <w:color w:val="000000"/>
          <w:sz w:val="20"/>
        </w:rPr>
        <w:t>4.    </w:t>
      </w:r>
      <w:r>
        <w:rPr>
          <w:rFonts w:ascii="Arial;sans-serif" w:hAnsi="Arial;sans-serif"/>
          <w:b/>
          <w:color w:val="000000"/>
          <w:sz w:val="20"/>
          <w:u w:val="single"/>
        </w:rPr>
        <w:t>Definitions Related to Confidential Information, Non-Competition and Related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val="false"/>
          <w:color w:val="000000"/>
          <w:sz w:val="20"/>
          <w:u w:val="single"/>
        </w:rPr>
        <w:t>Fiserv</w:t>
      </w:r>
      <w:r>
        <w:rPr>
          <w:color w:val="000000"/>
        </w:rPr>
        <w:t xml:space="preserve">” </w:t>
      </w:r>
      <w:r>
        <w:rPr>
          <w:rFonts w:ascii="Arial;sans-serif" w:hAnsi="Arial;sans-serif"/>
          <w:b w:val="false"/>
          <w:color w:val="000000"/>
          <w:sz w:val="20"/>
        </w:rPr>
        <w:t xml:space="preserve">means the Company, its direct and indirect Subsidiaries, affiliated entities, successors, and assigns. </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val="false"/>
          <w:color w:val="000000"/>
          <w:sz w:val="20"/>
          <w:u w:val="single"/>
        </w:rPr>
        <w:t>Confidential Information</w:t>
      </w:r>
      <w:r>
        <w:rPr>
          <w:color w:val="000000"/>
        </w:rPr>
        <w:t xml:space="preserve">” </w:t>
      </w:r>
      <w:r>
        <w:rPr>
          <w:rFonts w:ascii="Arial;sans-serif" w:hAnsi="Arial;sans-serif"/>
          <w:b w:val="false"/>
          <w:color w:val="000000"/>
          <w:sz w:val="20"/>
        </w:rPr>
        <w:t xml:space="preserve">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val="false"/>
          <w:color w:val="000000"/>
          <w:sz w:val="20"/>
          <w:u w:val="single"/>
        </w:rPr>
        <w:t>Competing Product or Service</w:t>
      </w:r>
      <w:r>
        <w:rPr>
          <w:color w:val="000000"/>
        </w:rPr>
        <w:t xml:space="preserve">” </w:t>
      </w:r>
      <w:r>
        <w:rPr>
          <w:rFonts w:ascii="Arial;sans-serif" w:hAnsi="Arial;sans-serif"/>
          <w:b w:val="false"/>
          <w:color w:val="000000"/>
          <w:sz w:val="20"/>
        </w:rPr>
        <w:t xml:space="preserve">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 </w:t>
      </w:r>
    </w:p>
    <w:p>
      <w:pPr>
        <w:pStyle w:val="TextBody"/>
        <w:bidi w:val="0"/>
        <w:spacing w:before="0" w:after="240"/>
        <w:ind w:left="0" w:right="0" w:hanging="432"/>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4"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val="false"/>
          <w:color w:val="000000"/>
          <w:sz w:val="20"/>
          <w:u w:val="single"/>
        </w:rPr>
        <w:t>Competitor</w:t>
      </w:r>
      <w:r>
        <w:rPr>
          <w:color w:val="000000"/>
        </w:rPr>
        <w:t xml:space="preserve">” </w:t>
      </w:r>
      <w:r>
        <w:rPr>
          <w:rFonts w:ascii="Arial;sans-serif" w:hAnsi="Arial;sans-serif"/>
          <w:b w:val="false"/>
          <w:color w:val="000000"/>
          <w:sz w:val="20"/>
        </w:rPr>
        <w:t xml:space="preserve">means an individual, business or any other entity or enterprise engaged or having publicly announced its intent to engage in the sale or marketing of any Competing Product or Service.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val="false"/>
          <w:color w:val="000000"/>
          <w:sz w:val="20"/>
          <w:u w:val="single"/>
        </w:rPr>
        <w:t>Innovations</w:t>
      </w:r>
      <w:r>
        <w:rPr>
          <w:color w:val="000000"/>
        </w:rPr>
        <w:t xml:space="preserve">” </w:t>
      </w:r>
      <w:r>
        <w:rPr>
          <w:rFonts w:ascii="Arial;sans-serif" w:hAnsi="Arial;sans-serif"/>
          <w:b w:val="false"/>
          <w:color w:val="000000"/>
          <w:sz w:val="20"/>
        </w:rPr>
        <w:t xml:space="preserve">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 </w:t>
      </w:r>
    </w:p>
    <w:p>
      <w:pPr>
        <w:pStyle w:val="TextBody"/>
        <w:bidi w:val="0"/>
        <w:spacing w:lineRule="auto" w:line="300" w:before="0" w:after="240"/>
        <w:ind w:left="0" w:right="0" w:hanging="432"/>
        <w:jc w:val="left"/>
        <w:rPr/>
      </w:pPr>
      <w:r>
        <w:rPr>
          <w:rFonts w:ascii="Arial;sans-serif" w:hAnsi="Arial;sans-serif"/>
          <w:b w:val="false"/>
          <w:color w:val="000000"/>
          <w:sz w:val="20"/>
        </w:rPr>
        <w:t>(f)    “</w:t>
      </w:r>
      <w:r>
        <w:rPr>
          <w:rFonts w:ascii="Arial;sans-serif" w:hAnsi="Arial;sans-serif"/>
          <w:b w:val="false"/>
          <w:color w:val="000000"/>
          <w:sz w:val="20"/>
          <w:u w:val="single"/>
        </w:rPr>
        <w:t>Moral Rights</w:t>
      </w:r>
      <w:r>
        <w:rPr>
          <w:color w:val="000000"/>
        </w:rPr>
        <w:t xml:space="preserve">” </w:t>
      </w:r>
      <w:r>
        <w:rPr>
          <w:rFonts w:ascii="Arial;sans-serif" w:hAnsi="Arial;sans-serif"/>
          <w:b w:val="false"/>
          <w:color w:val="000000"/>
          <w:sz w:val="20"/>
        </w:rPr>
        <w:t xml:space="preserve">means any rights to claim authorship of a work of authorship, to object to or prevent the modification of any such work of authorship, or to withdraw from circulation or control the publication or distribution of any such work of authorship. </w:t>
      </w:r>
    </w:p>
    <w:p>
      <w:pPr>
        <w:pStyle w:val="TextBody"/>
        <w:bidi w:val="0"/>
        <w:spacing w:lineRule="auto" w:line="300" w:before="0" w:after="240"/>
        <w:ind w:left="0" w:right="0" w:hanging="432"/>
        <w:jc w:val="left"/>
        <w:rPr/>
      </w:pPr>
      <w:r>
        <w:rPr>
          <w:rFonts w:ascii="Arial;sans-serif" w:hAnsi="Arial;sans-serif"/>
          <w:b w:val="false"/>
          <w:color w:val="000000"/>
          <w:sz w:val="20"/>
        </w:rPr>
        <w:t>(g)    “</w:t>
      </w:r>
      <w:r>
        <w:rPr>
          <w:rFonts w:ascii="Arial;sans-serif" w:hAnsi="Arial;sans-serif"/>
          <w:b w:val="false"/>
          <w:color w:val="000000"/>
          <w:sz w:val="20"/>
          <w:u w:val="single"/>
        </w:rPr>
        <w:t>Client</w:t>
      </w:r>
      <w:r>
        <w:rPr>
          <w:color w:val="000000"/>
        </w:rPr>
        <w:t xml:space="preserve">” </w:t>
      </w:r>
      <w:r>
        <w:rPr>
          <w:rFonts w:ascii="Arial;sans-serif" w:hAnsi="Arial;sans-serif"/>
          <w:b w:val="false"/>
          <w:color w:val="000000"/>
          <w:sz w:val="20"/>
        </w:rPr>
        <w:t xml:space="preserve">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(h)    </w:t>
      </w:r>
      <w:r>
        <w:rPr>
          <w:color w:val="000000"/>
          <w:u w:val="single"/>
        </w:rPr>
        <w:t>“</w:t>
      </w:r>
      <w:r>
        <w:rPr>
          <w:rFonts w:ascii="Arial;sans-serif" w:hAnsi="Arial;sans-serif"/>
          <w:b w:val="false"/>
          <w:color w:val="000000"/>
          <w:sz w:val="20"/>
          <w:u w:val="single"/>
        </w:rPr>
        <w:t>Prospective Client</w:t>
      </w:r>
      <w:r>
        <w:rPr>
          <w:color w:val="000000"/>
        </w:rPr>
        <w:t xml:space="preserve">” </w:t>
      </w:r>
      <w:r>
        <w:rPr>
          <w:rFonts w:ascii="Arial;sans-serif" w:hAnsi="Arial;sans-serif"/>
          <w:b w:val="false"/>
          <w:color w:val="000000"/>
          <w:sz w:val="20"/>
        </w:rPr>
        <w:t>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(i)    “</w:t>
      </w:r>
      <w:r>
        <w:rPr>
          <w:rFonts w:ascii="Arial;sans-serif" w:hAnsi="Arial;sans-serif"/>
          <w:b w:val="false"/>
          <w:color w:val="000000"/>
          <w:sz w:val="20"/>
          <w:u w:val="single"/>
        </w:rPr>
        <w:t>Territory</w:t>
      </w:r>
      <w:r>
        <w:rPr>
          <w:color w:val="000000"/>
        </w:rPr>
        <w:t xml:space="preserve">” </w:t>
      </w:r>
      <w:r>
        <w:rPr>
          <w:rFonts w:ascii="Arial;sans-serif" w:hAnsi="Arial;sans-serif"/>
          <w:b w:val="false"/>
          <w:color w:val="000000"/>
          <w:sz w:val="20"/>
        </w:rPr>
        <w:t>means the geographic regions for which you had executive, managerial, supervisory, sales, marketing, client servicing, and/or other responsibilities during any part of the 24 months preceding the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(j)    “</w:t>
      </w:r>
      <w:r>
        <w:rPr>
          <w:rFonts w:ascii="Arial;sans-serif" w:hAnsi="Arial;sans-serif"/>
          <w:b w:val="false"/>
          <w:color w:val="000000"/>
          <w:sz w:val="20"/>
          <w:u w:val="single"/>
        </w:rPr>
        <w:t>Vendor</w:t>
      </w:r>
      <w:r>
        <w:rPr>
          <w:color w:val="000000"/>
        </w:rPr>
        <w:t xml:space="preserve">” </w:t>
      </w:r>
      <w:r>
        <w:rPr>
          <w:rFonts w:ascii="Arial;sans-serif" w:hAnsi="Arial;sans-serif"/>
          <w:b w:val="false"/>
          <w:color w:val="000000"/>
          <w:sz w:val="20"/>
        </w:rPr>
        <w:t xml:space="preserve">means a third party unaffiliated with Fiserv that contracts with Fiserv to provide services to Fiserv or its clients: (i) that you directly worked with or for which you supervised others in working with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(k)     “</w:t>
      </w:r>
      <w:r>
        <w:rPr>
          <w:rFonts w:ascii="Arial;sans-serif" w:hAnsi="Arial;sans-serif"/>
          <w:b w:val="false"/>
          <w:color w:val="000000"/>
          <w:sz w:val="20"/>
          <w:u w:val="single"/>
        </w:rPr>
        <w:t>Addendum</w:t>
      </w:r>
      <w:r>
        <w:rPr>
          <w:color w:val="000000"/>
        </w:rPr>
        <w:t xml:space="preserve">” </w:t>
      </w:r>
      <w:r>
        <w:rPr>
          <w:rFonts w:ascii="Arial;sans-serif" w:hAnsi="Arial;sans-serif"/>
          <w:b w:val="false"/>
          <w:color w:val="000000"/>
          <w:sz w:val="20"/>
        </w:rPr>
        <w:t>means a jurisdiction-specific provision for certain employees of Fiserv who are employed to work and/or reside in certain jurisdictions that modifies and/or supplements the terms of Sections 5 through 7 of this Agreement to the extent specified in the Addendum. The Addendum will be incorporated into, construed jointly with, modify and/or supplement the terms of Sections 5 through 7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5.    </w:t>
      </w:r>
      <w:r>
        <w:rPr>
          <w:rFonts w:ascii="Arial;sans-serif" w:hAnsi="Arial;sans-serif"/>
          <w:b/>
          <w:color w:val="000000"/>
          <w:sz w:val="20"/>
          <w:u w:val="single"/>
        </w:rPr>
        <w:t>Confidentiality and Innovations</w:t>
      </w:r>
      <w:r>
        <w:rPr>
          <w:rFonts w:ascii="Arial;sans-serif" w:hAnsi="Arial;sans-serif"/>
          <w:b w:val="false"/>
          <w:color w:val="000000"/>
          <w:sz w:val="20"/>
        </w:rPr>
        <w:t>. During your employment, Fiserv will provide you with Confidential Information relating to Fiserv, its business, Clients and Prospective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(c)Notwithstanding the preceding statements, you understand that: </w:t>
      </w:r>
    </w:p>
    <w:p>
      <w:pPr>
        <w:pStyle w:val="TextBody"/>
        <w:bidi w:val="0"/>
        <w:spacing w:lineRule="auto" w:line="300" w:before="0" w:after="240"/>
        <w:ind w:left="0" w:right="0" w:hanging="360"/>
        <w:jc w:val="left"/>
        <w:rPr/>
      </w:pPr>
      <w:r>
        <w:rPr>
          <w:rFonts w:ascii="Arial;sans-serif" w:hAnsi="Arial;sans-serif"/>
          <w:b w:val="false"/>
          <w:color w:val="000000"/>
          <w:sz w:val="20"/>
        </w:rPr>
        <w:t>(i)Nothing in this Agreement or any other Fiserv policy prohibits or impedes you from communicating, cooperating, or filing a complaint with any U.S., federal, state, or local governmental or law enforcement branch, agency, or entity (collectively, a “</w:t>
      </w:r>
      <w:r>
        <w:rPr>
          <w:rFonts w:ascii="Arial;sans-serif" w:hAnsi="Arial;sans-serif"/>
          <w:b w:val="false"/>
          <w:color w:val="000000"/>
          <w:sz w:val="20"/>
          <w:u w:val="single"/>
        </w:rPr>
        <w:t>Governmental Entity</w:t>
      </w:r>
      <w:r>
        <w:rPr>
          <w:color w:val="000000"/>
        </w:rPr>
        <w:t>”</w:t>
      </w:r>
      <w:r>
        <w:rPr>
          <w:rFonts w:ascii="Arial;sans-serif" w:hAnsi="Arial;sans-serif"/>
          <w:b w:val="false"/>
          <w:color w:val="000000"/>
          <w:sz w:val="20"/>
        </w:rPr>
        <w:t xml:space="preserve">)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 </w:t>
      </w:r>
    </w:p>
    <w:p>
      <w:pPr>
        <w:pStyle w:val="TextBody"/>
        <w:bidi w:val="0"/>
        <w:spacing w:lineRule="auto" w:line="300" w:before="0" w:after="240"/>
        <w:ind w:left="0" w:right="0" w:hanging="360"/>
        <w:jc w:val="left"/>
        <w:rPr>
          <w:rFonts w:ascii="Arial;sans-serif" w:hAnsi="Arial;sans-serif"/>
          <w:b w:val="false"/>
          <w:color w:val="000000"/>
          <w:sz w:val="20"/>
        </w:rPr>
      </w:pPr>
      <w:r>
        <w:rPr>
          <w:rFonts w:ascii="Arial;sans-serif" w:hAnsi="Arial;sans-serif"/>
          <w:b w:val="false"/>
          <w:color w:val="000000"/>
          <w:sz w:val="20"/>
        </w:rPr>
        <w:t>(ii)Pursuant to 18 U.S.C. §1833(b)(1) and §1833(b)(2):</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You understand that if you are found to have wrongfully misappropriated a trade secret, you may be liable to Fiserv for, among other things, exemplary damages and attorneys’ fees.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or to solicit the business or employees of Fiserv would necessarily require the use of Fiserv’s Confidential Information that was obtained by you during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6"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6.    </w:t>
      </w:r>
      <w:r>
        <w:rPr>
          <w:rFonts w:ascii="Arial;sans-serif" w:hAnsi="Arial;sans-serif"/>
          <w:b/>
          <w:color w:val="000000"/>
          <w:sz w:val="20"/>
          <w:u w:val="single"/>
        </w:rPr>
        <w:t>Restrictions During Employment</w:t>
      </w:r>
      <w:r>
        <w:rPr>
          <w:rFonts w:ascii="Arial;sans-serif" w:hAnsi="Arial;sans-serif"/>
          <w:b w:val="false"/>
          <w:color w:val="000000"/>
          <w:sz w:val="20"/>
        </w:rPr>
        <w:t xml:space="preserve">.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(except to the extent required by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(b)entice, induce, encourage, urge, or solicit Clients, Prospective Clients or Vendors of Fiserv to currently and/or prospectively breach, modify, or terminate any agreement or relationship they have or had with Fiserv;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24-month period preceding the termination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7.    </w:t>
      </w:r>
      <w:r>
        <w:rPr>
          <w:rFonts w:ascii="Arial;sans-serif" w:hAnsi="Arial;sans-serif"/>
          <w:b/>
          <w:color w:val="000000"/>
          <w:sz w:val="20"/>
          <w:u w:val="single"/>
        </w:rPr>
        <w:t>Restrictions Following Employment</w:t>
      </w:r>
      <w:r>
        <w:rPr>
          <w:rFonts w:ascii="Arial;sans-serif" w:hAnsi="Arial;sans-serif"/>
          <w:b w:val="false"/>
          <w:color w:val="000000"/>
          <w:sz w:val="20"/>
        </w:rPr>
        <w:t>.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that are the same as or similar to the duties performed by you for Fiserv at any time during any part of the 24-month period preceding the termination of your employment with Fiserv and which involve a Competing Product or Service;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(b)entice, induce, encourage, urge or solicit Clients, Prospective Clients or Vendors of Fiserv to currently and/or prospectively breach, modify or terminate any agreement or relationship they have or had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(c)entice, induce, encourage urge or solicit any employee to leave employment with Fiserv or become employed by a Competitor, Client, Prospective Client, or Vendor of Fiserv (the provisions of this Section 7(c) shall apply to any employee of Fiserv with whom you worked during any part of the 24-month period preceding the termination of your employment with Fiserv); or</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7"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(d)participate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pStyle w:val="TextBody"/>
        <w:bidi w:val="0"/>
        <w:spacing w:lineRule="auto" w:line="300" w:before="0" w:after="240"/>
        <w:ind w:left="0" w:right="0" w:hanging="432"/>
        <w:jc w:val="left"/>
        <w:rPr/>
      </w:pPr>
      <w:r>
        <w:rPr>
          <w:rFonts w:ascii="Arial;sans-serif" w:hAnsi="Arial;sans-serif"/>
          <w:b w:val="false"/>
          <w:color w:val="000000"/>
          <w:sz w:val="20"/>
        </w:rPr>
        <w:t>8.    </w:t>
      </w:r>
      <w:r>
        <w:rPr>
          <w:rFonts w:ascii="Arial;sans-serif" w:hAnsi="Arial;sans-serif"/>
          <w:b/>
          <w:color w:val="000000"/>
          <w:sz w:val="20"/>
          <w:u w:val="single"/>
        </w:rPr>
        <w:t>Acknowledgments Regarding Restrictive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w:t>
      </w:r>
      <w:r>
        <w:rPr>
          <w:color w:val="000000"/>
        </w:rPr>
        <w:t>    </w:t>
      </w:r>
      <w:r>
        <w:rPr>
          <w:rFonts w:ascii="Arial;sans-serif" w:hAnsi="Arial;sans-serif"/>
          <w:b/>
          <w:color w:val="000000"/>
          <w:sz w:val="20"/>
        </w:rPr>
        <w:t>No provision of Sections 5 through 7 will apply to limit or restrict your conduct under this Agreement during or after your employment, or trigger any reimbursement obligations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limit or prohibit the enforceability of some or all of Sections 5 through 7 are set forth in the Addendum that will be provided and/or made available to you concurrently with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acknowledge the consideration provided for your agreement to comply with the provision of Sections 5 through 7 include (i) Fiserv’s provision of Confidential Information to you, (ii) this Award, and (iii) the Shares issued under the Award, if any.</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You acknowledge and agree that compliance with Sections 5 through 7 is necessary to protect Fiserv, and that a breach of any of Sections 5 through 7 will result in irreparable and continuing damage to Fiserv for which there will be no adequate remedy at law. In the event of a breach of Sections 5 through 7, or any part thereof, Fiserv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further agree that, in the event of your breach of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You agree that the terms of this Agreement shall survive the termination of your employment with Fiserv.</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BY ACCEPTING THIS AWARD, YOU ACKNOWLEDGE THAT YOU HAVE READ THIS AGREEMENT, INCLUDING SECTIONS 5 THROUGH 7, AND AGREE THAT THE CONSIDERATION PROVIDED BY FISERV IS FAIR AND REASONABLE AND FURTHER AGREE THAT GIVEN THE IMPORTANCE TO FISERV OF ITS CONFIDENTIAL AND PROPRIETARY INFORMATION, THE RESTRICTIONS ON YOUR ACTIVITIES, INCLUDING THOSE THAT APPLY POST-EMPLOYMENT, ARE LIKEWISE FAIR AND REASONABLE.</w:t>
      </w:r>
    </w:p>
    <w:p>
      <w:pPr>
        <w:pStyle w:val="TextBody"/>
        <w:bidi w:val="0"/>
        <w:spacing w:lineRule="auto" w:line="300" w:before="0" w:after="240"/>
        <w:ind w:left="0" w:right="0" w:hanging="432"/>
        <w:jc w:val="left"/>
        <w:rPr/>
      </w:pPr>
      <w:r>
        <w:rPr>
          <w:rFonts w:ascii="Arial;sans-serif" w:hAnsi="Arial;sans-serif"/>
          <w:b w:val="false"/>
          <w:color w:val="000000"/>
          <w:sz w:val="20"/>
        </w:rPr>
        <w:t>9.    </w:t>
      </w:r>
      <w:r>
        <w:rPr>
          <w:rFonts w:ascii="Arial;sans-serif" w:hAnsi="Arial;sans-serif"/>
          <w:b/>
          <w:color w:val="000000"/>
          <w:sz w:val="20"/>
          <w:u w:val="single"/>
        </w:rPr>
        <w:t>Termination of Employment</w:t>
      </w:r>
      <w:r>
        <w:rPr>
          <w:rFonts w:ascii="Arial;sans-serif" w:hAnsi="Arial;sans-serif"/>
          <w:b/>
          <w:color w:val="000000"/>
          <w:sz w:val="2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If you cease to be an employee of the Company or any Subsidiary for any reason (a “</w:t>
      </w:r>
      <w:r>
        <w:rPr>
          <w:rFonts w:ascii="Arial;sans-serif" w:hAnsi="Arial;sans-serif"/>
          <w:b w:val="false"/>
          <w:color w:val="000000"/>
          <w:sz w:val="20"/>
          <w:u w:val="single"/>
        </w:rPr>
        <w:t>Termination Event</w:t>
      </w:r>
      <w:r>
        <w:rPr>
          <w:color w:val="000000"/>
        </w:rPr>
        <w:t>”</w:t>
      </w:r>
      <w:r>
        <w:rPr>
          <w:rFonts w:ascii="Arial;sans-serif" w:hAnsi="Arial;sans-serif"/>
          <w:b w:val="false"/>
          <w:color w:val="000000"/>
          <w:sz w:val="20"/>
        </w:rPr>
        <w:t xml:space="preserve">), the unvested portion of the Award shall terminate on the date on which such Termination Event occurs;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u w:val="single"/>
        </w:rPr>
        <w:t>that</w:t>
      </w:r>
      <w:r>
        <w:rPr>
          <w:rFonts w:ascii="Arial;sans-serif" w:hAnsi="Arial;sans-serif"/>
          <w:b w:val="false"/>
          <w:color w:val="000000"/>
          <w:sz w:val="20"/>
        </w:rPr>
        <w:t xml:space="preserve">, if the reason for your Termination Event is death or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8"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Disability, then the unvested portion of this Award as of the date of your death or Disability shall be vested in full.</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If you are regularly scheduled to work less than 20 hours per calendar week for the Company or any Subsidiary, you will be deemed to have experienced a Termination Event (except as otherwise provided in subsection (c)).</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color w:val="000000"/>
          <w:sz w:val="20"/>
          <w:u w:val="single"/>
        </w:rPr>
        <w:t>Change of Control</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a Change of Control of the Company occurs, the provisions of Section 18(c) of the Plan shall apply to this 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shall immediately cease to apply. </w:t>
      </w:r>
    </w:p>
    <w:p>
      <w:pPr>
        <w:pStyle w:val="TextBody"/>
        <w:bidi w:val="0"/>
        <w:spacing w:lineRule="auto" w:line="300" w:before="0" w:after="240"/>
        <w:jc w:val="left"/>
        <w:rPr/>
      </w:pPr>
      <w:r>
        <w:rPr>
          <w:color w:val="000000"/>
        </w:rPr>
        <w:t>“</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 xml:space="preserve">means your suffering any of the following events upon or following a Change of Control without your consent: (i) significant or material lessening of your responsibilities; (ii)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(iii) the Company requiring you to be based anywhere other than within 50 miles of your place of employment at the time of the occurrence of the Change of Control, except for reasonably required travel to an extent substantially consistent with your business travel obligations.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color w:val="000000"/>
          <w:sz w:val="20"/>
          <w:u w:val="single"/>
        </w:rPr>
        <w:t>Service as Director</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For purposes of this Agreement, an employee of the Company or a Subsidiary, if also serving as a director, will not be deemed to have experienced a Termination Event for purposes of this Agreement until his or her service as a director ends, and his or her years of service will be deemed to include years of service as a director. </w: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color w:val="000000"/>
          <w:sz w:val="20"/>
          <w:u w:val="single"/>
        </w:rPr>
        <w:t>No Further Obligation</w:t>
      </w:r>
      <w:r>
        <w:rPr>
          <w:rFonts w:ascii="Arial;sans-serif" w:hAnsi="Arial;sans-serif"/>
          <w:b/>
          <w:color w:val="000000"/>
          <w:sz w:val="20"/>
        </w:rPr>
        <w:t xml:space="preserve">. </w:t>
      </w:r>
      <w:r>
        <w:rPr>
          <w:rFonts w:ascii="Arial;sans-serif" w:hAnsi="Arial;sans-serif"/>
          <w:b w:val="false"/>
          <w:color w:val="000000"/>
          <w:sz w:val="20"/>
        </w:rPr>
        <w:t xml:space="preserve">The Company will have no further obligations to you under this Agreement if the Award terminates as provided herein. </w:t>
      </w:r>
    </w:p>
    <w:p>
      <w:pPr>
        <w:pStyle w:val="TextBody"/>
        <w:bidi w:val="0"/>
        <w:spacing w:lineRule="auto" w:line="300" w:before="0" w:after="240"/>
        <w:ind w:left="0" w:right="0" w:hanging="432"/>
        <w:jc w:val="left"/>
        <w:rPr/>
      </w:pPr>
      <w:r>
        <w:rPr>
          <w:rFonts w:ascii="Arial;sans-serif" w:hAnsi="Arial;sans-serif"/>
          <w:b w:val="false"/>
          <w:color w:val="000000"/>
          <w:sz w:val="20"/>
        </w:rPr>
        <w:t>(e)</w:t>
      </w:r>
      <w:r>
        <w:rPr>
          <w:rFonts w:ascii="Arial;sans-serif" w:hAnsi="Arial;sans-serif"/>
          <w:b/>
          <w:color w:val="000000"/>
          <w:sz w:val="20"/>
          <w:u w:val="single"/>
        </w:rPr>
        <w:t>Separation Agreement</w:t>
      </w:r>
      <w:r>
        <w:rPr>
          <w:rFonts w:ascii="Arial;sans-serif" w:hAnsi="Arial;sans-serif"/>
          <w:b/>
          <w:color w:val="000000"/>
          <w:sz w:val="20"/>
        </w:rPr>
        <w:t xml:space="preserve">. </w:t>
      </w:r>
      <w:r>
        <w:rPr>
          <w:rFonts w:ascii="Arial;sans-serif" w:hAnsi="Arial;sans-serif"/>
          <w:b w:val="false"/>
          <w:color w:val="000000"/>
          <w:sz w:val="20"/>
        </w:rPr>
        <w:t>The provisions of this Section 9 are subject to (and may be amended by) the terms of a written separation agreement entered into between you and the Company or any of its Subsidiaries.</w:t>
      </w:r>
    </w:p>
    <w:p>
      <w:pPr>
        <w:pStyle w:val="TextBody"/>
        <w:bidi w:val="0"/>
        <w:spacing w:lineRule="auto" w:line="300" w:before="0" w:after="240"/>
        <w:ind w:left="0" w:right="0" w:hanging="432"/>
        <w:jc w:val="left"/>
        <w:rPr/>
      </w:pPr>
      <w:r>
        <w:rPr>
          <w:rFonts w:ascii="Arial;sans-serif" w:hAnsi="Arial;sans-serif"/>
          <w:b w:val="false"/>
          <w:color w:val="000000"/>
          <w:sz w:val="20"/>
        </w:rPr>
        <w:t>10.    </w:t>
      </w:r>
      <w:r>
        <w:rPr>
          <w:rFonts w:ascii="Arial;sans-serif" w:hAnsi="Arial;sans-serif"/>
          <w:b/>
          <w:color w:val="000000"/>
          <w:sz w:val="20"/>
          <w:u w:val="single"/>
        </w:rPr>
        <w:t>Deferral of Restricted Stock Units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you are eligible to, and properly elect to, defer delivery of all or part of the Shares otherwise issuable under this Award, such deferral will be governed by the Restricted Stock Unit Deferral Election Form executed by you separately from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11.    </w:t>
      </w:r>
      <w:r>
        <w:rPr>
          <w:rFonts w:ascii="Arial;sans-serif" w:hAnsi="Arial;sans-serif"/>
          <w:b/>
          <w:color w:val="000000"/>
          <w:sz w:val="20"/>
          <w:u w:val="single"/>
        </w:rPr>
        <w:t>Issuance of Shares</w:t>
      </w:r>
      <w:r>
        <w:rPr>
          <w:rFonts w:ascii="Arial;sans-serif" w:hAnsi="Arial;sans-serif"/>
          <w:b/>
          <w:color w:val="000000"/>
          <w:sz w:val="20"/>
        </w:rPr>
        <w:t xml:space="preserve">. </w:t>
      </w:r>
      <w:r>
        <w:rPr>
          <w:rFonts w:ascii="Arial;sans-serif" w:hAnsi="Arial;sans-serif"/>
          <w:b w:val="false"/>
          <w:color w:val="000000"/>
          <w:sz w:val="20"/>
        </w:rPr>
        <w:t xml:space="preserve">The Company, or its transfer agent, will issue and deliver the Shares to you as soon as practicable after the Award vests (pursuant to the terms hereof) with respect to such Shares, or, if a deferral election was made, at the time specified in the Deferral Election Form.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(i) the Plan and any agreement between you and the Company with respect to this Award or the Shares, (ii) any applicable federal or state laws, and (iii) the rules, regulations and other requirements of the Securities and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9"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Exchange Commission (“SEC”) or any stock exchange upon which the Shares are listed. The Company may cause an appropriate book entry notation to be made with respect to the Shares to reference any of the foregoing restrictions.</w:t>
      </w:r>
    </w:p>
    <w:p>
      <w:pPr>
        <w:pStyle w:val="TextBody"/>
        <w:bidi w:val="0"/>
        <w:spacing w:lineRule="auto" w:line="300" w:before="0" w:after="240"/>
        <w:ind w:left="0" w:right="0" w:hanging="432"/>
        <w:jc w:val="left"/>
        <w:rPr/>
      </w:pPr>
      <w:r>
        <w:rPr>
          <w:rFonts w:ascii="Arial;sans-serif" w:hAnsi="Arial;sans-serif"/>
          <w:b w:val="false"/>
          <w:color w:val="000000"/>
          <w:sz w:val="20"/>
        </w:rPr>
        <w:t>12.    </w:t>
      </w:r>
      <w:r>
        <w:rPr>
          <w:rFonts w:ascii="Arial;sans-serif" w:hAnsi="Arial;sans-serif"/>
          <w:b/>
          <w:color w:val="000000"/>
          <w:sz w:val="20"/>
          <w:u w:val="single"/>
        </w:rPr>
        <w:t>Non-Transferability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300" w:before="0" w:after="240"/>
        <w:ind w:left="0" w:right="0" w:hanging="432"/>
        <w:jc w:val="left"/>
        <w:rPr/>
      </w:pPr>
      <w:r>
        <w:rPr>
          <w:rFonts w:ascii="Arial;sans-serif" w:hAnsi="Arial;sans-serif"/>
          <w:b w:val="false"/>
          <w:color w:val="000000"/>
          <w:sz w:val="20"/>
        </w:rPr>
        <w:t>13.    </w:t>
      </w:r>
      <w:r>
        <w:rPr>
          <w:rFonts w:ascii="Arial;sans-serif" w:hAnsi="Arial;sans-serif"/>
          <w:b/>
          <w:color w:val="000000"/>
          <w:sz w:val="20"/>
          <w:u w:val="single"/>
        </w:rPr>
        <w:t>Conditions to 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or the payment event specified in a deferral election as the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14.    </w:t>
      </w:r>
      <w:r>
        <w:rPr>
          <w:rFonts w:ascii="Arial;sans-serif" w:hAnsi="Arial;sans-serif"/>
          <w:b/>
          <w:color w:val="000000"/>
          <w:sz w:val="20"/>
          <w:u w:val="single"/>
        </w:rPr>
        <w:t>Dividends; No Rights as Shareholder</w:t>
      </w:r>
      <w:r>
        <w:rPr>
          <w:rFonts w:ascii="Arial;sans-serif" w:hAnsi="Arial;sans-serif"/>
          <w:b/>
          <w:color w:val="000000"/>
          <w:sz w:val="20"/>
        </w:rPr>
        <w:t xml:space="preserve">. </w:t>
      </w:r>
      <w:r>
        <w:rPr>
          <w:rFonts w:ascii="Arial;sans-serif" w:hAnsi="Arial;sans-serif"/>
          <w:b w:val="false"/>
          <w:color w:val="000000"/>
          <w:sz w:val="20"/>
        </w:rPr>
        <w:t>If the Company declares a cash dividend and the dividend record date occurs after the Grant Date and prior to the 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or any other distributions paid with respect to shares of Company common stock by virtue of this Award or the Shares subject hereto.</w:t>
      </w:r>
    </w:p>
    <w:p>
      <w:pPr>
        <w:pStyle w:val="TextBody"/>
        <w:bidi w:val="0"/>
        <w:spacing w:lineRule="auto" w:line="300" w:before="0" w:after="240"/>
        <w:ind w:left="0" w:right="0" w:hanging="432"/>
        <w:jc w:val="left"/>
        <w:rPr/>
      </w:pPr>
      <w:r>
        <w:rPr>
          <w:rFonts w:ascii="Arial;sans-serif" w:hAnsi="Arial;sans-serif"/>
          <w:b w:val="false"/>
          <w:color w:val="000000"/>
          <w:sz w:val="20"/>
        </w:rPr>
        <w:t>15.    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Unless otherwise set forth herein, 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pStyle w:val="TextBody"/>
        <w:bidi w:val="0"/>
        <w:spacing w:lineRule="auto" w:line="300" w:before="0" w:after="240"/>
        <w:ind w:left="0" w:right="0" w:hanging="432"/>
        <w:jc w:val="left"/>
        <w:rPr/>
      </w:pPr>
      <w:r>
        <w:rPr>
          <w:rFonts w:ascii="Arial;sans-serif" w:hAnsi="Arial;sans-serif"/>
          <w:b w:val="false"/>
          <w:color w:val="000000"/>
          <w:sz w:val="20"/>
        </w:rPr>
        <w:t>16.    </w:t>
      </w:r>
      <w:r>
        <w:rPr>
          <w:rFonts w:ascii="Arial;sans-serif" w:hAnsi="Arial;sans-serif"/>
          <w:b/>
          <w:color w:val="000000"/>
          <w:sz w:val="20"/>
          <w:u w:val="single"/>
        </w:rPr>
        <w:t>Captions</w:t>
      </w:r>
      <w:r>
        <w:rPr>
          <w:rFonts w:ascii="Arial;sans-serif" w:hAnsi="Arial;sans-serif"/>
          <w:b/>
          <w:color w:val="000000"/>
          <w:sz w:val="20"/>
        </w:rPr>
        <w:t>.</w:t>
      </w:r>
      <w:r>
        <w:rPr>
          <w:color w:val="000000"/>
        </w:rPr>
        <w:t xml:space="preserve"> </w:t>
      </w:r>
      <w:r>
        <w:rPr>
          <w:rFonts w:ascii="Arial;sans-serif" w:hAnsi="Arial;sans-serif"/>
          <w:b w:val="false"/>
          <w:color w:val="000000"/>
          <w:sz w:val="20"/>
        </w:rPr>
        <w:t>Captions provided herein are for convenience only and are not to serve as a basis for interpretation or construction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70"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17.    </w:t>
      </w:r>
      <w:r>
        <w:rPr>
          <w:rFonts w:ascii="Arial;sans-serif" w:hAnsi="Arial;sans-serif"/>
          <w:b/>
          <w:color w:val="000000"/>
          <w:sz w:val="20"/>
          <w:u w:val="single"/>
        </w:rPr>
        <w:t>Securities and Tax Representations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represent and warrant that you understand the federal, state and local income and employment tax consequences associated with this Award, including the sale or other disposition of any Shares acquired hereunder. You understand and agree that when you realize gross income (if any) taxable as compensation in respect of this Award, the Company will be required to withhold federal, state and local taxes on the full amount of the compensation income realized by you and may also be required to withhold other amounts. You also understand and agree that the Company may be required to withhold certain payroll taxes in connection with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You will be solely responsible for any tax liability associated with this Award and any Shares issued hereunder to the extent not satisfied through tax withholding. All matters with respect to the total amount to be withheld shall be determined by the Company in its sole discretion.</w:t>
      </w:r>
    </w:p>
    <w:p>
      <w:pPr>
        <w:pStyle w:val="TextBody"/>
        <w:bidi w:val="0"/>
        <w:spacing w:lineRule="auto" w:line="300" w:before="0" w:after="240"/>
        <w:ind w:left="0" w:right="0" w:hanging="432"/>
        <w:jc w:val="left"/>
        <w:rPr/>
      </w:pPr>
      <w:r>
        <w:rPr>
          <w:rFonts w:ascii="Arial;sans-serif" w:hAnsi="Arial;sans-serif"/>
          <w:b w:val="false"/>
          <w:color w:val="000000"/>
          <w:sz w:val="20"/>
        </w:rPr>
        <w:t>18.    </w:t>
      </w:r>
      <w:r>
        <w:rPr>
          <w:rFonts w:ascii="Arial;sans-serif" w:hAnsi="Arial;sans-serif"/>
          <w:b/>
          <w:color w:val="000000"/>
          <w:sz w:val="20"/>
          <w:u w:val="single"/>
        </w:rPr>
        <w:t>Market Stand-Off</w:t>
      </w:r>
      <w:r>
        <w:rPr>
          <w:rFonts w:ascii="Arial;sans-serif" w:hAnsi="Arial;sans-serif"/>
          <w:b/>
          <w:color w:val="000000"/>
          <w:sz w:val="20"/>
        </w:rPr>
        <w:t xml:space="preserve">. </w:t>
      </w:r>
      <w:r>
        <w:rPr>
          <w:rFonts w:ascii="Arial;sans-serif" w:hAnsi="Arial;sans-serif"/>
          <w:b w:val="false"/>
          <w:color w:val="000000"/>
          <w:sz w:val="20"/>
        </w:rPr>
        <w:t>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pStyle w:val="TextBody"/>
        <w:bidi w:val="0"/>
        <w:spacing w:lineRule="auto" w:line="300" w:before="0" w:after="240"/>
        <w:ind w:left="0" w:right="0" w:hanging="432"/>
        <w:jc w:val="left"/>
        <w:rPr/>
      </w:pPr>
      <w:r>
        <w:rPr>
          <w:rFonts w:ascii="Arial;sans-serif" w:hAnsi="Arial;sans-serif"/>
          <w:b w:val="false"/>
          <w:color w:val="000000"/>
          <w:sz w:val="20"/>
        </w:rPr>
        <w:t>19.    </w:t>
      </w:r>
      <w:r>
        <w:rPr>
          <w:rFonts w:ascii="Arial;sans-serif" w:hAnsi="Arial;sans-serif"/>
          <w:b/>
          <w:color w:val="000000"/>
          <w:sz w:val="20"/>
          <w:u w:val="single"/>
        </w:rPr>
        <w:t>General Provisions</w:t>
      </w:r>
      <w:r>
        <w:rPr>
          <w:rFonts w:ascii="Arial;sans-serif" w:hAnsi="Arial;sans-serif"/>
          <w:b/>
          <w:color w:val="000000"/>
          <w:sz w:val="2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None of the Plan, this Agreement or the Award Memorandum confers upon you any right to continue to be employed by the Company or any Subsidiary or limits in any respect any right of the Company or any Subsidiary to terminate your employment at any time, without liability.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This Agreement, the Award Memorandum, and the Addendum may only be modified, amended or cancelled as provided in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71"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If any one or more provisions of this Agreement, the Award Memorandum, or the Addendum is found to be invalid, illegal or unenforceable in any respect, then the provision will be modified to the minimum extent required to make such provision valid, legal and enforceable, and if such modification is not permitted by applicable law, then such provision shall be severable and the validity, legality and enforceability of the remaining provisions hereof shall not in any way be affected or impaired thereby.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Any remedies available to the Company under the Plan or this Agreement are cumulative and are in addition to, and are not affected by, the other rights and remedies available to the Company by law or otherwise.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This Agreement and the Award Memorandum shall be governed by and construed in accordance with the laws of the State of Wisconsin, without regard to its conflict of law provisions, except that Sections 5 through 7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The Company agrees, and you agree, to be subject to and bound by all of the terms and conditions of the Plan.</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(h)    This Agreement, the Award Memorandum and the Addendum shall be binding upon and inure to the benefit of any successor or assign of the Company and to any heir, distributee, executor, administrator or legal representative entitled by law to your rights hereunder.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(i)You understand that, under the terms of the Plan, this Agreement and the Award Memorandum, the Company may cancel or rescind this Award and/or the Shares in certain circumstances.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(j)In consideration of, among other things, your continued employment with the Company or a Subsidiary, you acknowledge and agree that you are and will continue to be subject to the Fiserv, Inc. Compensation Recoupment Policy (as amended from time to time, the “Policy”) and that the Policy will apply both during and after the termination of your employment with the Company or any Subsidiary. You can access this Policy as currently in effect by visiting https://investors.fiserv.com/corporate-governance/governance-documents. Further, by accepting this Award,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you are a party or participant or to which you are subject.</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By selecting the “Accept your award” box on the website of our administrative agent, you acknowledge your acceptance of, and agreement to be bound by, this Agreement, the Award Memorandum, the Plan, the Addendum, and the Policy.</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Your acceptance of the terms of this Agreement, the Award Memorandum, the Plan, the Addendum, and the Policy through our administrative agent’s website within 120 calendar days of your Award Grant Date is a condition to your receipt of this Award. If you do not accept the terms and conditions of this Agreement, the Award Memorandum, the Plan, the Addendum, and the Policy within such time, this Award will be forfeited and immediately terminate.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10.8</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72"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RESTRICTED STOCK UNIT AWARD MEMORANDUM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SENIOR OFFICER (NO RETIREMENT)</w:t>
      </w:r>
    </w:p>
    <w:p>
      <w:pPr>
        <w:pStyle w:val="TextBody"/>
        <w:bidi w:val="0"/>
        <w:spacing w:before="0" w:after="0"/>
        <w:jc w:val="center"/>
        <w:rPr/>
      </w:pPr>
      <w:r>
        <w:rPr/>
      </w:r>
    </w:p>
    <w:p>
      <w:pPr>
        <w:pStyle w:val="TextBody"/>
        <w:bidi w:val="0"/>
        <w:spacing w:before="0" w:after="0"/>
        <w:jc w:val="left"/>
        <w:rPr/>
      </w:pPr>
      <w:r>
        <w:rPr/>
      </w:r>
    </w:p>
    <w:tbl>
      <w:tblPr>
        <w:tblW w:w="7360"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893"/>
        <w:gridCol w:w="893"/>
        <w:gridCol w:w="1273"/>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[FIRST NAME] [LAST NAME]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[GRANT DATE]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Number of Shares Subject to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[NUMBER OF SHARES]</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100" w:after="120"/>
              <w:ind w:left="0" w:right="0" w:hanging="240"/>
              <w:jc w:val="left"/>
              <w:rPr>
                <w:rFonts w:ascii="Arial;sans-serif" w:hAnsi="Arial;sans-serif"/>
                <w:b/>
                <w:color w:val="000000"/>
                <w:sz w:val="22"/>
              </w:rPr>
            </w:pPr>
            <w:r>
              <w:rPr>
                <w:rFonts w:ascii="Arial;sans-serif" w:hAnsi="Arial;sans-serif"/>
                <w:b/>
                <w:color w:val="000000"/>
                <w:sz w:val="22"/>
              </w:rPr>
              <w:t>Date Vested: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u w:val="single"/>
              </w:rPr>
            </w:pPr>
            <w:r>
              <w:rPr>
                <w:rFonts w:ascii="Arial;sans-serif" w:hAnsi="Arial;sans-serif"/>
                <w:b w:val="false"/>
                <w:i/>
                <w:color w:val="000000"/>
                <w:sz w:val="22"/>
                <w:u w:val="single"/>
              </w:rPr>
              <w:t>[VESTING SCHEDULE]</w:t>
            </w:r>
          </w:p>
        </w:tc>
      </w:tr>
    </w:tbl>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Restricted Stock Unit Agreement. As a condition to your receipt of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lineRule="auto" w:line="288" w:before="240" w:after="240"/>
        <w:jc w:val="left"/>
        <w:rPr/>
      </w:pPr>
      <w:r>
        <w:rPr>
          <w:rFonts w:ascii="Arial;sans-serif" w:hAnsi="Arial;sans-serif"/>
          <w:b/>
          <w:color w:val="000000"/>
          <w:sz w:val="22"/>
          <w:u w:val="single"/>
        </w:rPr>
        <w:t>Note</w:t>
      </w:r>
      <w:r>
        <w:rPr>
          <w:rFonts w:ascii="Arial;sans-serif" w:hAnsi="Arial;sans-serif"/>
          <w:b/>
          <w:color w:val="000000"/>
          <w:sz w:val="22"/>
        </w:rPr>
        <w:t>: Sections 5 through 7 of the Restricted Stock Unit Agreement contain provisions that restrict your activities. These provisions apply to you and, by accepting this Award, you agree to be bound by these restrictions. Accepting this Award, and these provisions, is not a condition of your employment or continued employment by Fiserv.</w:t>
      </w:r>
    </w:p>
    <w:p>
      <w:pPr>
        <w:pStyle w:val="TextBody"/>
        <w:bidi w:val="0"/>
        <w:spacing w:before="240" w:after="240"/>
        <w:jc w:val="left"/>
        <w:rPr/>
      </w:pPr>
      <w:r>
        <w:rPr/>
      </w:r>
    </w:p>
    <w:p>
      <w:pPr>
        <w:pStyle w:val="TextBody"/>
        <w:bidi w:val="0"/>
        <w:spacing w:before="240" w:after="240"/>
        <w:jc w:val="left"/>
        <w:rPr/>
      </w:pPr>
      <w:r>
        <w:rPr/>
      </w:r>
    </w:p>
    <w:p>
      <w:pPr>
        <w:pStyle w:val="TextBody"/>
        <w:bidi w:val="0"/>
        <w:spacing w:lineRule="auto" w:line="288" w:before="24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center"/>
        <w:rPr>
          <w:rFonts w:ascii="Arial;sans-serif" w:hAnsi="Arial;sans-serif"/>
          <w:b/>
          <w:color w:val="000000"/>
          <w:sz w:val="20"/>
          <w:u w:val="single"/>
        </w:rPr>
      </w:pPr>
      <w:r>
        <w:rPr>
          <w:rFonts w:ascii="Arial;sans-serif" w:hAnsi="Arial;sans-serif"/>
          <w:b/>
          <w:color w:val="000000"/>
          <w:sz w:val="20"/>
          <w:u w:val="single"/>
        </w:rPr>
        <w:t xml:space="preserve">RESTRICTED STOCK UNIT AGREEMENT </w:t>
      </w:r>
    </w:p>
    <w:p>
      <w:pPr>
        <w:pStyle w:val="TextBody"/>
        <w:bidi w:val="0"/>
        <w:spacing w:lineRule="auto" w:line="300" w:before="0" w:after="240"/>
        <w:ind w:left="0" w:right="0" w:firstLine="720"/>
        <w:jc w:val="left"/>
        <w:rPr/>
      </w:pP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Restricted Stock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such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300"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event of a conflict between the terms of this Agreement or the Award Memorandum and the terms of the Plan, the terms of the Plan shall govern. In the event of a conflict between the terms of this Agreement and the Award Memorandum, the terms of this Agreement shall govern. </w:t>
      </w:r>
    </w:p>
    <w:p>
      <w:pPr>
        <w:pStyle w:val="TextBody"/>
        <w:bidi w:val="0"/>
        <w:spacing w:lineRule="auto" w:line="300" w:before="0" w:after="240"/>
        <w:ind w:left="0" w:right="0" w:hanging="432"/>
        <w:jc w:val="left"/>
        <w:rPr/>
      </w:pPr>
      <w:r>
        <w:rPr>
          <w:rFonts w:ascii="Arial;sans-serif" w:hAnsi="Arial;sans-serif"/>
          <w:b w:val="false"/>
          <w:color w:val="000000"/>
          <w:sz w:val="20"/>
        </w:rPr>
        <w:t>1.</w:t>
      </w:r>
      <w:r>
        <w:rPr>
          <w:rFonts w:ascii="Arial;sans-serif" w:hAnsi="Arial;sans-serif"/>
          <w:b/>
          <w:color w:val="000000"/>
          <w:sz w:val="20"/>
          <w:u w:val="single"/>
        </w:rPr>
        <w:t>Grant Date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Award is granted to you on the Grant Date set forth in the Award Memorandum. </w:t>
      </w:r>
    </w:p>
    <w:p>
      <w:pPr>
        <w:pStyle w:val="TextBody"/>
        <w:bidi w:val="0"/>
        <w:spacing w:lineRule="auto" w:line="300" w:before="0" w:after="240"/>
        <w:ind w:left="0" w:right="0" w:hanging="432"/>
        <w:jc w:val="left"/>
        <w:rPr/>
      </w:pPr>
      <w:r>
        <w:rPr>
          <w:rFonts w:ascii="Arial;sans-serif" w:hAnsi="Arial;sans-serif"/>
          <w:b w:val="false"/>
          <w:color w:val="000000"/>
          <w:sz w:val="20"/>
        </w:rPr>
        <w:t>2.</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Provided that you are an employee as of the applicable date, this Award will vest as indicated in the Award Memorandum.</w:t>
      </w:r>
    </w:p>
    <w:p>
      <w:pPr>
        <w:pStyle w:val="TextBody"/>
        <w:bidi w:val="0"/>
        <w:spacing w:lineRule="auto" w:line="300" w:before="0" w:after="240"/>
        <w:ind w:left="0" w:right="0" w:hanging="432"/>
        <w:jc w:val="left"/>
        <w:rPr/>
      </w:pPr>
      <w:r>
        <w:rPr>
          <w:rFonts w:ascii="Arial;sans-serif" w:hAnsi="Arial;sans-serif"/>
          <w:b w:val="false"/>
          <w:color w:val="000000"/>
          <w:sz w:val="20"/>
        </w:rPr>
        <w:t>3.</w:t>
      </w:r>
      <w:r>
        <w:rPr>
          <w:rFonts w:ascii="Arial;sans-serif" w:hAnsi="Arial;sans-serif"/>
          <w:b/>
          <w:color w:val="000000"/>
          <w:sz w:val="20"/>
          <w:u w:val="single"/>
        </w:rPr>
        <w:t>Termination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Your Award shall terminate in all events on the earlier of (a) the date upon which vesting is no longer permitted pursuant to Section 9 or (b) your failure to accept the terms of this Agreement, the Award Memorandum, and the Plan within the time period and in the manner specified in this Agreement. Notwithstanding the foregoing, if this Award is terminated pursuant to subsection (a) of this Section 3, then the provisions of Sections 4 through 8 shall survive such termination.</w:t>
      </w:r>
    </w:p>
    <w:p>
      <w:pPr>
        <w:pStyle w:val="TextBody"/>
        <w:bidi w:val="0"/>
        <w:spacing w:lineRule="auto" w:line="300" w:before="0" w:after="240"/>
        <w:ind w:left="0" w:right="0" w:hanging="432"/>
        <w:jc w:val="left"/>
        <w:rPr/>
      </w:pPr>
      <w:r>
        <w:rPr>
          <w:rFonts w:ascii="Arial;sans-serif" w:hAnsi="Arial;sans-serif"/>
          <w:b w:val="false"/>
          <w:color w:val="000000"/>
          <w:sz w:val="20"/>
        </w:rPr>
        <w:t>4.    </w:t>
      </w:r>
      <w:r>
        <w:rPr>
          <w:rFonts w:ascii="Arial;sans-serif" w:hAnsi="Arial;sans-serif"/>
          <w:b/>
          <w:color w:val="000000"/>
          <w:sz w:val="20"/>
          <w:u w:val="single"/>
        </w:rPr>
        <w:t>Definitions Related to Confidential Information, Non-Competition and Related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val="false"/>
          <w:color w:val="000000"/>
          <w:sz w:val="20"/>
          <w:u w:val="single"/>
        </w:rPr>
        <w:t>Fiserv</w:t>
      </w:r>
      <w:r>
        <w:rPr>
          <w:color w:val="000000"/>
        </w:rPr>
        <w:t xml:space="preserve">” </w:t>
      </w:r>
      <w:r>
        <w:rPr>
          <w:rFonts w:ascii="Arial;sans-serif" w:hAnsi="Arial;sans-serif"/>
          <w:b w:val="false"/>
          <w:color w:val="000000"/>
          <w:sz w:val="20"/>
        </w:rPr>
        <w:t xml:space="preserve">means the Company, its direct and indirect Subsidiaries, affiliated entities, successors, and assigns. </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val="false"/>
          <w:color w:val="000000"/>
          <w:sz w:val="20"/>
          <w:u w:val="single"/>
        </w:rPr>
        <w:t>Confidential Information</w:t>
      </w:r>
      <w:r>
        <w:rPr>
          <w:color w:val="000000"/>
        </w:rPr>
        <w:t xml:space="preserve">” </w:t>
      </w:r>
      <w:r>
        <w:rPr>
          <w:rFonts w:ascii="Arial;sans-serif" w:hAnsi="Arial;sans-serif"/>
          <w:b w:val="false"/>
          <w:color w:val="000000"/>
          <w:sz w:val="20"/>
        </w:rPr>
        <w:t xml:space="preserve">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val="false"/>
          <w:color w:val="000000"/>
          <w:sz w:val="20"/>
          <w:u w:val="single"/>
        </w:rPr>
        <w:t>Competing Product or Service</w:t>
      </w:r>
      <w:r>
        <w:rPr>
          <w:color w:val="000000"/>
        </w:rPr>
        <w:t xml:space="preserve">” </w:t>
      </w:r>
      <w:r>
        <w:rPr>
          <w:rFonts w:ascii="Arial;sans-serif" w:hAnsi="Arial;sans-serif"/>
          <w:b w:val="false"/>
          <w:color w:val="000000"/>
          <w:sz w:val="20"/>
        </w:rPr>
        <w:t xml:space="preserve">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 </w:t>
      </w:r>
    </w:p>
    <w:p>
      <w:pPr>
        <w:pStyle w:val="TextBody"/>
        <w:bidi w:val="0"/>
        <w:spacing w:before="0" w:after="240"/>
        <w:ind w:left="0" w:right="0" w:hanging="432"/>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4"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val="false"/>
          <w:color w:val="000000"/>
          <w:sz w:val="20"/>
          <w:u w:val="single"/>
        </w:rPr>
        <w:t>Competitor</w:t>
      </w:r>
      <w:r>
        <w:rPr>
          <w:color w:val="000000"/>
        </w:rPr>
        <w:t xml:space="preserve">” </w:t>
      </w:r>
      <w:r>
        <w:rPr>
          <w:rFonts w:ascii="Arial;sans-serif" w:hAnsi="Arial;sans-serif"/>
          <w:b w:val="false"/>
          <w:color w:val="000000"/>
          <w:sz w:val="20"/>
        </w:rPr>
        <w:t xml:space="preserve">means an individual, business or any other entity or enterprise engaged or having publicly announced its intent to engage in the sale or marketing of any Competing Product or Service. </w:t>
      </w:r>
    </w:p>
    <w:p>
      <w:pPr>
        <w:pStyle w:val="TextBody"/>
        <w:bidi w:val="0"/>
        <w:spacing w:lineRule="auto" w:line="300" w:before="0" w:after="240"/>
        <w:ind w:left="0" w:right="0" w:hanging="432"/>
        <w:jc w:val="left"/>
        <w:rPr/>
      </w:pPr>
      <w:r>
        <w:rPr>
          <w:rFonts w:ascii="Arial;sans-serif" w:hAnsi="Arial;sans-serif"/>
          <w:b w:val="false"/>
          <w:color w:val="000000"/>
          <w:sz w:val="20"/>
        </w:rPr>
        <w:t>(e)    “</w:t>
      </w:r>
      <w:r>
        <w:rPr>
          <w:rFonts w:ascii="Arial;sans-serif" w:hAnsi="Arial;sans-serif"/>
          <w:b w:val="false"/>
          <w:color w:val="000000"/>
          <w:sz w:val="20"/>
          <w:u w:val="single"/>
        </w:rPr>
        <w:t>Innovations</w:t>
      </w:r>
      <w:r>
        <w:rPr>
          <w:color w:val="000000"/>
        </w:rPr>
        <w:t xml:space="preserve">” </w:t>
      </w:r>
      <w:r>
        <w:rPr>
          <w:rFonts w:ascii="Arial;sans-serif" w:hAnsi="Arial;sans-serif"/>
          <w:b w:val="false"/>
          <w:color w:val="000000"/>
          <w:sz w:val="20"/>
        </w:rPr>
        <w:t xml:space="preserve">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 </w:t>
      </w:r>
    </w:p>
    <w:p>
      <w:pPr>
        <w:pStyle w:val="TextBody"/>
        <w:bidi w:val="0"/>
        <w:spacing w:lineRule="auto" w:line="300" w:before="0" w:after="240"/>
        <w:ind w:left="0" w:right="0" w:hanging="432"/>
        <w:jc w:val="left"/>
        <w:rPr/>
      </w:pPr>
      <w:r>
        <w:rPr>
          <w:rFonts w:ascii="Arial;sans-serif" w:hAnsi="Arial;sans-serif"/>
          <w:b w:val="false"/>
          <w:color w:val="000000"/>
          <w:sz w:val="20"/>
        </w:rPr>
        <w:t>(f)    “</w:t>
      </w:r>
      <w:r>
        <w:rPr>
          <w:rFonts w:ascii="Arial;sans-serif" w:hAnsi="Arial;sans-serif"/>
          <w:b w:val="false"/>
          <w:color w:val="000000"/>
          <w:sz w:val="20"/>
          <w:u w:val="single"/>
        </w:rPr>
        <w:t>Moral Rights</w:t>
      </w:r>
      <w:r>
        <w:rPr>
          <w:color w:val="000000"/>
        </w:rPr>
        <w:t xml:space="preserve">” </w:t>
      </w:r>
      <w:r>
        <w:rPr>
          <w:rFonts w:ascii="Arial;sans-serif" w:hAnsi="Arial;sans-serif"/>
          <w:b w:val="false"/>
          <w:color w:val="000000"/>
          <w:sz w:val="20"/>
        </w:rPr>
        <w:t xml:space="preserve">means any rights to claim authorship of a work of authorship, to object to or prevent the modification of any such work of authorship, or to withdraw from circulation or control the publication or distribution of any such work of authorship. </w:t>
      </w:r>
    </w:p>
    <w:p>
      <w:pPr>
        <w:pStyle w:val="TextBody"/>
        <w:bidi w:val="0"/>
        <w:spacing w:lineRule="auto" w:line="300" w:before="0" w:after="240"/>
        <w:ind w:left="0" w:right="0" w:hanging="432"/>
        <w:jc w:val="left"/>
        <w:rPr/>
      </w:pPr>
      <w:r>
        <w:rPr>
          <w:rFonts w:ascii="Arial;sans-serif" w:hAnsi="Arial;sans-serif"/>
          <w:b w:val="false"/>
          <w:color w:val="000000"/>
          <w:sz w:val="20"/>
        </w:rPr>
        <w:t>(g)    “</w:t>
      </w:r>
      <w:r>
        <w:rPr>
          <w:rFonts w:ascii="Arial;sans-serif" w:hAnsi="Arial;sans-serif"/>
          <w:b w:val="false"/>
          <w:color w:val="000000"/>
          <w:sz w:val="20"/>
          <w:u w:val="single"/>
        </w:rPr>
        <w:t>Client</w:t>
      </w:r>
      <w:r>
        <w:rPr>
          <w:color w:val="000000"/>
        </w:rPr>
        <w:t xml:space="preserve">” </w:t>
      </w:r>
      <w:r>
        <w:rPr>
          <w:rFonts w:ascii="Arial;sans-serif" w:hAnsi="Arial;sans-serif"/>
          <w:b w:val="false"/>
          <w:color w:val="000000"/>
          <w:sz w:val="20"/>
        </w:rPr>
        <w:t xml:space="preserve">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(h)    </w:t>
      </w:r>
      <w:r>
        <w:rPr>
          <w:color w:val="000000"/>
          <w:u w:val="single"/>
        </w:rPr>
        <w:t>“</w:t>
      </w:r>
      <w:r>
        <w:rPr>
          <w:rFonts w:ascii="Arial;sans-serif" w:hAnsi="Arial;sans-serif"/>
          <w:b w:val="false"/>
          <w:color w:val="000000"/>
          <w:sz w:val="20"/>
          <w:u w:val="single"/>
        </w:rPr>
        <w:t>Prospective Client</w:t>
      </w:r>
      <w:r>
        <w:rPr>
          <w:color w:val="000000"/>
        </w:rPr>
        <w:t xml:space="preserve">” </w:t>
      </w:r>
      <w:r>
        <w:rPr>
          <w:rFonts w:ascii="Arial;sans-serif" w:hAnsi="Arial;sans-serif"/>
          <w:b w:val="false"/>
          <w:color w:val="000000"/>
          <w:sz w:val="20"/>
        </w:rPr>
        <w:t>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(i)    “</w:t>
      </w:r>
      <w:r>
        <w:rPr>
          <w:rFonts w:ascii="Arial;sans-serif" w:hAnsi="Arial;sans-serif"/>
          <w:b w:val="false"/>
          <w:color w:val="000000"/>
          <w:sz w:val="20"/>
          <w:u w:val="single"/>
        </w:rPr>
        <w:t>Territory</w:t>
      </w:r>
      <w:r>
        <w:rPr>
          <w:color w:val="000000"/>
        </w:rPr>
        <w:t xml:space="preserve">” </w:t>
      </w:r>
      <w:r>
        <w:rPr>
          <w:rFonts w:ascii="Arial;sans-serif" w:hAnsi="Arial;sans-serif"/>
          <w:b w:val="false"/>
          <w:color w:val="000000"/>
          <w:sz w:val="20"/>
        </w:rPr>
        <w:t>means the geographic regions for which you had executive, managerial, supervisory, sales, marketing, client servicing, and/or other responsibilities during any part of the 24 months preceding the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(j)    “</w:t>
      </w:r>
      <w:r>
        <w:rPr>
          <w:rFonts w:ascii="Arial;sans-serif" w:hAnsi="Arial;sans-serif"/>
          <w:b w:val="false"/>
          <w:color w:val="000000"/>
          <w:sz w:val="20"/>
          <w:u w:val="single"/>
        </w:rPr>
        <w:t>Vendor</w:t>
      </w:r>
      <w:r>
        <w:rPr>
          <w:color w:val="000000"/>
        </w:rPr>
        <w:t xml:space="preserve">” </w:t>
      </w:r>
      <w:r>
        <w:rPr>
          <w:rFonts w:ascii="Arial;sans-serif" w:hAnsi="Arial;sans-serif"/>
          <w:b w:val="false"/>
          <w:color w:val="000000"/>
          <w:sz w:val="20"/>
        </w:rPr>
        <w:t xml:space="preserve">means a third party unaffiliated with Fiserv that contracts with Fiserv to provide services to Fiserv or its clients: (i) that you directly worked with or for which you supervised others in working with during any part of the 24 months preceding the termination of your employment with Fiserv; or (ii) about which you have Confidential Information as a result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(k)     “</w:t>
      </w:r>
      <w:r>
        <w:rPr>
          <w:rFonts w:ascii="Arial;sans-serif" w:hAnsi="Arial;sans-serif"/>
          <w:b w:val="false"/>
          <w:color w:val="000000"/>
          <w:sz w:val="20"/>
          <w:u w:val="single"/>
        </w:rPr>
        <w:t>Addendum</w:t>
      </w:r>
      <w:r>
        <w:rPr>
          <w:color w:val="000000"/>
        </w:rPr>
        <w:t xml:space="preserve">” </w:t>
      </w:r>
      <w:r>
        <w:rPr>
          <w:rFonts w:ascii="Arial;sans-serif" w:hAnsi="Arial;sans-serif"/>
          <w:b w:val="false"/>
          <w:color w:val="000000"/>
          <w:sz w:val="20"/>
        </w:rPr>
        <w:t>means a jurisdiction-specific provision for certain employees of Fiserv who are employed to work and/or reside in certain jurisdictions that modifies and/or supplements the terms of Sections 5 through 7 of this Agreement to the extent specified in the Addendum. The Addendum will be incorporated into, construed jointly with, modify and/or supplement the terms of Sections 5 through 7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5.    </w:t>
      </w:r>
      <w:r>
        <w:rPr>
          <w:rFonts w:ascii="Arial;sans-serif" w:hAnsi="Arial;sans-serif"/>
          <w:b/>
          <w:color w:val="000000"/>
          <w:sz w:val="20"/>
          <w:u w:val="single"/>
        </w:rPr>
        <w:t>Confidentiality and Innovations</w:t>
      </w:r>
      <w:r>
        <w:rPr>
          <w:rFonts w:ascii="Arial;sans-serif" w:hAnsi="Arial;sans-serif"/>
          <w:b w:val="false"/>
          <w:color w:val="000000"/>
          <w:sz w:val="20"/>
        </w:rPr>
        <w:t>. During your employment, Fiserv will provide you with Confidential Information relating to Fiserv, its business, Clients and Prospective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5"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(c)Notwithstanding the preceding statements, you understand that: </w:t>
      </w:r>
    </w:p>
    <w:p>
      <w:pPr>
        <w:pStyle w:val="TextBody"/>
        <w:bidi w:val="0"/>
        <w:spacing w:lineRule="auto" w:line="300" w:before="0" w:after="240"/>
        <w:ind w:left="0" w:right="0" w:hanging="360"/>
        <w:jc w:val="left"/>
        <w:rPr/>
      </w:pPr>
      <w:r>
        <w:rPr>
          <w:rFonts w:ascii="Arial;sans-serif" w:hAnsi="Arial;sans-serif"/>
          <w:b w:val="false"/>
          <w:color w:val="000000"/>
          <w:sz w:val="20"/>
        </w:rPr>
        <w:t>(i)Nothing in this Agreement or any other Fiserv policy prohibits or impedes you from communicating, cooperating, or filing a complaint with any U.S., federal, state, or local governmental or law enforcement branch, agency, or entity (collectively, a “</w:t>
      </w:r>
      <w:r>
        <w:rPr>
          <w:rFonts w:ascii="Arial;sans-serif" w:hAnsi="Arial;sans-serif"/>
          <w:b w:val="false"/>
          <w:color w:val="000000"/>
          <w:sz w:val="20"/>
          <w:u w:val="single"/>
        </w:rPr>
        <w:t>Governmental Entity</w:t>
      </w:r>
      <w:r>
        <w:rPr>
          <w:color w:val="000000"/>
        </w:rPr>
        <w:t>”</w:t>
      </w:r>
      <w:r>
        <w:rPr>
          <w:rFonts w:ascii="Arial;sans-serif" w:hAnsi="Arial;sans-serif"/>
          <w:b w:val="false"/>
          <w:color w:val="000000"/>
          <w:sz w:val="20"/>
        </w:rPr>
        <w:t xml:space="preserve">)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 </w:t>
      </w:r>
    </w:p>
    <w:p>
      <w:pPr>
        <w:pStyle w:val="TextBody"/>
        <w:bidi w:val="0"/>
        <w:spacing w:lineRule="auto" w:line="300" w:before="0" w:after="240"/>
        <w:ind w:left="0" w:right="0" w:hanging="360"/>
        <w:jc w:val="left"/>
        <w:rPr>
          <w:rFonts w:ascii="Arial;sans-serif" w:hAnsi="Arial;sans-serif"/>
          <w:b w:val="false"/>
          <w:color w:val="000000"/>
          <w:sz w:val="20"/>
        </w:rPr>
      </w:pPr>
      <w:r>
        <w:rPr>
          <w:rFonts w:ascii="Arial;sans-serif" w:hAnsi="Arial;sans-serif"/>
          <w:b w:val="false"/>
          <w:color w:val="000000"/>
          <w:sz w:val="20"/>
        </w:rPr>
        <w:t>(ii)Pursuant to 18 U.S.C. §1833(b)(1) and §1833(b)(2):</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     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You understand that if you are found to have wrongfully misappropriated a trade secret, you may be liable to Fiserv for, among other things, exemplary damages and attorneys’ fees.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or to solicit the business or employees of Fiserv would necessarily require the use of Fiserv’s Confidential Information that was obtained by you during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6"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pStyle w:val="TextBody"/>
        <w:bidi w:val="0"/>
        <w:spacing w:lineRule="auto" w:line="300" w:before="0" w:after="240"/>
        <w:ind w:left="0" w:right="0" w:hanging="432"/>
        <w:jc w:val="left"/>
        <w:rPr/>
      </w:pPr>
      <w:r>
        <w:rPr>
          <w:rFonts w:ascii="Arial;sans-serif" w:hAnsi="Arial;sans-serif"/>
          <w:b w:val="false"/>
          <w:color w:val="000000"/>
          <w:sz w:val="20"/>
        </w:rPr>
        <w:t>6.    </w:t>
      </w:r>
      <w:r>
        <w:rPr>
          <w:rFonts w:ascii="Arial;sans-serif" w:hAnsi="Arial;sans-serif"/>
          <w:b/>
          <w:color w:val="000000"/>
          <w:sz w:val="20"/>
          <w:u w:val="single"/>
        </w:rPr>
        <w:t>Restrictions During Employment</w:t>
      </w:r>
      <w:r>
        <w:rPr>
          <w:rFonts w:ascii="Arial;sans-serif" w:hAnsi="Arial;sans-serif"/>
          <w:b w:val="false"/>
          <w:color w:val="000000"/>
          <w:sz w:val="20"/>
        </w:rPr>
        <w:t xml:space="preserve">.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(except to the extent required by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(b)entice, induce, encourage, urge or solicit Clients, Prospective Clients or Vendors of Fiserv to currently and/or prospectively breach, modify, or terminate any agreement or relationship they have or had with Fiserv;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24-month period preceding the termination of your employment with Fiserv). </w:t>
      </w:r>
    </w:p>
    <w:p>
      <w:pPr>
        <w:pStyle w:val="TextBody"/>
        <w:bidi w:val="0"/>
        <w:spacing w:lineRule="auto" w:line="300" w:before="0" w:after="240"/>
        <w:ind w:left="0" w:right="0" w:hanging="432"/>
        <w:jc w:val="left"/>
        <w:rPr/>
      </w:pPr>
      <w:r>
        <w:rPr>
          <w:rFonts w:ascii="Arial;sans-serif" w:hAnsi="Arial;sans-serif"/>
          <w:b w:val="false"/>
          <w:color w:val="000000"/>
          <w:sz w:val="20"/>
        </w:rPr>
        <w:t>7.    </w:t>
      </w:r>
      <w:r>
        <w:rPr>
          <w:rFonts w:ascii="Arial;sans-serif" w:hAnsi="Arial;sans-serif"/>
          <w:b/>
          <w:color w:val="000000"/>
          <w:sz w:val="20"/>
          <w:u w:val="single"/>
        </w:rPr>
        <w:t>Restrictions Following Employment</w:t>
      </w:r>
      <w:r>
        <w:rPr>
          <w:rFonts w:ascii="Arial;sans-serif" w:hAnsi="Arial;sans-serif"/>
          <w:b w:val="false"/>
          <w:color w:val="000000"/>
          <w:sz w:val="20"/>
        </w:rPr>
        <w:t>. 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(a)perform duties as or for a Competitor of Fiserv that are the same as or similar to the duties performed by you for Fiserv at any time during any part of the 24-month period preceding the termination of your employment with Fiserv and which involve a Competing Product or Service;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(b)entice, induce, encourage, urge, or solicit Clients, Prospective Clients or Vendors of Fiserv to currently and/or prospectively breach, modify or terminate any agreement or relationship they have or had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(c)entice, induce, encourage, urge, or solicit any employee to leave employment with Fiserv or become employed by a Competitor, Client, Prospective Client, or Vendor of Fiserv (the provisions of this Section 7(c) shall apply to any employee of Fiserv with whom you worked during any part of the 24-month period preceding the termination of your employment with Fiserv); or</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7"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(d)participate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pStyle w:val="TextBody"/>
        <w:bidi w:val="0"/>
        <w:spacing w:lineRule="auto" w:line="300" w:before="0" w:after="240"/>
        <w:ind w:left="0" w:right="0" w:hanging="432"/>
        <w:jc w:val="left"/>
        <w:rPr/>
      </w:pPr>
      <w:r>
        <w:rPr>
          <w:rFonts w:ascii="Arial;sans-serif" w:hAnsi="Arial;sans-serif"/>
          <w:b w:val="false"/>
          <w:color w:val="000000"/>
          <w:sz w:val="20"/>
        </w:rPr>
        <w:t>8.    </w:t>
      </w:r>
      <w:r>
        <w:rPr>
          <w:rFonts w:ascii="Arial;sans-serif" w:hAnsi="Arial;sans-serif"/>
          <w:b/>
          <w:color w:val="000000"/>
          <w:sz w:val="20"/>
          <w:u w:val="single"/>
        </w:rPr>
        <w:t>Acknowledgments Regarding Restrictive Covenants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For purposes of Section 7(a)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 </w:t>
      </w:r>
    </w:p>
    <w:p>
      <w:pPr>
        <w:pStyle w:val="TextBody"/>
        <w:bidi w:val="0"/>
        <w:spacing w:lineRule="auto" w:line="300" w:before="0" w:after="240"/>
        <w:ind w:left="0" w:right="0" w:hanging="432"/>
        <w:jc w:val="left"/>
        <w:rPr/>
      </w:pPr>
      <w:r>
        <w:rPr>
          <w:rFonts w:ascii="Arial;sans-serif" w:hAnsi="Arial;sans-serif"/>
          <w:b w:val="false"/>
          <w:color w:val="000000"/>
          <w:sz w:val="20"/>
        </w:rPr>
        <w:t>(b)</w:t>
      </w:r>
      <w:r>
        <w:rPr>
          <w:color w:val="000000"/>
        </w:rPr>
        <w:t>    </w:t>
      </w:r>
      <w:r>
        <w:rPr>
          <w:rFonts w:ascii="Arial;sans-serif" w:hAnsi="Arial;sans-serif"/>
          <w:b/>
          <w:color w:val="000000"/>
          <w:sz w:val="20"/>
        </w:rPr>
        <w:t>No provision of Sections 5 through 7 will apply to limit or restrict your conduct under this Agreement during or after your employment, or trigger any reimbursement obligations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void or may limit or prohibit the enforceability of some or all of Sections 5 through 7 are set forth in the Addendum that will be provided and/or made available to you concurrently with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    You acknowledge the consideration provided for your agreement to comply with the provision of Sections 5 through 7 include (i) Fiserv’s provision of Confidential Information to you, (ii) this Award, and (iii) the Shares issued under the Award, if any.</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acknowledge and agree that compliance with Sections 5 through 7 is necessary to protect Fiserv, and that a breach of any of Sections 5 through 7 will result in irreparable and continuing damage to Fiserv for which there will be no adequate remedy at law. In the event of a breach of Sections 5 through 7, or any part thereof, Fiserv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(e)    You further agree that, in the event of your breach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You agree that the terms of this Agreement shall survive the termination of your employment with Fiserv.</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BY ACCEPTING THIS AWARD, YOU ACKNOWLEDGE THAT YOU HAVE READ THIS AGREEMENT, INCLUDING SECTIONS 5 THROUGH 7, AND AGREE THAT THE CONSIDERATION PROVIDED BY FISERV IS FAIR AND REASONABLE AND FURTHER AGREE THAT GIVEN THE IMPORTANCE TO FISERV OF ITS CONFIDENTIAL AND PROPRIETARY INFORMATION, THE RESTRICTIONS ON YOUR ACTIVITIES, INCLUDING THOSE THAT APPLY POST-EMPLOYMENT, ARE LIKEWISE FAIR AND REASONABLE.</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8"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pPr>
      <w:r>
        <w:rPr>
          <w:rFonts w:ascii="Arial;sans-serif" w:hAnsi="Arial;sans-serif"/>
          <w:b w:val="false"/>
          <w:color w:val="000000"/>
          <w:sz w:val="20"/>
        </w:rPr>
        <w:t>9.    </w:t>
      </w:r>
      <w:r>
        <w:rPr>
          <w:rFonts w:ascii="Arial;sans-serif" w:hAnsi="Arial;sans-serif"/>
          <w:b/>
          <w:color w:val="000000"/>
          <w:sz w:val="20"/>
          <w:u w:val="single"/>
        </w:rPr>
        <w:t>Termination of Employment</w:t>
      </w:r>
      <w:r>
        <w:rPr>
          <w:rFonts w:ascii="Arial;sans-serif" w:hAnsi="Arial;sans-serif"/>
          <w:b/>
          <w:color w:val="000000"/>
          <w:sz w:val="20"/>
        </w:rPr>
        <w:t xml:space="preserve">. </w:t>
      </w:r>
    </w:p>
    <w:p>
      <w:pPr>
        <w:pStyle w:val="TextBody"/>
        <w:bidi w:val="0"/>
        <w:spacing w:lineRule="auto" w:line="300" w:before="0" w:after="240"/>
        <w:ind w:left="0" w:right="0" w:hanging="432"/>
        <w:jc w:val="left"/>
        <w:rPr/>
      </w:pPr>
      <w:r>
        <w:rPr>
          <w:rFonts w:ascii="Arial;sans-serif" w:hAnsi="Arial;sans-serif"/>
          <w:b w:val="false"/>
          <w:color w:val="000000"/>
          <w:sz w:val="20"/>
        </w:rPr>
        <w:t>(a)    </w:t>
      </w:r>
      <w:r>
        <w:rPr>
          <w:rFonts w:ascii="Arial;sans-serif" w:hAnsi="Arial;sans-serif"/>
          <w:b/>
          <w:color w:val="000000"/>
          <w:sz w:val="20"/>
          <w:u w:val="single"/>
        </w:rPr>
        <w:t>Vesting</w:t>
      </w:r>
      <w:r>
        <w:rPr>
          <w:rFonts w:ascii="Arial;sans-serif" w:hAnsi="Arial;sans-serif"/>
          <w:b/>
          <w:color w:val="000000"/>
          <w:sz w:val="20"/>
        </w:rPr>
        <w:t>.</w:t>
      </w:r>
      <w:r>
        <w:rPr>
          <w:color w:val="000000"/>
        </w:rPr>
        <w:t xml:space="preserve"> </w:t>
      </w:r>
      <w:r>
        <w:rPr>
          <w:rFonts w:ascii="Arial;sans-serif" w:hAnsi="Arial;sans-serif"/>
          <w:b w:val="false"/>
          <w:color w:val="000000"/>
          <w:sz w:val="20"/>
        </w:rPr>
        <w:t>If you cease to be an employee of the Company or any Subsidiary for any reason (a “</w:t>
      </w:r>
      <w:r>
        <w:rPr>
          <w:rFonts w:ascii="Arial;sans-serif" w:hAnsi="Arial;sans-serif"/>
          <w:b w:val="false"/>
          <w:color w:val="000000"/>
          <w:sz w:val="20"/>
          <w:u w:val="single"/>
        </w:rPr>
        <w:t>Termination Event</w:t>
      </w:r>
      <w:r>
        <w:rPr>
          <w:color w:val="000000"/>
        </w:rPr>
        <w:t>”</w:t>
      </w:r>
      <w:r>
        <w:rPr>
          <w:rFonts w:ascii="Arial;sans-serif" w:hAnsi="Arial;sans-serif"/>
          <w:b w:val="false"/>
          <w:color w:val="000000"/>
          <w:sz w:val="20"/>
        </w:rPr>
        <w:t xml:space="preserve">), the unvested portion of the Award shall terminate on the date on which such Termination Event occurs;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u w:val="single"/>
        </w:rPr>
        <w:t>that</w:t>
      </w:r>
      <w:r>
        <w:rPr>
          <w:rFonts w:ascii="Arial;sans-serif" w:hAnsi="Arial;sans-serif"/>
          <w:b w:val="false"/>
          <w:color w:val="000000"/>
          <w:sz w:val="20"/>
        </w:rPr>
        <w:t>, if the reason for your Termination Event is death or Disability, then the unvested portion of this Award as of the date of your death or Disability shall be vested in full.</w: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If you are regularly scheduled to work less than 20 hours per calendar week for the Company or any Subsidiary, you will be deemed to have experienced a Termination Event (except as otherwise provided in subsection (c)).</w:t>
      </w:r>
    </w:p>
    <w:p>
      <w:pPr>
        <w:pStyle w:val="TextBody"/>
        <w:bidi w:val="0"/>
        <w:spacing w:lineRule="auto" w:line="300" w:before="0" w:after="240"/>
        <w:ind w:left="0" w:right="0" w:hanging="432"/>
        <w:jc w:val="left"/>
        <w:rPr/>
      </w:pPr>
      <w:r>
        <w:rPr>
          <w:rFonts w:ascii="Arial;sans-serif" w:hAnsi="Arial;sans-serif"/>
          <w:b w:val="false"/>
          <w:color w:val="000000"/>
          <w:sz w:val="20"/>
        </w:rPr>
        <w:t>(b)    </w:t>
      </w:r>
      <w:r>
        <w:rPr>
          <w:rFonts w:ascii="Arial;sans-serif" w:hAnsi="Arial;sans-serif"/>
          <w:b/>
          <w:color w:val="000000"/>
          <w:sz w:val="20"/>
          <w:u w:val="single"/>
        </w:rPr>
        <w:t>Change of Control</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a Change of Control of the Company occurs, the provisions of Section 18(c) of the Plan shall apply to this 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shall immediately cease to apply. </w:t>
      </w:r>
    </w:p>
    <w:p>
      <w:pPr>
        <w:pStyle w:val="TextBody"/>
        <w:bidi w:val="0"/>
        <w:spacing w:lineRule="auto" w:line="300" w:before="0" w:after="240"/>
        <w:jc w:val="left"/>
        <w:rPr/>
      </w:pPr>
      <w:r>
        <w:rPr>
          <w:color w:val="000000"/>
        </w:rPr>
        <w:t>“</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 xml:space="preserve">means your suffering any of the following events upon or following a Change of Control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 </w:t>
      </w:r>
    </w:p>
    <w:p>
      <w:pPr>
        <w:pStyle w:val="TextBody"/>
        <w:bidi w:val="0"/>
        <w:spacing w:lineRule="auto" w:line="300" w:before="0" w:after="240"/>
        <w:ind w:left="0" w:right="0" w:hanging="432"/>
        <w:jc w:val="left"/>
        <w:rPr/>
      </w:pPr>
      <w:r>
        <w:rPr>
          <w:rFonts w:ascii="Arial;sans-serif" w:hAnsi="Arial;sans-serif"/>
          <w:b w:val="false"/>
          <w:color w:val="000000"/>
          <w:sz w:val="20"/>
        </w:rPr>
        <w:t>(c)    </w:t>
      </w:r>
      <w:r>
        <w:rPr>
          <w:rFonts w:ascii="Arial;sans-serif" w:hAnsi="Arial;sans-serif"/>
          <w:b/>
          <w:color w:val="000000"/>
          <w:sz w:val="20"/>
          <w:u w:val="single"/>
        </w:rPr>
        <w:t>Service as Director</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For purposes of this Agreement, an employee of the Company or a Subsidiary, if also serving as a director, will not be deemed to have experienced a Termination Event for purposes of this Agreement until his or her service as a director ends, and his or her years of service will be deemed to include years of service as a director. </w:t>
      </w:r>
    </w:p>
    <w:p>
      <w:pPr>
        <w:pStyle w:val="TextBody"/>
        <w:bidi w:val="0"/>
        <w:spacing w:lineRule="auto" w:line="300" w:before="0" w:after="240"/>
        <w:ind w:left="0" w:right="0" w:hanging="432"/>
        <w:jc w:val="left"/>
        <w:rPr/>
      </w:pPr>
      <w:r>
        <w:rPr>
          <w:rFonts w:ascii="Arial;sans-serif" w:hAnsi="Arial;sans-serif"/>
          <w:b w:val="false"/>
          <w:color w:val="000000"/>
          <w:sz w:val="20"/>
        </w:rPr>
        <w:t>(d)    </w:t>
      </w:r>
      <w:r>
        <w:rPr>
          <w:rFonts w:ascii="Arial;sans-serif" w:hAnsi="Arial;sans-serif"/>
          <w:b/>
          <w:color w:val="000000"/>
          <w:sz w:val="20"/>
          <w:u w:val="single"/>
        </w:rPr>
        <w:t>No Further Obligation</w:t>
      </w:r>
      <w:r>
        <w:rPr>
          <w:rFonts w:ascii="Arial;sans-serif" w:hAnsi="Arial;sans-serif"/>
          <w:b/>
          <w:color w:val="000000"/>
          <w:sz w:val="20"/>
        </w:rPr>
        <w:t xml:space="preserve">. </w:t>
      </w:r>
      <w:r>
        <w:rPr>
          <w:rFonts w:ascii="Arial;sans-serif" w:hAnsi="Arial;sans-serif"/>
          <w:b w:val="false"/>
          <w:color w:val="000000"/>
          <w:sz w:val="20"/>
        </w:rPr>
        <w:t xml:space="preserve">The Company will have no further obligations to you under this Agreement if the Award terminates as provided herein. </w:t>
      </w:r>
    </w:p>
    <w:p>
      <w:pPr>
        <w:pStyle w:val="TextBody"/>
        <w:bidi w:val="0"/>
        <w:spacing w:lineRule="auto" w:line="300" w:before="0" w:after="240"/>
        <w:ind w:left="0" w:right="0" w:hanging="432"/>
        <w:jc w:val="left"/>
        <w:rPr/>
      </w:pPr>
      <w:r>
        <w:rPr>
          <w:rFonts w:ascii="Arial;sans-serif" w:hAnsi="Arial;sans-serif"/>
          <w:b w:val="false"/>
          <w:color w:val="000000"/>
          <w:sz w:val="20"/>
        </w:rPr>
        <w:t>(e)</w:t>
      </w:r>
      <w:r>
        <w:rPr>
          <w:rFonts w:ascii="Arial;sans-serif" w:hAnsi="Arial;sans-serif"/>
          <w:b/>
          <w:color w:val="000000"/>
          <w:sz w:val="20"/>
          <w:u w:val="single"/>
        </w:rPr>
        <w:t>Separation Agreement</w:t>
      </w:r>
      <w:r>
        <w:rPr>
          <w:rFonts w:ascii="Arial;sans-serif" w:hAnsi="Arial;sans-serif"/>
          <w:b/>
          <w:color w:val="000000"/>
          <w:sz w:val="20"/>
        </w:rPr>
        <w:t xml:space="preserve">. </w:t>
      </w:r>
      <w:r>
        <w:rPr>
          <w:rFonts w:ascii="Arial;sans-serif" w:hAnsi="Arial;sans-serif"/>
          <w:b w:val="false"/>
          <w:color w:val="000000"/>
          <w:sz w:val="20"/>
        </w:rPr>
        <w:t>The provisions of this Section 9 are subject to (and may be amended by) the terms of a written separation agreement entered into between you and the Company or any of its Subsidiaries.</w:t>
      </w:r>
    </w:p>
    <w:p>
      <w:pPr>
        <w:pStyle w:val="TextBody"/>
        <w:bidi w:val="0"/>
        <w:spacing w:lineRule="auto" w:line="300" w:before="0" w:after="240"/>
        <w:ind w:left="0" w:right="0" w:hanging="432"/>
        <w:jc w:val="left"/>
        <w:rPr/>
      </w:pPr>
      <w:r>
        <w:rPr>
          <w:rFonts w:ascii="Arial;sans-serif" w:hAnsi="Arial;sans-serif"/>
          <w:b w:val="false"/>
          <w:color w:val="000000"/>
          <w:sz w:val="20"/>
        </w:rPr>
        <w:t>10.    </w:t>
      </w:r>
      <w:r>
        <w:rPr>
          <w:rFonts w:ascii="Arial;sans-serif" w:hAnsi="Arial;sans-serif"/>
          <w:b/>
          <w:color w:val="000000"/>
          <w:sz w:val="20"/>
          <w:u w:val="single"/>
        </w:rPr>
        <w:t>Deferral of Restricted Stock Units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you are eligible to, and properly elect to, defer delivery of all or part of the Shares otherwise issuable under this Award, such deferral will be governed by the Restricted Stock Unit Deferral Election Form executed by you separately from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11.    </w:t>
      </w:r>
      <w:r>
        <w:rPr>
          <w:rFonts w:ascii="Arial;sans-serif" w:hAnsi="Arial;sans-serif"/>
          <w:b/>
          <w:color w:val="000000"/>
          <w:sz w:val="20"/>
          <w:u w:val="single"/>
        </w:rPr>
        <w:t>Issuance of Shares</w:t>
      </w:r>
      <w:r>
        <w:rPr>
          <w:rFonts w:ascii="Arial;sans-serif" w:hAnsi="Arial;sans-serif"/>
          <w:b/>
          <w:color w:val="000000"/>
          <w:sz w:val="20"/>
        </w:rPr>
        <w:t xml:space="preserve">. </w:t>
      </w:r>
      <w:r>
        <w:rPr>
          <w:rFonts w:ascii="Arial;sans-serif" w:hAnsi="Arial;sans-serif"/>
          <w:b w:val="false"/>
          <w:color w:val="000000"/>
          <w:sz w:val="20"/>
        </w:rPr>
        <w:t xml:space="preserve">The Company, or its transfer agent, will issue and deliver the Shares to you as soon as practicable after the Award vests (pursuant to the terms hereof) with respect to such Shares, or, if a deferral election was made, at the time specified in the Deferral Election Form.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79"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(“SEC”) or any stock exchange upon which the Shares are listed. The Company may cause an appropriate book entry notation to be made with respect to the Shares to reference any of the foregoing restrictions.</w:t>
      </w:r>
    </w:p>
    <w:p>
      <w:pPr>
        <w:pStyle w:val="TextBody"/>
        <w:bidi w:val="0"/>
        <w:spacing w:lineRule="auto" w:line="300" w:before="0" w:after="240"/>
        <w:ind w:left="0" w:right="0" w:hanging="432"/>
        <w:jc w:val="left"/>
        <w:rPr/>
      </w:pPr>
      <w:r>
        <w:rPr>
          <w:rFonts w:ascii="Arial;sans-serif" w:hAnsi="Arial;sans-serif"/>
          <w:b w:val="false"/>
          <w:color w:val="000000"/>
          <w:sz w:val="20"/>
        </w:rPr>
        <w:t>12.    </w:t>
      </w:r>
      <w:r>
        <w:rPr>
          <w:rFonts w:ascii="Arial;sans-serif" w:hAnsi="Arial;sans-serif"/>
          <w:b/>
          <w:color w:val="000000"/>
          <w:sz w:val="20"/>
          <w:u w:val="single"/>
        </w:rPr>
        <w:t>Non-Transferability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300" w:before="0" w:after="240"/>
        <w:ind w:left="0" w:right="0" w:hanging="432"/>
        <w:jc w:val="left"/>
        <w:rPr/>
      </w:pPr>
      <w:r>
        <w:rPr>
          <w:rFonts w:ascii="Arial;sans-serif" w:hAnsi="Arial;sans-serif"/>
          <w:b w:val="false"/>
          <w:color w:val="000000"/>
          <w:sz w:val="20"/>
        </w:rPr>
        <w:t>13.    </w:t>
      </w:r>
      <w:r>
        <w:rPr>
          <w:rFonts w:ascii="Arial;sans-serif" w:hAnsi="Arial;sans-serif"/>
          <w:b/>
          <w:color w:val="000000"/>
          <w:sz w:val="20"/>
          <w:u w:val="single"/>
        </w:rPr>
        <w:t>Conditions to 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or the payment event specified in a deferral election as the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 </w:t>
      </w:r>
    </w:p>
    <w:p>
      <w:pPr>
        <w:pStyle w:val="TextBody"/>
        <w:bidi w:val="0"/>
        <w:spacing w:lineRule="auto" w:line="300" w:before="0" w:after="240"/>
        <w:ind w:left="0" w:right="0" w:hanging="432"/>
        <w:jc w:val="left"/>
        <w:rPr/>
      </w:pPr>
      <w:r>
        <w:rPr>
          <w:rFonts w:ascii="Arial;sans-serif" w:hAnsi="Arial;sans-serif"/>
          <w:b w:val="false"/>
          <w:color w:val="000000"/>
          <w:sz w:val="20"/>
        </w:rPr>
        <w:t>14.    </w:t>
      </w:r>
      <w:r>
        <w:rPr>
          <w:rFonts w:ascii="Arial;sans-serif" w:hAnsi="Arial;sans-serif"/>
          <w:b/>
          <w:color w:val="000000"/>
          <w:sz w:val="20"/>
          <w:u w:val="single"/>
        </w:rPr>
        <w:t>Dividends; No Rights as Shareholder</w:t>
      </w:r>
      <w:r>
        <w:rPr>
          <w:rFonts w:ascii="Arial;sans-serif" w:hAnsi="Arial;sans-serif"/>
          <w:b/>
          <w:color w:val="000000"/>
          <w:sz w:val="20"/>
        </w:rPr>
        <w:t xml:space="preserve">. </w:t>
      </w:r>
      <w:r>
        <w:rPr>
          <w:rFonts w:ascii="Arial;sans-serif" w:hAnsi="Arial;sans-serif"/>
          <w:b w:val="false"/>
          <w:color w:val="000000"/>
          <w:sz w:val="20"/>
        </w:rPr>
        <w:t>If the Company declares a cash dividend and the dividend record date occurs after the Grant Date and prior to the 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or any other distributions paid with respect to shares of Company common stock by virtue of this Award or the Shares subject hereto.</w:t>
      </w:r>
    </w:p>
    <w:p>
      <w:pPr>
        <w:pStyle w:val="TextBody"/>
        <w:bidi w:val="0"/>
        <w:spacing w:lineRule="auto" w:line="300" w:before="0" w:after="240"/>
        <w:ind w:left="0" w:right="0" w:hanging="432"/>
        <w:jc w:val="left"/>
        <w:rPr/>
      </w:pPr>
      <w:r>
        <w:rPr>
          <w:rFonts w:ascii="Arial;sans-serif" w:hAnsi="Arial;sans-serif"/>
          <w:b w:val="false"/>
          <w:color w:val="000000"/>
          <w:sz w:val="20"/>
        </w:rPr>
        <w:t>15.    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Unless otherwise set forth herein, 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pStyle w:val="TextBody"/>
        <w:bidi w:val="0"/>
        <w:spacing w:lineRule="auto" w:line="300" w:before="0" w:after="240"/>
        <w:ind w:left="0" w:right="0" w:hanging="432"/>
        <w:jc w:val="left"/>
        <w:rPr/>
      </w:pPr>
      <w:r>
        <w:rPr>
          <w:rFonts w:ascii="Arial;sans-serif" w:hAnsi="Arial;sans-serif"/>
          <w:b w:val="false"/>
          <w:color w:val="000000"/>
          <w:sz w:val="20"/>
        </w:rPr>
        <w:t>16.    </w:t>
      </w:r>
      <w:r>
        <w:rPr>
          <w:rFonts w:ascii="Arial;sans-serif" w:hAnsi="Arial;sans-serif"/>
          <w:b/>
          <w:color w:val="000000"/>
          <w:sz w:val="20"/>
          <w:u w:val="single"/>
        </w:rPr>
        <w:t>Captions; Agreement Severable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Captions provided herein are for convenience only and are not to serve as a basis for interpretation or construction of this Agreement. In the event that any provision in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80"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this Agreement shall be held invalid or unenforceable, such provision shall be severable from, and such invalidity or unenforceability shall not be construed to have any effect on, the remaining provisions of this Agreement.</w:t>
      </w:r>
    </w:p>
    <w:p>
      <w:pPr>
        <w:pStyle w:val="TextBody"/>
        <w:bidi w:val="0"/>
        <w:spacing w:lineRule="auto" w:line="300" w:before="0" w:after="240"/>
        <w:ind w:left="0" w:right="0" w:hanging="432"/>
        <w:jc w:val="left"/>
        <w:rPr/>
      </w:pPr>
      <w:r>
        <w:rPr>
          <w:rFonts w:ascii="Arial;sans-serif" w:hAnsi="Arial;sans-serif"/>
          <w:b w:val="false"/>
          <w:color w:val="000000"/>
          <w:sz w:val="20"/>
        </w:rPr>
        <w:t>17.    </w:t>
      </w:r>
      <w:r>
        <w:rPr>
          <w:rFonts w:ascii="Arial;sans-serif" w:hAnsi="Arial;sans-serif"/>
          <w:b/>
          <w:color w:val="000000"/>
          <w:sz w:val="20"/>
          <w:u w:val="single"/>
        </w:rPr>
        <w:t>Securities and Tax Representations</w:t>
      </w:r>
      <w:r>
        <w:rPr>
          <w:rFonts w:ascii="Arial;sans-serif" w:hAnsi="Arial;sans-serif"/>
          <w:b/>
          <w:color w:val="000000"/>
          <w:sz w:val="20"/>
        </w:rPr>
        <w:t>.</w:t>
      </w:r>
      <w:r>
        <w:rPr>
          <w:color w:val="00000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(a)You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You represent and warrant that you understand the federal, state and local income and employment tax consequences associated with this Award, including the sale or other disposition of any Shares acquired hereunder. You understand and agree that when you realize gross income (if any) taxable as compensation in respect of this Award, the Company will be required to withhold federal, state and local taxes on the full amount of the compensation income realized by you and may also be required to withhold other amounts. You also understand and agree that the Company may be required to withhold certain payroll taxes in connection with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You will be solely responsible for any tax liability associated with this Award and any Shares issued hereunder to the extent not satisfied through tax withholding. All matters with respect to the total amount to be withheld shall be determined by the Company in its sole discretion.</w:t>
      </w:r>
    </w:p>
    <w:p>
      <w:pPr>
        <w:pStyle w:val="TextBody"/>
        <w:bidi w:val="0"/>
        <w:spacing w:lineRule="auto" w:line="300" w:before="0" w:after="240"/>
        <w:ind w:left="0" w:right="0" w:hanging="432"/>
        <w:jc w:val="left"/>
        <w:rPr/>
      </w:pPr>
      <w:r>
        <w:rPr>
          <w:rFonts w:ascii="Arial;sans-serif" w:hAnsi="Arial;sans-serif"/>
          <w:b w:val="false"/>
          <w:color w:val="000000"/>
          <w:sz w:val="20"/>
        </w:rPr>
        <w:t>18.    </w:t>
      </w:r>
      <w:r>
        <w:rPr>
          <w:rFonts w:ascii="Arial;sans-serif" w:hAnsi="Arial;sans-serif"/>
          <w:b/>
          <w:color w:val="000000"/>
          <w:sz w:val="20"/>
          <w:u w:val="single"/>
        </w:rPr>
        <w:t>Market Stand-Off</w:t>
      </w:r>
      <w:r>
        <w:rPr>
          <w:rFonts w:ascii="Arial;sans-serif" w:hAnsi="Arial;sans-serif"/>
          <w:b/>
          <w:color w:val="000000"/>
          <w:sz w:val="20"/>
        </w:rPr>
        <w:t xml:space="preserve">. </w:t>
      </w:r>
      <w:r>
        <w:rPr>
          <w:rFonts w:ascii="Arial;sans-serif" w:hAnsi="Arial;sans-serif"/>
          <w:b w:val="false"/>
          <w:color w:val="000000"/>
          <w:sz w:val="20"/>
        </w:rPr>
        <w:t>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pStyle w:val="TextBody"/>
        <w:bidi w:val="0"/>
        <w:spacing w:lineRule="auto" w:line="300" w:before="0" w:after="240"/>
        <w:ind w:left="0" w:right="0" w:hanging="432"/>
        <w:jc w:val="left"/>
        <w:rPr/>
      </w:pPr>
      <w:r>
        <w:rPr>
          <w:rFonts w:ascii="Arial;sans-serif" w:hAnsi="Arial;sans-serif"/>
          <w:b w:val="false"/>
          <w:color w:val="000000"/>
          <w:sz w:val="20"/>
        </w:rPr>
        <w:t>19.    </w:t>
      </w:r>
      <w:r>
        <w:rPr>
          <w:rFonts w:ascii="Arial;sans-serif" w:hAnsi="Arial;sans-serif"/>
          <w:b/>
          <w:color w:val="000000"/>
          <w:sz w:val="20"/>
          <w:u w:val="single"/>
        </w:rPr>
        <w:t>General Provisions</w:t>
      </w:r>
      <w:r>
        <w:rPr>
          <w:rFonts w:ascii="Arial;sans-serif" w:hAnsi="Arial;sans-serif"/>
          <w:b/>
          <w:color w:val="000000"/>
          <w:sz w:val="20"/>
        </w:rPr>
        <w:t xml:space="preserv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None of the Plan, this Agreement or the Award Memorandum confers upon you any right to continue to be employed by the Company or any Subsidiary or limits in any respect any right of the Company or any Subsidiary to terminate your employment at any time, without liability.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81" name="Frame1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This Agreement, the Award Memorandum and the Addendum may only be modified, amended or cancelled as provided in the Plan.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If any one or more provisions of this Agreement, the Award Memorandum or the Addendum is found to be invalid, illegal or unenforceable in any respect, then the provision will be modified to the minimum extent required to make such provision valid, legal and enforceable, and if such modification is not permitted by applicable law, then the validity, legality and enforceability of the remaining provisions hereof shall not in any way be affected or impaired thereby.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Any remedies available to the Company under the Plan or this Agreement are cumulative and are in addition to, and are not affected by, the other rights and remedies available to the Company by law or otherwise.</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(f)    This Agreement and the Award Memorandum shall be governed by and construed in accordance with the laws of the State of Wisconsin, without regard to its conflict of law provisions, except that Sections 5 through 7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(g)    The Company agrees, and you agree, to be subject to and bound by all of the terms and conditions of the Plan.</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(h)    This Agreement, the Award Memorandum and the Addendum shall be binding upon and inure to the benefit of any successor or assign of the Company and to any heir, distributee, executor, administrator or legal representative entitled by law to your rights hereunder.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(i)You understand that, under the terms of the Plan, this Agreement and the Award Memorandum, the Company may cancel or rescind this Award and/or the Shares in certain circumstances. </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(j)In consideration of, among other things, your continued employment with the Company or a Subsidiary, you acknowledge and agree that you are and will continue to be subject to the Fiserv, Inc. Compensation Recoupment Policy (as amended from time to time, the “Policy”) and that the Policy will apply both during and after the termination of your employment with the Company or any Subsidiary. You can access this Policy as currently in effect by visiting https://investors.fiserv.com/corporate-governance/governance-documents. Further, by accepting this Award,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you are a party or participant or to which you are subject.</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By selecting the “Accept your award” box on the website of our administrative agent, you acknowledge your acceptance of, and agreement to be bound by, this Agreement, the Award Memorandum, the Plan, and the Policy.</w:t>
      </w:r>
    </w:p>
    <w:p>
      <w:pPr>
        <w:pStyle w:val="TextBody"/>
        <w:bidi w:val="0"/>
        <w:spacing w:lineRule="auto" w:line="300" w:before="0" w:after="240"/>
        <w:jc w:val="left"/>
        <w:rPr>
          <w:rFonts w:ascii="Arial;sans-serif" w:hAnsi="Arial;sans-serif"/>
          <w:b/>
          <w:color w:val="000000"/>
          <w:sz w:val="20"/>
        </w:rPr>
      </w:pPr>
      <w:r>
        <w:rPr>
          <w:rFonts w:ascii="Arial;sans-serif" w:hAnsi="Arial;sans-serif"/>
          <w:b/>
          <w:color w:val="000000"/>
          <w:sz w:val="20"/>
        </w:rPr>
        <w:t>Your acceptance of the terms of this Agreement, the Award Memorandum, the Plan, the Addendum, and the Policy through our administrative agent’s website within 120 calendar days of your Award Grant Date is a condition to your receipt of this Award. If you do not accept the terms and conditions of this Agreement, the Award Memorandum, the Plan, the Addendum, and the Policy within such time, this Award will be forfeited and immediately terminate.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10.18</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82" name="Frame1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57" w:after="283"/>
        <w:jc w:val="center"/>
        <w:rPr>
          <w:rFonts w:ascii="Arial;sans-serif" w:hAnsi="Arial;sans-serif"/>
          <w:b/>
          <w:color w:val="000000"/>
          <w:sz w:val="22"/>
        </w:rPr>
      </w:pPr>
      <w:r>
        <w:rPr>
          <w:rFonts w:ascii="Arial;sans-serif" w:hAnsi="Arial;sans-serif"/>
          <w:b/>
          <w:color w:val="000000"/>
          <w:sz w:val="22"/>
        </w:rPr>
        <w:t xml:space="preserve">FISERV, INC. 2007 OMNIBUS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PERFORMANCE SHARE UNIT AWARD MEMORANDUM – </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SENIOR OFFICER (SO RET) </w:t>
      </w:r>
    </w:p>
    <w:tbl>
      <w:tblPr>
        <w:tblW w:w="7286" w:type="dxa"/>
        <w:jc w:val="left"/>
        <w:tblInd w:w="0" w:type="dxa"/>
        <w:tblLayout w:type="fixed"/>
        <w:tblCellMar>
          <w:top w:w="28" w:type="dxa"/>
          <w:left w:w="28" w:type="dxa"/>
          <w:bottom w:w="28" w:type="dxa"/>
          <w:right w:w="28" w:type="dxa"/>
        </w:tblCellMar>
      </w:tblPr>
      <w:tblGrid>
        <w:gridCol w:w="1099"/>
        <w:gridCol w:w="963"/>
        <w:gridCol w:w="968"/>
        <w:gridCol w:w="109"/>
        <w:gridCol w:w="109"/>
        <w:gridCol w:w="109"/>
        <w:gridCol w:w="1147"/>
        <w:gridCol w:w="1147"/>
        <w:gridCol w:w="1635"/>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[FIRST NAME] [LAST NAME]</w:t>
            </w:r>
          </w:p>
        </w:tc>
      </w:tr>
      <w:tr>
        <w:trPr/>
        <w:tc>
          <w:tcPr>
            <w:tcW w:w="3030"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42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Arial;sans-serif" w:hAnsi="Arial;sans-serif"/>
                <w:b/>
                <w:color w:val="000000"/>
                <w:sz w:val="22"/>
              </w:rPr>
            </w:pPr>
            <w:r>
              <w:rPr>
                <w:rFonts w:ascii="Arial;sans-serif" w:hAnsi="Arial;sans-serif"/>
                <w:b/>
                <w:color w:val="000000"/>
                <w:sz w:val="22"/>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[GRANT DATE]</w:t>
            </w:r>
          </w:p>
        </w:tc>
      </w:tr>
      <w:tr>
        <w:trPr/>
        <w:tc>
          <w:tcPr>
            <w:tcW w:w="3030"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42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22"/>
              </w:rPr>
            </w:pPr>
            <w:r>
              <w:rPr>
                <w:rFonts w:ascii="Arial;sans-serif" w:hAnsi="Arial;sans-serif"/>
                <w:b/>
                <w:color w:val="000000"/>
                <w:sz w:val="22"/>
              </w:rPr>
              <w:t>Target Shares: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[NUMBER OF SHARES AT TARGET]</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360"/>
              <w:jc w:val="left"/>
              <w:rPr>
                <w:rFonts w:ascii="Arial;sans-serif" w:hAnsi="Arial;sans-serif"/>
                <w:b/>
                <w:color w:val="000000"/>
                <w:sz w:val="22"/>
              </w:rPr>
            </w:pPr>
            <w:r>
              <w:rPr>
                <w:rFonts w:ascii="Arial;sans-serif" w:hAnsi="Arial;sans-serif"/>
                <w:b/>
                <w:color w:val="000000"/>
                <w:sz w:val="22"/>
              </w:rPr>
              <w:t>3-Year Performance Period:</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Arial;sans-serif" w:hAnsi="Arial;sans-serif"/>
                <w:b w:val="false"/>
                <w:i/>
                <w:color w:val="000000"/>
                <w:sz w:val="22"/>
              </w:rPr>
            </w:pPr>
            <w:r>
              <w:rPr>
                <w:rFonts w:ascii="Arial;sans-serif" w:hAnsi="Arial;sans-serif"/>
                <w:b w:val="false"/>
                <w:i/>
                <w:color w:val="000000"/>
                <w:sz w:val="22"/>
              </w:rPr>
              <w:t>2026-2028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40"/>
        <w:jc w:val="left"/>
        <w:rPr>
          <w:rFonts w:ascii="Arial;sans-serif" w:hAnsi="Arial;sans-serif"/>
          <w:b/>
          <w:color w:val="000000"/>
          <w:sz w:val="22"/>
        </w:rPr>
      </w:pPr>
      <w:r>
        <w:rPr>
          <w:rFonts w:ascii="Arial;sans-serif" w:hAnsi="Arial;sans-serif"/>
          <w:b/>
          <w:color w:val="000000"/>
          <w:sz w:val="22"/>
        </w:rPr>
        <w:t>Performance Formula:</w:t>
      </w:r>
    </w:p>
    <w:p>
      <w:pPr>
        <w:pStyle w:val="TextBody"/>
        <w:bidi w:val="0"/>
        <w:spacing w:lineRule="auto" w:line="300" w:before="0" w:after="240"/>
        <w:jc w:val="center"/>
        <w:rPr>
          <w:rFonts w:ascii="Arial;sans-serif" w:hAnsi="Arial;sans-serif"/>
          <w:b w:val="false"/>
          <w:i/>
          <w:color w:val="000000"/>
          <w:sz w:val="22"/>
        </w:rPr>
      </w:pPr>
      <w:r>
        <w:rPr>
          <w:rFonts w:ascii="Arial;sans-serif" w:hAnsi="Arial;sans-serif"/>
          <w:b w:val="false"/>
          <w:i/>
          <w:color w:val="000000"/>
          <w:sz w:val="22"/>
        </w:rPr>
        <w:t>[PERFORMANCE FORMULA]</w:t>
      </w:r>
    </w:p>
    <w:p>
      <w:pPr>
        <w:pStyle w:val="TextBody"/>
        <w:bidi w:val="0"/>
        <w:spacing w:lineRule="auto" w:line="300" w:before="0" w:after="240"/>
        <w:jc w:val="left"/>
        <w:rPr>
          <w:rFonts w:ascii="Arial;sans-serif" w:hAnsi="Arial;sans-serif"/>
          <w:b/>
          <w:color w:val="000000"/>
          <w:sz w:val="22"/>
        </w:rPr>
      </w:pPr>
      <w:r>
        <w:rPr>
          <w:rFonts w:ascii="Arial;sans-serif" w:hAnsi="Arial;sans-serif"/>
          <w:b/>
          <w:color w:val="000000"/>
          <w:sz w:val="22"/>
        </w:rPr>
        <w:t>Performance Goals:</w:t>
      </w:r>
    </w:p>
    <w:p>
      <w:pPr>
        <w:pStyle w:val="TextBody"/>
        <w:bidi w:val="0"/>
        <w:spacing w:lineRule="auto" w:line="300" w:before="0" w:after="240"/>
        <w:jc w:val="center"/>
        <w:rPr>
          <w:rFonts w:ascii="Arial;sans-serif" w:hAnsi="Arial;sans-serif"/>
          <w:b w:val="false"/>
          <w:i/>
          <w:color w:val="000000"/>
          <w:sz w:val="22"/>
        </w:rPr>
      </w:pPr>
      <w:r>
        <w:rPr>
          <w:rFonts w:ascii="Arial;sans-serif" w:hAnsi="Arial;sans-serif"/>
          <w:b w:val="false"/>
          <w:i/>
          <w:color w:val="000000"/>
          <w:sz w:val="22"/>
        </w:rPr>
        <w:t>[PERFORMANCE GOALS]</w:t>
      </w:r>
    </w:p>
    <w:p>
      <w:pPr>
        <w:pStyle w:val="TextBody"/>
        <w:bidi w:val="0"/>
        <w:spacing w:before="0" w:after="240"/>
        <w:jc w:val="center"/>
        <w:rPr/>
      </w:pPr>
      <w:r>
        <w:rPr/>
      </w:r>
    </w:p>
    <w:p>
      <w:pPr>
        <w:pStyle w:val="TextBody"/>
        <w:bidi w:val="0"/>
        <w:spacing w:lineRule="auto" w:line="288" w:before="157" w:after="283"/>
        <w:jc w:val="left"/>
        <w:rPr>
          <w:rFonts w:ascii="Arial;sans-serif" w:hAnsi="Arial;sans-serif"/>
          <w:b/>
          <w:color w:val="000000"/>
          <w:sz w:val="22"/>
        </w:rPr>
      </w:pPr>
      <w:r>
        <w:rPr>
          <w:rFonts w:ascii="Arial;sans-serif" w:hAnsi="Arial;sans-serif"/>
          <w:b/>
          <w:color w:val="000000"/>
          <w:sz w:val="22"/>
        </w:rPr>
        <w:t xml:space="preserve">Additional terms and conditions of your Award are included in the Performance Share Unit Agreement. As a condition to your receipt of Shares that may be issuable under this Award, you must accept the terms and conditions of this Award through our administrative agent’s website within 120 calendar days of your Award Grant Date. If you do not accept the terms and conditions of this Award within such time, this Award will be forfeited and immediately terminate. </w:t>
      </w:r>
    </w:p>
    <w:p>
      <w:pPr>
        <w:pStyle w:val="TextBody"/>
        <w:bidi w:val="0"/>
        <w:spacing w:lineRule="auto" w:line="288" w:before="157" w:after="283"/>
        <w:jc w:val="left"/>
        <w:rPr/>
      </w:pPr>
      <w:r>
        <w:rPr>
          <w:rFonts w:ascii="Arial;sans-serif" w:hAnsi="Arial;sans-serif"/>
          <w:b/>
          <w:color w:val="000000"/>
          <w:sz w:val="22"/>
          <w:u w:val="single"/>
        </w:rPr>
        <w:t>Note</w:t>
      </w:r>
      <w:r>
        <w:rPr>
          <w:rFonts w:ascii="Arial;sans-serif" w:hAnsi="Arial;sans-serif"/>
          <w:b/>
          <w:color w:val="000000"/>
          <w:sz w:val="22"/>
        </w:rPr>
        <w:t>: Sections 5 through 7, 9(b)(ii)(B), and 9(b)(iv)</w:t>
      </w:r>
      <w:r>
        <w:rPr>
          <w:color w:val="000000"/>
        </w:rPr>
        <w:t xml:space="preserve"> </w:t>
      </w:r>
      <w:r>
        <w:rPr>
          <w:rFonts w:ascii="Arial;sans-serif" w:hAnsi="Arial;sans-serif"/>
          <w:b/>
          <w:color w:val="000000"/>
          <w:sz w:val="22"/>
        </w:rPr>
        <w:t xml:space="preserve">of the Performance Share Unit Agreement contain provisions that restrict your activities. These provisions apply to you and, by accepting this Award, you agree to be bound by these restrictions.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Arial;sans-serif" w:hAnsi="Arial;sans-serif"/>
          <w:b/>
          <w:color w:val="000000"/>
          <w:sz w:val="20"/>
          <w:u w:val="single"/>
        </w:rPr>
      </w:pPr>
      <w:r>
        <w:rPr>
          <w:rFonts w:ascii="Arial;sans-serif" w:hAnsi="Arial;sans-serif"/>
          <w:b/>
          <w:color w:val="000000"/>
          <w:sz w:val="20"/>
          <w:u w:val="single"/>
        </w:rPr>
        <w:t xml:space="preserve">PERFORMANCE SHARE UNIT AGREEMENT </w:t>
      </w:r>
    </w:p>
    <w:p>
      <w:pPr>
        <w:pStyle w:val="TextBody"/>
        <w:bidi w:val="0"/>
        <w:spacing w:lineRule="auto" w:line="288" w:before="200" w:after="283"/>
        <w:ind w:left="0" w:right="0" w:firstLine="360"/>
        <w:jc w:val="left"/>
        <w:rPr/>
      </w:pPr>
      <w:r>
        <w:rPr>
          <w:rFonts w:ascii="Arial;sans-serif" w:hAnsi="Arial;sans-serif"/>
          <w:b w:val="false"/>
          <w:color w:val="000000"/>
          <w:sz w:val="20"/>
        </w:rPr>
        <w:t>Pursuant to the Fiserv, Inc. 2007 Omnibus Incentive Plan (as amended from time to time,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Fiserv, Inc., a Wisconsin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granted you Performance Share Units (the “</w:t>
      </w:r>
      <w:r>
        <w:rPr>
          <w:rFonts w:ascii="Arial;sans-serif" w:hAnsi="Arial;sans-serif"/>
          <w:b w:val="false"/>
          <w:color w:val="000000"/>
          <w:sz w:val="20"/>
          <w:u w:val="single"/>
        </w:rPr>
        <w:t>Award</w:t>
      </w:r>
      <w:r>
        <w:rPr>
          <w:color w:val="000000"/>
        </w:rPr>
        <w:t>”</w:t>
      </w:r>
      <w:r>
        <w:rPr>
          <w:rFonts w:ascii="Arial;sans-serif" w:hAnsi="Arial;sans-serif"/>
          <w:b w:val="false"/>
          <w:color w:val="000000"/>
          <w:sz w:val="20"/>
        </w:rPr>
        <w:t>) entitling you to receive between 0-200% of the number of shares of Company common stock (the “</w:t>
      </w:r>
      <w:r>
        <w:rPr>
          <w:rFonts w:ascii="Arial;sans-serif" w:hAnsi="Arial;sans-serif"/>
          <w:b w:val="false"/>
          <w:color w:val="000000"/>
          <w:sz w:val="20"/>
          <w:u w:val="single"/>
        </w:rPr>
        <w:t>Shares</w:t>
      </w:r>
      <w:r>
        <w:rPr>
          <w:color w:val="000000"/>
        </w:rPr>
        <w:t>”</w:t>
      </w:r>
      <w:r>
        <w:rPr>
          <w:rFonts w:ascii="Arial;sans-serif" w:hAnsi="Arial;sans-serif"/>
          <w:b w:val="false"/>
          <w:color w:val="000000"/>
          <w:sz w:val="20"/>
        </w:rPr>
        <w:t>) as set forth as the “</w:t>
      </w:r>
      <w:r>
        <w:rPr>
          <w:rFonts w:ascii="Arial;sans-serif" w:hAnsi="Arial;sans-serif"/>
          <w:b w:val="false"/>
          <w:color w:val="000000"/>
          <w:sz w:val="20"/>
          <w:u w:val="single"/>
        </w:rPr>
        <w:t>Target Shares</w:t>
      </w:r>
      <w:r>
        <w:rPr>
          <w:color w:val="000000"/>
        </w:rPr>
        <w:t xml:space="preserve">” </w:t>
      </w:r>
      <w:r>
        <w:rPr>
          <w:rFonts w:ascii="Arial;sans-serif" w:hAnsi="Arial;sans-serif"/>
          <w:b w:val="false"/>
          <w:color w:val="000000"/>
          <w:sz w:val="20"/>
        </w:rPr>
        <w:t>in the Award Memorandum on the terms and conditions set forth in this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xml:space="preserve">), the Award Memorandum and the Plan. Capitalized terms used in this Agreement and not defined herein shall have the meanings set forth in the Plan. </w:t>
      </w:r>
    </w:p>
    <w:p>
      <w:pPr>
        <w:pStyle w:val="TextBody"/>
        <w:bidi w:val="0"/>
        <w:spacing w:lineRule="auto" w:line="288" w:before="200" w:after="283"/>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event of a conflict between the terms of this Agreement or the Award Memorandum and the terms of the Plan, the terms of the Plan shall govern. In the event of a conflict between the terms of this Agreement and the Award Memorandum, the terms of this Agreement shall govern.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1.    </w:t>
      </w:r>
      <w:r>
        <w:rPr>
          <w:rFonts w:ascii="Arial;sans-serif" w:hAnsi="Arial;sans-serif"/>
          <w:b/>
          <w:color w:val="000000"/>
          <w:sz w:val="20"/>
          <w:u w:val="single"/>
        </w:rPr>
        <w:t>Grant Date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Award is granted to you on the Grant Date set forth in the Award Memorandum.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Arial;sans-serif" w:hAnsi="Arial;sans-serif"/>
          <w:b w:val="false"/>
          <w:color w:val="000000"/>
          <w:sz w:val="20"/>
        </w:rPr>
        <w:t>2.    </w:t>
      </w:r>
      <w:r>
        <w:rPr>
          <w:rFonts w:ascii="Arial;sans-serif" w:hAnsi="Arial;sans-serif"/>
          <w:b/>
          <w:color w:val="000000"/>
          <w:sz w:val="20"/>
          <w:u w:val="single"/>
        </w:rPr>
        <w:t>Vesting</w:t>
      </w:r>
      <w:r>
        <w:rPr>
          <w:rFonts w:ascii="Arial;sans-serif" w:hAnsi="Arial;sans-serif"/>
          <w:b/>
          <w:color w:val="000000"/>
          <w:sz w:val="20"/>
        </w:rPr>
        <w:t xml:space="preserve">. </w:t>
      </w:r>
      <w:r>
        <w:rPr>
          <w:rFonts w:ascii="Arial;sans-serif" w:hAnsi="Arial;sans-serif"/>
          <w:b w:val="false"/>
          <w:color w:val="000000"/>
          <w:sz w:val="20"/>
        </w:rPr>
        <w:t>This Award will vest (if at all) as specified in the Award Memorandum on the date the Committee certifies the level of achievement of the Performance Goal(s) (the “</w:t>
      </w:r>
      <w:r>
        <w:rPr>
          <w:rFonts w:ascii="Arial;sans-serif" w:hAnsi="Arial;sans-serif"/>
          <w:b w:val="false"/>
          <w:color w:val="000000"/>
          <w:sz w:val="20"/>
          <w:u w:val="single"/>
        </w:rPr>
        <w:t>Vesting</w:t>
      </w:r>
      <w:r>
        <w:rPr>
          <w:color w:val="000000"/>
        </w:rPr>
        <w:t xml:space="preserve"> </w:t>
      </w:r>
      <w:r>
        <w:rPr>
          <w:rFonts w:ascii="Arial;sans-serif" w:hAnsi="Arial;sans-serif"/>
          <w:b w:val="false"/>
          <w:color w:val="000000"/>
          <w:sz w:val="20"/>
          <w:u w:val="single"/>
        </w:rPr>
        <w:t>Date</w:t>
      </w:r>
      <w:r>
        <w:rPr>
          <w:color w:val="000000"/>
        </w:rPr>
        <w:t>”</w:t>
      </w:r>
      <w:r>
        <w:rPr>
          <w:rFonts w:ascii="Arial;sans-serif" w:hAnsi="Arial;sans-serif"/>
          <w:b w:val="false"/>
          <w:color w:val="000000"/>
          <w:sz w:val="20"/>
        </w:rPr>
        <w:t>), which will occur in the year following the end of the 3-Year Performance Period, provided you remain in employment through the Vesting Date. This Award also may continue to vest following your Retirement (as defined below), death or Disability as described in Section 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Arial;sans-serif" w:hAnsi="Arial;sans-serif"/>
          <w:b w:val="false"/>
          <w:color w:val="000000"/>
          <w:sz w:val="20"/>
        </w:rPr>
        <w:t>3.    </w:t>
      </w:r>
      <w:r>
        <w:rPr>
          <w:rFonts w:ascii="Arial;sans-serif" w:hAnsi="Arial;sans-serif"/>
          <w:b/>
          <w:color w:val="000000"/>
          <w:sz w:val="20"/>
          <w:u w:val="single"/>
        </w:rPr>
        <w:t>Termination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Your Award shall terminate in all events on the earliest of (a) the date upon which vesting is no longer permitted pursuant to Section 9, (b) the date the Shares earned hereunder have been issued to you, or (c) your failure to accept the terms of this Agreement, the Award Memorandum and the Plan within the time period and in the manner specified in this Agreement. Notwithstanding the foregoing, if this Award is terminated pursuant to subsection (a) or (b) of this Section 3, then the provisions of Sections 4 through 8 shall survive such termination.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4.    </w:t>
      </w:r>
      <w:r>
        <w:rPr>
          <w:rFonts w:ascii="Arial;sans-serif" w:hAnsi="Arial;sans-serif"/>
          <w:b/>
          <w:color w:val="000000"/>
          <w:sz w:val="20"/>
          <w:u w:val="single"/>
        </w:rPr>
        <w:t>Definitions Related to Confidential Information, Non-Competition and Related Covenants.</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(a)    “</w:t>
      </w:r>
      <w:r>
        <w:rPr>
          <w:rFonts w:ascii="Arial;sans-serif" w:hAnsi="Arial;sans-serif"/>
          <w:b w:val="false"/>
          <w:color w:val="000000"/>
          <w:sz w:val="20"/>
          <w:u w:val="single"/>
        </w:rPr>
        <w:t>Fiserv</w:t>
      </w:r>
      <w:r>
        <w:rPr>
          <w:color w:val="000000"/>
        </w:rPr>
        <w:t xml:space="preserve">” </w:t>
      </w:r>
      <w:r>
        <w:rPr>
          <w:rFonts w:ascii="Arial;sans-serif" w:hAnsi="Arial;sans-serif"/>
          <w:b w:val="false"/>
          <w:color w:val="000000"/>
          <w:sz w:val="20"/>
        </w:rPr>
        <w:t xml:space="preserve">means the Company, its direct and indirect Subsidiaries, affiliated entities, successors, and assigns.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(b)    “</w:t>
      </w:r>
      <w:r>
        <w:rPr>
          <w:rFonts w:ascii="Arial;sans-serif" w:hAnsi="Arial;sans-serif"/>
          <w:b w:val="false"/>
          <w:color w:val="000000"/>
          <w:sz w:val="20"/>
          <w:u w:val="single"/>
        </w:rPr>
        <w:t>Confidential Information</w:t>
      </w:r>
      <w:r>
        <w:rPr>
          <w:color w:val="000000"/>
        </w:rPr>
        <w:t xml:space="preserve">” </w:t>
      </w:r>
      <w:r>
        <w:rPr>
          <w:rFonts w:ascii="Arial;sans-serif" w:hAnsi="Arial;sans-serif"/>
          <w:b w:val="false"/>
          <w:color w:val="000000"/>
          <w:sz w:val="20"/>
        </w:rPr>
        <w:t xml:space="preserve">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 </w:t>
      </w:r>
    </w:p>
    <w:p>
      <w:pPr>
        <w:pStyle w:val="TextBody"/>
        <w:bidi w:val="0"/>
        <w:spacing w:before="0" w:after="0"/>
        <w:ind w:left="0" w:right="0" w:hanging="540"/>
        <w:jc w:val="left"/>
        <w:rPr/>
      </w:pPr>
      <w:r>
        <w:rPr/>
      </w:r>
    </w:p>
    <w:p>
      <w:pPr>
        <w:pStyle w:val="TextBody"/>
        <w:bidi w:val="0"/>
        <w:spacing w:lineRule="auto" w:line="288"/>
        <w:ind w:left="0" w:right="0" w:hanging="540"/>
        <w:jc w:val="left"/>
        <w:rPr/>
      </w:pPr>
      <w:r>
        <w:rPr>
          <w:rFonts w:ascii="Arial;sans-serif" w:hAnsi="Arial;sans-serif"/>
          <w:b w:val="false"/>
          <w:color w:val="000000"/>
          <w:sz w:val="20"/>
        </w:rPr>
        <w:t>(c)    “</w:t>
      </w:r>
      <w:r>
        <w:rPr>
          <w:rFonts w:ascii="Arial;sans-serif" w:hAnsi="Arial;sans-serif"/>
          <w:b w:val="false"/>
          <w:color w:val="000000"/>
          <w:sz w:val="20"/>
          <w:u w:val="single"/>
        </w:rPr>
        <w:t>Competing Product or Service</w:t>
      </w:r>
      <w:r>
        <w:rPr>
          <w:color w:val="000000"/>
        </w:rPr>
        <w:t xml:space="preserve">” </w:t>
      </w:r>
      <w:r>
        <w:rPr>
          <w:rFonts w:ascii="Arial;sans-serif" w:hAnsi="Arial;sans-serif"/>
          <w:b w:val="false"/>
          <w:color w:val="000000"/>
          <w:sz w:val="20"/>
        </w:rPr>
        <w:t xml:space="preserve">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4"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of Fiserv during any part of the 24 months preceding the termination of your employment with Fiserv, or for which you supervised one or more Fiserv employees, units, divisions or departments in doing so. </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Arial;sans-serif" w:hAnsi="Arial;sans-serif"/>
          <w:b w:val="false"/>
          <w:color w:val="000000"/>
          <w:sz w:val="20"/>
        </w:rPr>
        <w:t>(d)    “</w:t>
      </w:r>
      <w:r>
        <w:rPr>
          <w:rFonts w:ascii="Arial;sans-serif" w:hAnsi="Arial;sans-serif"/>
          <w:b w:val="false"/>
          <w:color w:val="000000"/>
          <w:sz w:val="20"/>
          <w:u w:val="single"/>
        </w:rPr>
        <w:t>Competitor</w:t>
      </w:r>
      <w:r>
        <w:rPr>
          <w:color w:val="000000"/>
        </w:rPr>
        <w:t xml:space="preserve">” </w:t>
      </w:r>
      <w:r>
        <w:rPr>
          <w:rFonts w:ascii="Arial;sans-serif" w:hAnsi="Arial;sans-serif"/>
          <w:b w:val="false"/>
          <w:color w:val="000000"/>
          <w:sz w:val="20"/>
        </w:rPr>
        <w:t xml:space="preserve">means an individual, business or any other entity or enterprise engaged or having publicly announced its intent to engage in the sale or marketing of any Competing Product or Service.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(e)    “</w:t>
      </w:r>
      <w:r>
        <w:rPr>
          <w:rFonts w:ascii="Arial;sans-serif" w:hAnsi="Arial;sans-serif"/>
          <w:b w:val="false"/>
          <w:color w:val="000000"/>
          <w:sz w:val="20"/>
          <w:u w:val="single"/>
        </w:rPr>
        <w:t>Innovations</w:t>
      </w:r>
      <w:r>
        <w:rPr>
          <w:color w:val="000000"/>
        </w:rPr>
        <w:t xml:space="preserve">” </w:t>
      </w:r>
      <w:r>
        <w:rPr>
          <w:rFonts w:ascii="Arial;sans-serif" w:hAnsi="Arial;sans-serif"/>
          <w:b w:val="false"/>
          <w:color w:val="000000"/>
          <w:sz w:val="20"/>
        </w:rPr>
        <w:t xml:space="preserve">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(f)    “</w:t>
      </w:r>
      <w:r>
        <w:rPr>
          <w:rFonts w:ascii="Arial;sans-serif" w:hAnsi="Arial;sans-serif"/>
          <w:b w:val="false"/>
          <w:color w:val="000000"/>
          <w:sz w:val="20"/>
          <w:u w:val="single"/>
        </w:rPr>
        <w:t>Moral Rights</w:t>
      </w:r>
      <w:r>
        <w:rPr>
          <w:color w:val="000000"/>
        </w:rPr>
        <w:t xml:space="preserve">” </w:t>
      </w:r>
      <w:r>
        <w:rPr>
          <w:rFonts w:ascii="Arial;sans-serif" w:hAnsi="Arial;sans-serif"/>
          <w:b w:val="false"/>
          <w:color w:val="000000"/>
          <w:sz w:val="20"/>
        </w:rPr>
        <w:t xml:space="preserve">means any rights to claim authorship of a work of authorship, to object to or prevent the modification of any such work of authorship, or to withdraw from circulation or control the publication or distribution of any such work of authorship.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(g)    “</w:t>
      </w:r>
      <w:r>
        <w:rPr>
          <w:rFonts w:ascii="Arial;sans-serif" w:hAnsi="Arial;sans-serif"/>
          <w:b w:val="false"/>
          <w:color w:val="000000"/>
          <w:sz w:val="20"/>
          <w:u w:val="single"/>
        </w:rPr>
        <w:t>Client</w:t>
      </w:r>
      <w:r>
        <w:rPr>
          <w:color w:val="000000"/>
        </w:rPr>
        <w:t xml:space="preserve">” </w:t>
      </w:r>
      <w:r>
        <w:rPr>
          <w:rFonts w:ascii="Arial;sans-serif" w:hAnsi="Arial;sans-serif"/>
          <w:b w:val="false"/>
          <w:color w:val="000000"/>
          <w:sz w:val="20"/>
        </w:rPr>
        <w:t xml:space="preserve">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rFonts w:ascii="Arial;sans-serif" w:hAnsi="Arial;sans-serif"/>
          <w:b w:val="false"/>
          <w:color w:val="000000"/>
          <w:sz w:val="20"/>
        </w:rPr>
        <w:t>(h)    “</w:t>
      </w:r>
      <w:r>
        <w:rPr>
          <w:rFonts w:ascii="Arial;sans-serif" w:hAnsi="Arial;sans-serif"/>
          <w:b w:val="false"/>
          <w:color w:val="000000"/>
          <w:sz w:val="20"/>
          <w:u w:val="single"/>
        </w:rPr>
        <w:t>Prospective Client</w:t>
      </w:r>
      <w:r>
        <w:rPr>
          <w:color w:val="000000"/>
        </w:rPr>
        <w:t xml:space="preserve">” </w:t>
      </w:r>
      <w:r>
        <w:rPr>
          <w:rFonts w:ascii="Arial;sans-serif" w:hAnsi="Arial;sans-serif"/>
          <w:b w:val="false"/>
          <w:color w:val="000000"/>
          <w:sz w:val="20"/>
        </w:rPr>
        <w:t>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Territory</w:t>
      </w:r>
      <w:r>
        <w:rPr>
          <w:color w:val="000000"/>
        </w:rPr>
        <w:t xml:space="preserve">” </w:t>
      </w:r>
      <w:r>
        <w:rPr>
          <w:rFonts w:ascii="Arial;sans-serif" w:hAnsi="Arial;sans-serif"/>
          <w:b w:val="false"/>
          <w:color w:val="000000"/>
          <w:sz w:val="20"/>
        </w:rPr>
        <w:t>means the geographic regions for which you had executive, managerial, supervisory, sales, marketing, client servicing and/or other responsibilities during any part of the 24 months preceding the termination of your employment with Fiserv.</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Arial;sans-serif" w:hAnsi="Arial;sans-serif"/>
          <w:b w:val="false"/>
          <w:color w:val="000000"/>
          <w:sz w:val="20"/>
        </w:rPr>
        <w:t>(j)    “</w:t>
      </w:r>
      <w:r>
        <w:rPr>
          <w:rFonts w:ascii="Arial;sans-serif" w:hAnsi="Arial;sans-serif"/>
          <w:b w:val="false"/>
          <w:color w:val="000000"/>
          <w:sz w:val="20"/>
          <w:u w:val="single"/>
        </w:rPr>
        <w:t>Vendor</w:t>
      </w:r>
      <w:r>
        <w:rPr>
          <w:color w:val="000000"/>
        </w:rPr>
        <w:t xml:space="preserve">” </w:t>
      </w:r>
      <w:r>
        <w:rPr>
          <w:rFonts w:ascii="Arial;sans-serif" w:hAnsi="Arial;sans-serif"/>
          <w:b w:val="false"/>
          <w:color w:val="000000"/>
          <w:sz w:val="20"/>
        </w:rPr>
        <w:t xml:space="preserve">means a third party unaffiliated with Fiserv that contracts with Fiserv to provide services to Fiserv or its clients: (i) that you directly worked with or for which you supervised others in working with during any part of the 24 months preceding the termination of your employment with Fiserv; or (ii) about which you have Confidential Information as a result of your employment with Fiserv.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Arial;sans-serif" w:hAnsi="Arial;sans-serif"/>
          <w:b w:val="false"/>
          <w:color w:val="000000"/>
          <w:sz w:val="20"/>
        </w:rPr>
        <w:t>(k)    “</w:t>
      </w:r>
      <w:r>
        <w:rPr>
          <w:rFonts w:ascii="Arial;sans-serif" w:hAnsi="Arial;sans-serif"/>
          <w:b w:val="false"/>
          <w:color w:val="000000"/>
          <w:sz w:val="20"/>
          <w:u w:val="single"/>
        </w:rPr>
        <w:t>Addendum</w:t>
      </w:r>
      <w:r>
        <w:rPr>
          <w:color w:val="000000"/>
        </w:rPr>
        <w:t xml:space="preserve">” </w:t>
      </w:r>
      <w:r>
        <w:rPr>
          <w:rFonts w:ascii="Arial;sans-serif" w:hAnsi="Arial;sans-serif"/>
          <w:b w:val="false"/>
          <w:color w:val="000000"/>
          <w:sz w:val="20"/>
        </w:rPr>
        <w:t>means a jurisdiction-specific provision for certain employees of Fiserv who are employed to work and/or reside in certain jurisdictions that modifies and/or supplements the terms of Sections 5 through 7, 9(b)(ii)(B), and 9(b)(iv) of this Agreement to the extent specified in the Addendum. The Addendum will be incorporated into, construed jointly with, modify and/or supplement the terms of Sections 5 through 7, 9(b)(ii)(B), and 9(b)(iv) of this Agreement.</w:t>
      </w:r>
    </w:p>
    <w:p>
      <w:pPr>
        <w:pStyle w:val="TextBody"/>
        <w:bidi w:val="0"/>
        <w:spacing w:lineRule="auto" w:line="288"/>
        <w:ind w:left="0" w:right="0" w:hanging="450"/>
        <w:jc w:val="left"/>
        <w:rPr/>
      </w:pPr>
      <w:r>
        <w:rPr>
          <w:color w:val="000000"/>
        </w:rPr>
        <w:t> </w:t>
      </w:r>
      <w:r>
        <w:rPr>
          <w:rFonts w:ascii="Arial;sans-serif" w:hAnsi="Arial;sans-serif"/>
          <w:b w:val="false"/>
          <w:color w:val="000000"/>
          <w:sz w:val="20"/>
        </w:rPr>
        <w:t>5.    </w:t>
      </w:r>
      <w:r>
        <w:rPr>
          <w:rFonts w:ascii="Arial;sans-serif" w:hAnsi="Arial;sans-serif"/>
          <w:b/>
          <w:color w:val="000000"/>
          <w:sz w:val="20"/>
          <w:u w:val="single"/>
        </w:rPr>
        <w:t>Confidentiality and Innovations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During your employment, Fiserv will provide you with Confidential Information relating to Fiserv, its business, Clients and Prospective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85"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that, without the written consent of the Chief Executive Officer of the Company or, in the case of the Chief Executive Officer of the Company, without the written approval of the Board: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 xml:space="preserve">(a)    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 xml:space="preserve">(b)    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240"/>
        <w:ind w:left="0" w:right="0" w:firstLine="180"/>
        <w:jc w:val="left"/>
        <w:rPr>
          <w:rFonts w:ascii="Arial;sans-serif" w:hAnsi="Arial;sans-serif"/>
          <w:b w:val="false"/>
          <w:color w:val="000000"/>
          <w:sz w:val="20"/>
        </w:rPr>
      </w:pPr>
      <w:r>
        <w:rPr>
          <w:rFonts w:ascii="Arial;sans-serif" w:hAnsi="Arial;sans-serif"/>
          <w:b w:val="false"/>
          <w:color w:val="000000"/>
          <w:sz w:val="20"/>
        </w:rPr>
        <w:t>(c)    Notwithstanding the preceding statements, you understand that:</w:t>
      </w:r>
    </w:p>
    <w:p>
      <w:pPr>
        <w:pStyle w:val="TextBody"/>
        <w:bidi w:val="0"/>
        <w:spacing w:lineRule="auto" w:line="288" w:before="0" w:after="240"/>
        <w:ind w:left="0" w:right="0" w:hanging="900"/>
        <w:jc w:val="left"/>
        <w:rPr/>
      </w:pPr>
      <w:r>
        <w:rPr>
          <w:rFonts w:ascii="Arial;sans-serif" w:hAnsi="Arial;sans-serif"/>
          <w:b w:val="false"/>
          <w:color w:val="000000"/>
          <w:sz w:val="20"/>
        </w:rPr>
        <w:t>(i)     Nothing in this Agreement or any other Fiserv policy prohibits or impedes you from communicating, cooperating, or filing a complaint with any U.S., federal, state, or local governmental or law enforcement branch, agency, or entity (collectively, a “</w:t>
      </w:r>
      <w:r>
        <w:rPr>
          <w:rFonts w:ascii="Arial;sans-serif" w:hAnsi="Arial;sans-serif"/>
          <w:b w:val="false"/>
          <w:color w:val="000000"/>
          <w:sz w:val="20"/>
          <w:u w:val="single"/>
        </w:rPr>
        <w:t>Governmental Entity</w:t>
      </w:r>
      <w:r>
        <w:rPr>
          <w:color w:val="000000"/>
        </w:rPr>
        <w:t>”</w:t>
      </w:r>
      <w:r>
        <w:rPr>
          <w:rFonts w:ascii="Arial;sans-serif" w:hAnsi="Arial;sans-serif"/>
          <w:b w:val="false"/>
          <w:color w:val="000000"/>
          <w:sz w:val="20"/>
        </w:rPr>
        <w:t>)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     Pursuant to 18 U.S.C. §1833(b)(1) and §1833(b)(2):</w:t>
      </w:r>
    </w:p>
    <w:p>
      <w:pPr>
        <w:pStyle w:val="TextBody"/>
        <w:bidi w:val="0"/>
        <w:spacing w:before="0" w:after="0"/>
        <w:ind w:left="0" w:right="0" w:hanging="54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(A)    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pStyle w:val="TextBody"/>
        <w:bidi w:val="0"/>
        <w:spacing w:before="0" w:after="0"/>
        <w:ind w:left="0" w:right="0" w:hanging="54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(B)    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understand that if you are found to have wrongfully misappropriated a trade secret, you may be liable to Fiserv for, among other things, exemplary damages and attorneys’ fees.</w:t>
      </w:r>
    </w:p>
    <w:p>
      <w:pPr>
        <w:pStyle w:val="TextBody"/>
        <w:bidi w:val="0"/>
        <w:spacing w:before="0" w:after="0"/>
        <w:jc w:val="left"/>
        <w:rPr/>
      </w:pPr>
      <w:r>
        <w:rPr/>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40"/>
        <w:jc w:val="left"/>
        <w:rPr>
          <w:rFonts w:ascii="Arial;sans-serif" w:hAnsi="Arial;sans-serif"/>
          <w:b w:val="false"/>
          <w:color w:val="000000"/>
          <w:sz w:val="20"/>
        </w:rPr>
      </w:pPr>
      <w:r>
        <w:rPr>
          <w:rFonts w:ascii="Arial;sans-serif" w:hAnsi="Arial;sans-serif"/>
          <w:b w:val="false"/>
          <w:color w:val="000000"/>
          <w:sz w:val="20"/>
        </w:rPr>
        <w:t xml:space="preserve">have been developed at great expense by Fiserv. You acknowledge and agree that any post-employment efforts by you to work for a Competitor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(e)    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pStyle w:val="TextBody"/>
        <w:bidi w:val="0"/>
        <w:spacing w:lineRule="auto" w:line="300" w:before="0" w:after="240"/>
        <w:ind w:left="0" w:right="0" w:hanging="450"/>
        <w:jc w:val="left"/>
        <w:rPr/>
      </w:pPr>
      <w:r>
        <w:rPr>
          <w:rFonts w:ascii="Arial;sans-serif" w:hAnsi="Arial;sans-serif"/>
          <w:b w:val="false"/>
          <w:color w:val="000000"/>
          <w:sz w:val="20"/>
        </w:rPr>
        <w:t xml:space="preserve">6. </w:t>
      </w:r>
      <w:r>
        <w:rPr>
          <w:rFonts w:ascii="Arial;sans-serif" w:hAnsi="Arial;sans-serif"/>
          <w:b/>
          <w:color w:val="000000"/>
          <w:sz w:val="20"/>
          <w:u w:val="single"/>
        </w:rPr>
        <w:t>Restrictions During Employment</w:t>
      </w:r>
      <w:r>
        <w:rPr>
          <w:rFonts w:ascii="Arial;sans-serif" w:hAnsi="Arial;sans-serif"/>
          <w:b/>
          <w:color w:val="000000"/>
          <w:sz w:val="20"/>
        </w:rPr>
        <w:t>.</w:t>
      </w:r>
      <w:r>
        <w:rPr>
          <w:color w:val="000000"/>
        </w:rPr>
        <w:t xml:space="preserve"> </w:t>
      </w:r>
      <w:r>
        <w:rPr>
          <w:rFonts w:ascii="Arial;sans-serif" w:hAnsi="Arial;sans-serif"/>
          <w:b w:val="false"/>
          <w:color w:val="000000"/>
          <w:sz w:val="20"/>
        </w:rPr>
        <w:t>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(a)     perform duties as or for a Competitor of Fiserv (except to the extent required by your employment with Fiserv);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(b)     entice, induce, encourage, urge, or solicit Clients, Prospective Clients or Vendors of Fiserv to currently and/or prospectively breach, modify, or terminate any agreement or relationship they have or had with Fiserv; or</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(c)     entice, induce, encourage, urge, or solicit any employee to leave employment with Fiserv or become employed by a Competitor, Client, Prospective Client, or Vendor of Fiserv (the provisions of this Section 6(c) shall apply to any employee of Fiserv with whom you worked during any part of the 24-month period preceding the termination of your employment with Fiserv).</w:t>
      </w:r>
    </w:p>
    <w:p>
      <w:pPr>
        <w:pStyle w:val="TextBody"/>
        <w:bidi w:val="0"/>
        <w:spacing w:lineRule="auto" w:line="300" w:before="0" w:after="240"/>
        <w:ind w:left="0" w:right="0" w:hanging="450"/>
        <w:jc w:val="left"/>
        <w:rPr/>
      </w:pPr>
      <w:r>
        <w:rPr>
          <w:rFonts w:ascii="Arial;sans-serif" w:hAnsi="Arial;sans-serif"/>
          <w:b w:val="false"/>
          <w:color w:val="000000"/>
          <w:sz w:val="20"/>
        </w:rPr>
        <w:t>7.    </w:t>
      </w:r>
      <w:r>
        <w:rPr>
          <w:rFonts w:ascii="Arial;sans-serif" w:hAnsi="Arial;sans-serif"/>
          <w:b/>
          <w:color w:val="000000"/>
          <w:sz w:val="20"/>
          <w:u w:val="single"/>
        </w:rPr>
        <w:t>Restrictions Following Employment</w:t>
      </w:r>
      <w:r>
        <w:rPr>
          <w:rFonts w:ascii="Arial;sans-serif" w:hAnsi="Arial;sans-serif"/>
          <w:b/>
          <w:color w:val="000000"/>
          <w:sz w:val="20"/>
        </w:rPr>
        <w:t>.</w:t>
      </w:r>
      <w:r>
        <w:rPr>
          <w:color w:val="000000"/>
        </w:rPr>
        <w:t xml:space="preserve"> </w:t>
      </w:r>
      <w:r>
        <w:rPr>
          <w:rFonts w:ascii="Arial;sans-serif" w:hAnsi="Arial;sans-serif"/>
          <w:b w:val="false"/>
          <w:color w:val="000000"/>
          <w:sz w:val="20"/>
        </w:rPr>
        <w:t>You agree that, without the written consent of the Chief Executive Officer of the Company or, in the case of the Chief Executive Officer of the Company, without the written approval of the Board,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pStyle w:val="TextBody"/>
        <w:bidi w:val="0"/>
        <w:spacing w:lineRule="auto" w:line="300"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(a)    perform duties as or for a Competitor of Fiserv that are the same as or similar to the duties performed by you for Fiserv at any time during any part of the 24-month period preceding the termination of your employment with Fiserv and which involve a Competing Product or Service;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(b)     entice, induce, encourage, urge or solicit Clients, Prospective Clients, or Vendors of Fiserv to currently and/or prospectively breach, modify or terminate any agreement or relationship they have or had with Fiserv;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(c)     entice, induce, encourage urge or solicit any employee to leave employment with Fiserv or become employed by a Competitor, Client, Prospective Client, or Vendor of Fiserv (the provisions of this Section 7(c) shall apply to any employee of Fiserv with whom you worked during any part of the 24-month period preceding the termination of your employment with Fiserv); or </w:t>
      </w:r>
    </w:p>
    <w:p>
      <w:pPr>
        <w:pStyle w:val="TextBody"/>
        <w:bidi w:val="0"/>
        <w:spacing w:lineRule="auto" w:line="300" w:before="0" w:after="240"/>
        <w:ind w:left="0" w:right="0" w:hanging="432"/>
        <w:jc w:val="left"/>
        <w:rPr>
          <w:rFonts w:ascii="Arial;sans-serif" w:hAnsi="Arial;sans-serif"/>
          <w:b w:val="false"/>
          <w:color w:val="000000"/>
          <w:sz w:val="20"/>
        </w:rPr>
      </w:pPr>
      <w:r>
        <w:rPr>
          <w:rFonts w:ascii="Arial;sans-serif" w:hAnsi="Arial;sans-serif"/>
          <w:b w:val="false"/>
          <w:color w:val="000000"/>
          <w:sz w:val="20"/>
        </w:rPr>
        <w:t xml:space="preserve">(d)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 </w:t>
      </w:r>
    </w:p>
    <w:p>
      <w:pPr>
        <w:pStyle w:val="TextBody"/>
        <w:bidi w:val="0"/>
        <w:spacing w:lineRule="auto" w:line="288" w:before="0" w:after="0"/>
        <w:ind w:left="0" w:right="0" w:hanging="450"/>
        <w:jc w:val="left"/>
        <w:rPr/>
      </w:pPr>
      <w:r>
        <w:rPr>
          <w:rFonts w:ascii="Arial;sans-serif" w:hAnsi="Arial;sans-serif"/>
          <w:b w:val="false"/>
          <w:color w:val="000000"/>
          <w:sz w:val="20"/>
        </w:rPr>
        <w:t xml:space="preserve">8. </w:t>
      </w:r>
      <w:r>
        <w:rPr>
          <w:rFonts w:ascii="Arial;sans-serif" w:hAnsi="Arial;sans-serif"/>
          <w:b/>
          <w:color w:val="000000"/>
          <w:sz w:val="20"/>
          <w:u w:val="single"/>
        </w:rPr>
        <w:t>Acknowledgements Regarding Restrictive Covenants</w:t>
      </w:r>
      <w:r>
        <w:rPr>
          <w:rFonts w:ascii="Arial;sans-serif" w:hAnsi="Arial;sans-serif"/>
          <w:b/>
          <w:color w:val="000000"/>
          <w:sz w:val="20"/>
        </w:rPr>
        <w:t xml:space="preserve">. </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(a)For purposes of Section 7(a) of this Agreement, and without limiting any other provision hereof, you acknowledge that Fiserv associates who are classified in the highest salary grade in Fiserv will be deemed to have enterprise-wide duties which encompass duties relative to all Fiserv business units and functions.</w:t>
      </w:r>
    </w:p>
    <w:p>
      <w:pPr>
        <w:pStyle w:val="TextBody"/>
        <w:bidi w:val="0"/>
        <w:spacing w:lineRule="auto" w:line="288" w:before="0" w:after="240"/>
        <w:ind w:left="0" w:right="0" w:hanging="450"/>
        <w:jc w:val="left"/>
        <w:rPr/>
      </w:pPr>
      <w:r>
        <w:rPr>
          <w:rFonts w:ascii="Arial;sans-serif" w:hAnsi="Arial;sans-serif"/>
          <w:b w:val="false"/>
          <w:color w:val="000000"/>
          <w:sz w:val="20"/>
        </w:rPr>
        <w:t>(b)</w:t>
      </w:r>
      <w:r>
        <w:rPr>
          <w:rFonts w:ascii="Arial;sans-serif" w:hAnsi="Arial;sans-serif"/>
          <w:b/>
          <w:color w:val="000000"/>
          <w:sz w:val="20"/>
        </w:rPr>
        <w:t xml:space="preserve">No provision of Sections 5 through 7 will apply to limit or restrict your conduct under this Agreement during or after your employment, or trigger any reimbursement obligations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may limit the enforceability of some or all of Sections 5 through 7 are set forth in the Addendum that will be provided and/or made available to you concurrently with this Agreement. </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(c)You acknowledge the consideration provided for your agreement to comply with the provisions of Sections 5 through 7 include (i) Fiserv’s provision of Confidential Information to you, (ii) this Award, and (iii) the Shares issued under the Award, if any.</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(d)You acknowledge and agree that compliance with Sections 5 through 7 is necessary to protect Fiserv, and that a breach of any of Sections 5 through 7 will result in irreparable and continuing damage to Fiserv for which there will be no adequate remedy at law. In the event of a breach of Sections 5 through 7, or any part thereof, Fiserv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 </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(e)You further agree that, in the event of your breach of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 </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(f)You agree that the terms of this Agreement shall survive the termination of your employment with Fiserv. </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 xml:space="preserve">(g)    BY ACCEPTING THIS AWARD, YOU ACKNOWLEDGE THAT YOU HAVE READ THIS AGREEMENT, INCLUDING SECTIONS 5 THROUGH 7, AND AGREE THAT THE CONSIDERATION PROVIDED BY FISERV IS FAIR AND REASONABLE AND FURTHER AGREE THAT GIVEN THE IMPORTANCE TO FISERV OF ITS CONFIDENTIAL AND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PROPRIETARY INFORMATION, RESTRICTIONS ON YOUR ACTIVITIES, INCLUDING THOSE THAT APPLY POST-EMPLOYMENT, ARE LIKEWISE FAIR AND REASONABLE. </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Arial;sans-serif" w:hAnsi="Arial;sans-serif"/>
          <w:b w:val="false"/>
          <w:color w:val="000000"/>
          <w:sz w:val="20"/>
        </w:rPr>
        <w:t xml:space="preserve">9.     </w:t>
      </w:r>
      <w:r>
        <w:rPr>
          <w:rFonts w:ascii="Arial;sans-serif" w:hAnsi="Arial;sans-serif"/>
          <w:b/>
          <w:color w:val="000000"/>
          <w:sz w:val="20"/>
          <w:u w:val="single"/>
        </w:rPr>
        <w:t>Termination of Employment.</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Arial;sans-serif" w:hAnsi="Arial;sans-serif"/>
          <w:b w:val="false"/>
          <w:color w:val="000000"/>
          <w:sz w:val="20"/>
        </w:rPr>
        <w:t>(a)    </w:t>
      </w:r>
      <w:r>
        <w:rPr>
          <w:rFonts w:ascii="Arial;sans-serif" w:hAnsi="Arial;sans-serif"/>
          <w:b/>
          <w:color w:val="000000"/>
          <w:sz w:val="20"/>
          <w:u w:val="single"/>
        </w:rPr>
        <w:t>Vesting</w:t>
      </w:r>
      <w:r>
        <w:rPr>
          <w:rFonts w:ascii="Arial;sans-serif" w:hAnsi="Arial;sans-serif"/>
          <w:b w:val="false"/>
          <w:color w:val="000000"/>
          <w:sz w:val="20"/>
        </w:rPr>
        <w:t>. If you cease to be an employee of the Company or any Subsidiary for any reason (a “</w:t>
      </w:r>
      <w:r>
        <w:rPr>
          <w:rFonts w:ascii="Arial;sans-serif" w:hAnsi="Arial;sans-serif"/>
          <w:b w:val="false"/>
          <w:color w:val="000000"/>
          <w:sz w:val="20"/>
          <w:u w:val="single"/>
        </w:rPr>
        <w:t>Termination Event</w:t>
      </w:r>
      <w:r>
        <w:rPr>
          <w:color w:val="000000"/>
        </w:rPr>
        <w:t>”</w:t>
      </w:r>
      <w:r>
        <w:rPr>
          <w:rFonts w:ascii="Arial;sans-serif" w:hAnsi="Arial;sans-serif"/>
          <w:b w:val="false"/>
          <w:color w:val="000000"/>
          <w:sz w:val="20"/>
        </w:rPr>
        <w:t xml:space="preserve">) prior to the Vesting Date, then the Award shall terminate on the date on which such Termination Event occurs;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u w:val="single"/>
        </w:rPr>
        <w:t>that</w:t>
      </w:r>
      <w:r>
        <w:rPr>
          <w:rFonts w:ascii="Arial;sans-serif" w:hAnsi="Arial;sans-serif"/>
          <w:b w:val="false"/>
          <w:color w:val="000000"/>
          <w:sz w:val="20"/>
        </w:rPr>
        <w:t>, if the reason for your Termination Event is Retirement on a date that is more than twelve (12) months after the commencement of the 3-Year Performance Period, Death or Disability, then the number of Shares issuable under this Award, if any, shall be determined on the Vesting Date after the end of the 3-Year Performance Period based on actual performance as if you had not experienced a Termination Event.</w:t>
      </w:r>
    </w:p>
    <w:p>
      <w:pPr>
        <w:pStyle w:val="TextBody"/>
        <w:bidi w:val="0"/>
        <w:spacing w:before="0" w:after="0"/>
        <w:ind w:left="0" w:right="0" w:hanging="5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you are regularly scheduled to work less than 20 hours per calendar week for the Company or any Subsidiary, you will be deemed to have experienced a Termination Event (except as otherwise provided in subsection (d)).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(b)    </w:t>
      </w:r>
      <w:r>
        <w:rPr>
          <w:rFonts w:ascii="Arial;sans-serif" w:hAnsi="Arial;sans-serif"/>
          <w:b/>
          <w:color w:val="000000"/>
          <w:sz w:val="20"/>
          <w:u w:val="single"/>
        </w:rPr>
        <w:t>Retirement</w:t>
      </w:r>
      <w:r>
        <w:rPr>
          <w:rFonts w:ascii="Arial;sans-serif" w:hAnsi="Arial;sans-serif"/>
          <w:b/>
          <w:color w:val="000000"/>
          <w:sz w:val="20"/>
        </w:rPr>
        <w:t>.</w:t>
      </w:r>
      <w:r>
        <w:rPr>
          <w:color w:val="000000"/>
        </w:rPr>
        <w:t xml:space="preserve"> </w:t>
      </w:r>
    </w:p>
    <w:p>
      <w:pPr>
        <w:pStyle w:val="TextBody"/>
        <w:bidi w:val="0"/>
        <w:spacing w:before="0" w:after="0"/>
        <w:ind w:left="0" w:right="0" w:hanging="360"/>
        <w:jc w:val="left"/>
        <w:rPr/>
      </w:pPr>
      <w:r>
        <w:rPr/>
      </w:r>
    </w:p>
    <w:p>
      <w:pPr>
        <w:pStyle w:val="TextBody"/>
        <w:bidi w:val="0"/>
        <w:spacing w:lineRule="auto" w:line="240" w:before="0" w:after="0"/>
        <w:ind w:left="0" w:right="0" w:hanging="540"/>
        <w:jc w:val="left"/>
        <w:rPr/>
      </w:pPr>
      <w:r>
        <w:rPr>
          <w:rFonts w:ascii="Arial;sans-serif" w:hAnsi="Arial;sans-serif"/>
          <w:b w:val="false"/>
          <w:color w:val="000000"/>
          <w:sz w:val="20"/>
        </w:rPr>
        <w:t>(i)For purposes of this Section 9, “</w:t>
      </w:r>
      <w:r>
        <w:rPr>
          <w:rFonts w:ascii="Arial;sans-serif" w:hAnsi="Arial;sans-serif"/>
          <w:b w:val="false"/>
          <w:color w:val="000000"/>
          <w:sz w:val="20"/>
          <w:u w:val="single"/>
        </w:rPr>
        <w:t>Retirement</w:t>
      </w:r>
      <w:r>
        <w:rPr>
          <w:color w:val="000000"/>
        </w:rPr>
        <w:t xml:space="preserve">” </w:t>
      </w:r>
      <w:r>
        <w:rPr>
          <w:rFonts w:ascii="Arial;sans-serif" w:hAnsi="Arial;sans-serif"/>
          <w:b w:val="false"/>
          <w:color w:val="000000"/>
          <w:sz w:val="20"/>
        </w:rPr>
        <w:t>means the cessation of service as an employee, for any reason other than death, Disability or termination for Cause, if:</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(A)you are at least 55 years of age, have at least 5 years of continuous service with the Company and its Subsidiaries, and the sum of your age and years of continuous service with the Company and its Subsidiaries is at least 65; and</w:t>
      </w:r>
    </w:p>
    <w:p>
      <w:pPr>
        <w:pStyle w:val="TextBody"/>
        <w:bidi w:val="0"/>
        <w:spacing w:before="0" w:after="0"/>
        <w:ind w:left="0" w:right="0" w:hanging="540"/>
        <w:jc w:val="left"/>
        <w:rPr/>
      </w:pPr>
      <w:r>
        <w:rPr/>
      </w:r>
    </w:p>
    <w:p>
      <w:pPr>
        <w:pStyle w:val="TextBody"/>
        <w:bidi w:val="0"/>
        <w:spacing w:lineRule="auto" w:line="288" w:before="0" w:after="240"/>
        <w:ind w:left="0" w:right="0" w:hanging="540"/>
        <w:jc w:val="left"/>
        <w:rPr/>
      </w:pPr>
      <w:r>
        <w:rPr>
          <w:rFonts w:ascii="Arial;sans-serif" w:hAnsi="Arial;sans-serif"/>
          <w:b w:val="false"/>
          <w:color w:val="000000"/>
          <w:sz w:val="20"/>
        </w:rPr>
        <w:t xml:space="preserve">(B)you have provided for an orderly transition of your duties to a successor, including by: (1) providing notice </w:t>
      </w:r>
      <w:r>
        <w:rPr>
          <w:rFonts w:ascii="Arial;sans-serif" w:hAnsi="Arial;sans-serif"/>
          <w:b w:val="false"/>
          <w:color w:val="000000"/>
          <w:sz w:val="20"/>
          <w:shd w:fill="FFFFFF" w:val="clear"/>
        </w:rPr>
        <w:t xml:space="preserve">to the Chief Executive Officer of the Company (or in the case of the Chief Executive Officer, to the Chairman or Lead Director of the Board as the case may be) </w:t>
      </w:r>
      <w:r>
        <w:rPr>
          <w:rFonts w:ascii="Arial;sans-serif" w:hAnsi="Arial;sans-serif"/>
          <w:b w:val="false"/>
          <w:color w:val="000000"/>
          <w:sz w:val="20"/>
        </w:rPr>
        <w:t>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sans-serif" w:hAnsi="Arial;sans-serif"/>
          <w:b w:val="false"/>
          <w:color w:val="000000"/>
          <w:sz w:val="20"/>
          <w:u w:val="single"/>
        </w:rPr>
        <w:t>Specified Transition Requirements</w:t>
      </w:r>
      <w:r>
        <w:rPr>
          <w:color w:val="000000"/>
        </w:rPr>
        <w:t>”</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you satisfy the requirements of clauses (A) and (B) above, your cessation of service will be deemed to be a qualifying Retirement; provided that, the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(ii)Notwithstanding the foregoing:</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(A)If you receive written notification from the Committee that you failed to satisfy any Specified Transition Requirement, then any portion of the Award that was unvested as of the Termination Event shall terminate as of such date.</w:t>
      </w:r>
    </w:p>
    <w:p>
      <w:pPr>
        <w:pStyle w:val="TextBody"/>
        <w:bidi w:val="0"/>
        <w:spacing w:lineRule="auto" w:line="288" w:before="0" w:after="0"/>
        <w:ind w:left="0" w:right="0" w:hanging="540"/>
        <w:jc w:val="left"/>
        <w:rPr/>
      </w:pPr>
      <w:r>
        <w:rPr>
          <w:rFonts w:ascii="Arial;sans-serif" w:hAnsi="Arial;sans-serif"/>
          <w:b w:val="false"/>
          <w:color w:val="000000"/>
          <w:sz w:val="20"/>
        </w:rPr>
        <w:t>(B)In addition to the obligations set forth in Sections 5 through 7 for the period set forth therein, while any portion of this Award remains unvested and for one year after the last vesting event of any equity award held by you at the time of Retirement (the “</w:t>
      </w:r>
      <w:r>
        <w:rPr>
          <w:rFonts w:ascii="Arial;sans-serif" w:hAnsi="Arial;sans-serif"/>
          <w:b w:val="false"/>
          <w:color w:val="000000"/>
          <w:sz w:val="20"/>
          <w:u w:val="single"/>
        </w:rPr>
        <w:t>Restricted Period</w:t>
      </w:r>
      <w:r>
        <w:rPr>
          <w:color w:val="000000"/>
        </w:rPr>
        <w:t>”</w:t>
      </w:r>
      <w:r>
        <w:rPr>
          <w:rFonts w:ascii="Arial;sans-serif" w:hAnsi="Arial;sans-serif"/>
          <w:b w:val="false"/>
          <w:color w:val="000000"/>
          <w:sz w:val="20"/>
        </w:rPr>
        <w:t xml:space="preserve">), you may not: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     perform work of any kind for a Competitor, including as an employee, board member, consultant or otherwise; </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     perform work for a non-Competitor other than as permitted by clause (iv) below; or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 xml:space="preserve">(3)     violate any post-employment covenant applicable to you under any agreement in effect with, or policy of, the Company or any of its Subsidiaries </w:t>
      </w:r>
      <w:r>
        <w:rPr>
          <w:rFonts w:ascii="Arial;sans-serif" w:hAnsi="Arial;sans-serif"/>
          <w:b w:val="false"/>
          <w:color w:val="000000"/>
          <w:sz w:val="20"/>
          <w:shd w:fill="FFFFFF" w:val="clear"/>
        </w:rPr>
        <w:t>(each of (1)-(3) being a “</w:t>
      </w:r>
      <w:r>
        <w:rPr>
          <w:rFonts w:ascii="Arial;sans-serif" w:hAnsi="Arial;sans-serif"/>
          <w:b w:val="false"/>
          <w:color w:val="000000"/>
          <w:sz w:val="20"/>
          <w:u w:val="single"/>
          <w:shd w:fill="FFFFFF" w:val="clear"/>
        </w:rPr>
        <w:t>Post-Retirement Violation</w:t>
      </w:r>
      <w:r>
        <w:rPr>
          <w:color w:val="000000"/>
          <w:shd w:fill="FFFFFF" w:val="clear"/>
        </w:rPr>
        <w:t>”</w:t>
      </w:r>
      <w:r>
        <w:rPr>
          <w:rFonts w:ascii="Arial;sans-serif" w:hAnsi="Arial;sans-serif"/>
          <w:b w:val="false"/>
          <w:color w:val="000000"/>
          <w:sz w:val="20"/>
          <w:shd w:fill="FFFFFF" w:val="clear"/>
        </w:rPr>
        <w:t>)</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40" w:before="0" w:after="0"/>
        <w:ind w:left="0" w:right="0" w:hanging="540"/>
        <w:jc w:val="left"/>
        <w:rPr>
          <w:rFonts w:ascii="Arial;sans-serif" w:hAnsi="Arial;sans-serif"/>
          <w:b w:val="false"/>
          <w:color w:val="000000"/>
          <w:sz w:val="20"/>
        </w:rPr>
      </w:pPr>
      <w:r>
        <w:rPr>
          <w:rFonts w:ascii="Arial;sans-serif" w:hAnsi="Arial;sans-serif"/>
          <w:b w:val="false"/>
          <w:color w:val="000000"/>
          <w:sz w:val="20"/>
        </w:rPr>
        <w:t xml:space="preserve">(iii)Without limiting any other provision of this Agreement, including Sections 5 through 7 as applicable, if a Post-Retirement Violation occurs and if the Post-Retirement Violation was of the nature described in Section 9(b)(ii)(B)(1) or (3) above: </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 xml:space="preserve">(A)     vesting of any unvested portion of the Award shall immediately cease;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(B)     the remedies available to the Company under Section 8, including recoupment of Shares, shall apply if the Post-Retirement Violation occurred during the first 12 months following Retirement;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(C)    any Shares received upon vesting after your Retirement are subject to recoupment (either the actual shares or the current value thereof) if the Post-Retirement Violation occurred after the one-year anniversary of your Retirement.</w:t>
      </w:r>
    </w:p>
    <w:p>
      <w:pPr>
        <w:pStyle w:val="TextBody"/>
        <w:bidi w:val="0"/>
        <w:spacing w:before="0" w:after="0"/>
        <w:jc w:val="left"/>
        <w:rPr/>
      </w:pPr>
      <w:r>
        <w:rPr/>
      </w:r>
    </w:p>
    <w:p>
      <w:pPr>
        <w:pStyle w:val="TextBody"/>
        <w:bidi w:val="0"/>
        <w:spacing w:lineRule="auto" w:line="288" w:before="0" w:after="240"/>
        <w:ind w:left="0" w:right="0" w:hanging="540"/>
        <w:jc w:val="left"/>
        <w:rPr/>
      </w:pPr>
      <w:r>
        <w:rPr>
          <w:rFonts w:ascii="Arial;sans-serif" w:hAnsi="Arial;sans-serif"/>
          <w:b w:val="false"/>
          <w:color w:val="000000"/>
          <w:sz w:val="20"/>
        </w:rPr>
        <w:t>(iv)</w:t>
      </w:r>
      <w:r>
        <w:rPr>
          <w:rFonts w:ascii="Arial;sans-serif" w:hAnsi="Arial;sans-serif"/>
          <w:b w:val="false"/>
          <w:color w:val="000000"/>
          <w:sz w:val="20"/>
          <w:shd w:fill="FFFFFF" w:val="clear"/>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r>
        <w:rPr>
          <w:rFonts w:ascii="Arial;sans-serif" w:hAnsi="Arial;sans-serif"/>
          <w:b w:val="false"/>
          <w:color w:val="000000"/>
          <w:sz w:val="20"/>
        </w:rPr>
        <w:t xml:space="preserve">. If during the Restricted Period, you commence employment with or perform work for a non-Competitor where the role or responsibilities is similar to or greater than those which you had while employed by Fiserv, then vesting of any unvested portion of the Award shall immediately cease. </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 xml:space="preserve">(v)While this Award is outstanding, as a condition to continued vesting, upon request of the Company, you must certify that you have not engaged in a Post-Retirement Violation and must provide such information as the Company requests in order to verify such certification. </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 xml:space="preserve">(vi)All determinations regarding whether you have engaged in a Post-Retirement Violation shall be made by the Committee. </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(vii)If you die after Retirement and prior to the date that this Award vests, then the provisions of Sections 9(a) and (b) shall continue to apply as if you had not died.</w:t>
      </w:r>
    </w:p>
    <w:p>
      <w:pPr>
        <w:pStyle w:val="TextBody"/>
        <w:bidi w:val="0"/>
        <w:spacing w:lineRule="auto" w:line="288" w:before="0" w:after="240"/>
        <w:ind w:left="0" w:right="0" w:hanging="540"/>
        <w:jc w:val="left"/>
        <w:rPr/>
      </w:pPr>
      <w:r>
        <w:rPr>
          <w:rFonts w:ascii="Arial;sans-serif" w:hAnsi="Arial;sans-serif"/>
          <w:b w:val="false"/>
          <w:color w:val="000000"/>
          <w:sz w:val="20"/>
        </w:rPr>
        <w:t>(viii)</w:t>
      </w:r>
      <w:r>
        <w:rPr>
          <w:rFonts w:ascii="Arial;sans-serif" w:hAnsi="Arial;sans-serif"/>
          <w:b/>
          <w:color w:val="000000"/>
          <w:sz w:val="20"/>
        </w:rPr>
        <w:t xml:space="preserve">No provision of this Section 9(b) will apply to limit or restrict your conduct under this Agreement after your employment, nor will be deemed a Post-Retirement Violation under this Agreement, in any jurisdiction where such provision is unenforceable under applicable law, unless the provision may be construed or deemed amended to be enforceable under applicable law by a court of competent jurisdiction, in which case the provision will apply as construed or amended. Certain state laws that may limit the enforceability of some or all of this Section 9(b) are set forth in the Addendum that will be provided and/or made available to you concurrently with this Agreement. </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 xml:space="preserve">(ix)BY ACCEPTING THIS AWARD, 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ACTIVITIES, INCLUDING THOSE THAT APPLY POST-RETIREMENT, ARE LIKEWISE FAIR AND REASONABLE.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(c)    </w:t>
      </w:r>
      <w:r>
        <w:rPr>
          <w:rFonts w:ascii="Arial;sans-serif" w:hAnsi="Arial;sans-serif"/>
          <w:b/>
          <w:color w:val="000000"/>
          <w:sz w:val="20"/>
          <w:u w:val="single"/>
        </w:rPr>
        <w:t>Change of Control</w:t>
      </w:r>
      <w:r>
        <w:rPr>
          <w:rFonts w:ascii="Arial;sans-serif" w:hAnsi="Arial;sans-serif"/>
          <w:b/>
          <w:color w:val="000000"/>
          <w:sz w:val="20"/>
        </w:rPr>
        <w:t>.</w:t>
      </w:r>
      <w:r>
        <w:rPr>
          <w:color w:val="000000"/>
        </w:rPr>
        <w:t xml:space="preserve"> </w:t>
      </w:r>
      <w:r>
        <w:rPr>
          <w:rFonts w:ascii="Arial;sans-serif" w:hAnsi="Arial;sans-serif"/>
          <w:b w:val="false"/>
          <w:color w:val="000000"/>
          <w:sz w:val="20"/>
        </w:rPr>
        <w:t>If a Change of Control of the Company occurs prior to the end of the 3-Year Performance Period, then:</w:t>
      </w:r>
    </w:p>
    <w:p>
      <w:pPr>
        <w:pStyle w:val="TextBody"/>
        <w:bidi w:val="0"/>
        <w:spacing w:before="0" w:after="0"/>
        <w:ind w:left="0" w:right="0" w:hanging="360"/>
        <w:jc w:val="left"/>
        <w:rPr/>
      </w:pPr>
      <w:r>
        <w:rPr/>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(i)As of the date of the Change of Control, the number of Performance Share Units that may be earned will be fixed and determined based on (A) the actual Performance Multiplier with respect to any Performance Goals for which the Performance Period has been completed as of the date of the Change of Control and (B) a Performance Multiplier of 150% with respect to any Performance Goals for which the Performance Period has not been completed as of the date of the Change of Control (irrespective of the actual achievement of the Performance Goals as of such date);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 xml:space="preserve">(ii)Such Performance Shares Units will become vested as of the last day of the 3-Year Performance Period if you remain employed until such date, except as otherwise provided in clause (iii) below, and shall be settled in accordance with Section 11 as if the Vesting Date were January 1 of the year following the end of the 3-Year Performance Period; or </w:t>
      </w:r>
    </w:p>
    <w:p>
      <w:pPr>
        <w:pStyle w:val="TextBody"/>
        <w:bidi w:val="0"/>
        <w:spacing w:lineRule="auto" w:line="288" w:before="0" w:after="240"/>
        <w:ind w:left="0" w:right="0" w:hanging="540"/>
        <w:jc w:val="left"/>
        <w:rPr/>
      </w:pPr>
      <w:r>
        <w:rPr>
          <w:rFonts w:ascii="Arial;sans-serif" w:hAnsi="Arial;sans-serif"/>
          <w:b w:val="false"/>
          <w:color w:val="000000"/>
          <w:sz w:val="20"/>
        </w:rPr>
        <w:t>(iii)If your employment terminates before the end of the 3-Year Performance Period due to your Retirement (determined solely under Section 9(b)(i)(A)), death, Disability, termination by the Company without Cause or your termination of your employment for Good Reason (as hereinafter defined), then the Performance Share Units shall be vested upon such termination of employment and shall be settled in accordance with Section 11 as if the Vesting Date were January 1 of the year following the end of the 3-Year Performance Period.</w:t>
        <w:br/>
        <w:br/>
        <w:t>“</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means your suffering any of the following events upon or following a Change of Control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(d)    </w:t>
      </w:r>
      <w:r>
        <w:rPr>
          <w:rFonts w:ascii="Arial;sans-serif" w:hAnsi="Arial;sans-serif"/>
          <w:b/>
          <w:color w:val="000000"/>
          <w:sz w:val="20"/>
          <w:u w:val="single"/>
        </w:rPr>
        <w:t>Service as Director</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For purposes of this Agreement, an employee of the Company or a Subsidiary, if also serving as a director, will not be deemed to have experienced a Termination Event for purposes of this Agreement until his or her service as a director ends, and his or her years of service will be deemed to include years of service as a director.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Arial;sans-serif" w:hAnsi="Arial;sans-serif"/>
          <w:b w:val="false"/>
          <w:color w:val="000000"/>
          <w:sz w:val="20"/>
        </w:rPr>
        <w:t>(e)    </w:t>
      </w:r>
      <w:r>
        <w:rPr>
          <w:rFonts w:ascii="Arial;sans-serif" w:hAnsi="Arial;sans-serif"/>
          <w:b/>
          <w:color w:val="000000"/>
          <w:sz w:val="20"/>
          <w:u w:val="single"/>
        </w:rPr>
        <w:t>Termination for Cause</w:t>
      </w:r>
      <w:r>
        <w:rPr>
          <w:rFonts w:ascii="Arial;sans-serif" w:hAnsi="Arial;sans-serif"/>
          <w:b/>
          <w:color w:val="000000"/>
          <w:sz w:val="20"/>
        </w:rPr>
        <w:t>.</w:t>
      </w:r>
      <w:r>
        <w:rPr>
          <w:color w:val="000000"/>
        </w:rPr>
        <w:t xml:space="preserve"> </w:t>
      </w:r>
      <w:r>
        <w:rPr>
          <w:rFonts w:ascii="Arial;sans-serif" w:hAnsi="Arial;sans-serif"/>
          <w:b w:val="false"/>
          <w:color w:val="000000"/>
          <w:sz w:val="20"/>
        </w:rPr>
        <w:t>Notwithstanding anything herein to the contrary, if you are terminated from employment by the Company or a Subsidiary for Cause, then you will immediately forfeit this Award as of the date of such termination. In addition, if your employment is terminated for any reason other than Cause, but the Company or a Subsidiary thereafter determines that your employment could have been terminated for Cause had all the facts been known to it, then you will forfeit this Award immediately upon such determination.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(f)    </w:t>
      </w:r>
      <w:r>
        <w:rPr>
          <w:rFonts w:ascii="Arial;sans-serif" w:hAnsi="Arial;sans-serif"/>
          <w:b/>
          <w:color w:val="000000"/>
          <w:sz w:val="20"/>
          <w:u w:val="single"/>
        </w:rPr>
        <w:t>No Further Obligation</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will have no further obligations to you under this Agreement if the Award is forfeited or otherwise terminates as provided herein. </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pPr>
      <w:r>
        <w:rPr>
          <w:rFonts w:ascii="Arial;sans-serif" w:hAnsi="Arial;sans-serif"/>
          <w:b w:val="false"/>
          <w:color w:val="000000"/>
          <w:sz w:val="20"/>
        </w:rPr>
        <w:t>(g)     </w:t>
      </w:r>
      <w:r>
        <w:rPr>
          <w:rFonts w:ascii="Arial;sans-serif" w:hAnsi="Arial;sans-serif"/>
          <w:b/>
          <w:color w:val="000000"/>
          <w:sz w:val="20"/>
          <w:u w:val="single"/>
        </w:rPr>
        <w:t>Separation Agreement</w:t>
      </w:r>
      <w:r>
        <w:rPr>
          <w:rFonts w:ascii="Arial;sans-serif" w:hAnsi="Arial;sans-serif"/>
          <w:b/>
          <w:color w:val="000000"/>
          <w:sz w:val="20"/>
        </w:rPr>
        <w:t>.</w:t>
      </w:r>
      <w:r>
        <w:rPr>
          <w:color w:val="000000"/>
        </w:rPr>
        <w:t xml:space="preserve"> </w:t>
      </w:r>
      <w:r>
        <w:rPr>
          <w:rFonts w:ascii="Arial;sans-serif" w:hAnsi="Arial;sans-serif"/>
          <w:b w:val="false"/>
          <w:color w:val="000000"/>
          <w:sz w:val="20"/>
        </w:rPr>
        <w:t>The provisions of this Section 9 are subject to (and may be amended by) the terms of a written separation agreement entered into between you and the Company or any of its Subsidiaries.</w:t>
      </w:r>
    </w:p>
    <w:p>
      <w:pPr>
        <w:pStyle w:val="TextBody"/>
        <w:bidi w:val="0"/>
        <w:spacing w:lineRule="auto" w:line="288" w:before="200" w:after="283"/>
        <w:ind w:left="0" w:right="0" w:hanging="360"/>
        <w:jc w:val="left"/>
        <w:rPr/>
      </w:pPr>
      <w:r>
        <w:rPr>
          <w:rFonts w:ascii="Arial;sans-serif" w:hAnsi="Arial;sans-serif"/>
          <w:b w:val="false"/>
          <w:color w:val="000000"/>
          <w:sz w:val="20"/>
        </w:rPr>
        <w:t>10.     </w:t>
      </w:r>
      <w:r>
        <w:rPr>
          <w:rFonts w:ascii="Arial;sans-serif" w:hAnsi="Arial;sans-serif"/>
          <w:b/>
          <w:color w:val="000000"/>
          <w:sz w:val="20"/>
          <w:u w:val="single"/>
        </w:rPr>
        <w:t>Deferral of Performance Share Units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If you are eligible to, and properly elect to, defer delivery of all or part of the Shares otherwise issuable under this Award, such deferral will be governed by the Performance Share Unit Deferral Election Form executed by you separately from this Agreement. </w:t>
      </w:r>
    </w:p>
    <w:p>
      <w:pPr>
        <w:pStyle w:val="TextBody"/>
        <w:bidi w:val="0"/>
        <w:spacing w:lineRule="auto" w:line="288" w:before="200" w:after="283"/>
        <w:ind w:left="0" w:right="0" w:hanging="360"/>
        <w:jc w:val="left"/>
        <w:rPr/>
      </w:pPr>
      <w:r>
        <w:rPr>
          <w:rFonts w:ascii="Arial;sans-serif" w:hAnsi="Arial;sans-serif"/>
          <w:b w:val="false"/>
          <w:color w:val="000000"/>
          <w:sz w:val="20"/>
        </w:rPr>
        <w:t>11.     </w:t>
      </w:r>
      <w:r>
        <w:rPr>
          <w:rFonts w:ascii="Arial;sans-serif" w:hAnsi="Arial;sans-serif"/>
          <w:b/>
          <w:color w:val="000000"/>
          <w:sz w:val="20"/>
          <w:u w:val="single"/>
        </w:rPr>
        <w:t>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The Company, or its transfer agent, will issue and deliver the Shares to you as soon as practicable after the Vesting 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or any stock exchange upon which the Shares are listed. The Company may cause an appropriate book entry notation to be made with respect to the Shares to reference any of the foregoing restrictions.</w:t>
      </w:r>
    </w:p>
    <w:p>
      <w:pPr>
        <w:pStyle w:val="TextBody"/>
        <w:bidi w:val="0"/>
        <w:spacing w:lineRule="auto" w:line="288" w:before="200" w:after="283"/>
        <w:ind w:left="0" w:right="0" w:hanging="360"/>
        <w:jc w:val="left"/>
        <w:rPr/>
      </w:pPr>
      <w:r>
        <w:rPr>
          <w:rFonts w:ascii="Arial;sans-serif" w:hAnsi="Arial;sans-serif"/>
          <w:b w:val="false"/>
          <w:color w:val="000000"/>
          <w:sz w:val="20"/>
        </w:rPr>
        <w:t>12.     </w:t>
      </w:r>
      <w:r>
        <w:rPr>
          <w:rFonts w:ascii="Arial;sans-serif" w:hAnsi="Arial;sans-serif"/>
          <w:b/>
          <w:color w:val="000000"/>
          <w:sz w:val="20"/>
          <w:u w:val="single"/>
        </w:rPr>
        <w:t>Non-Transferability of Award</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Except as provided in the Plan, this Agreement and the Award Memorandum, until the Shares have 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 </w:t>
      </w:r>
    </w:p>
    <w:p>
      <w:pPr>
        <w:pStyle w:val="TextBody"/>
        <w:bidi w:val="0"/>
        <w:spacing w:lineRule="auto" w:line="288" w:before="200" w:after="283"/>
        <w:ind w:left="0" w:right="0" w:hanging="360"/>
        <w:jc w:val="left"/>
        <w:rPr/>
      </w:pPr>
      <w:r>
        <w:rPr>
          <w:rFonts w:ascii="Arial;sans-serif" w:hAnsi="Arial;sans-serif"/>
          <w:b w:val="false"/>
          <w:color w:val="000000"/>
          <w:sz w:val="20"/>
        </w:rPr>
        <w:t>13.     </w:t>
      </w:r>
      <w:r>
        <w:rPr>
          <w:rFonts w:ascii="Arial;sans-serif" w:hAnsi="Arial;sans-serif"/>
          <w:b/>
          <w:color w:val="000000"/>
          <w:sz w:val="20"/>
          <w:u w:val="single"/>
        </w:rPr>
        <w:t>Conditions to Issuance of Shares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Committee shall, in its discretion, deem necessary or advisable; (c) the obtaining of any approval or other clearance from any state or federal governmental agency, which the Committee shall, in its discretion, determine to be necessary or advisable; (d) the lapse of such reasonable period of time following the date of vesting of the Award or the payment event specified in a deferral election as the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 </w:t>
      </w:r>
    </w:p>
    <w:p>
      <w:pPr>
        <w:pStyle w:val="TextBody"/>
        <w:bidi w:val="0"/>
        <w:spacing w:lineRule="auto" w:line="288" w:before="200" w:after="283"/>
        <w:ind w:left="0" w:right="0" w:hanging="360"/>
        <w:jc w:val="left"/>
        <w:rPr/>
      </w:pPr>
      <w:r>
        <w:rPr>
          <w:rFonts w:ascii="Arial;sans-serif" w:hAnsi="Arial;sans-serif"/>
          <w:b w:val="false"/>
          <w:color w:val="000000"/>
          <w:sz w:val="20"/>
        </w:rPr>
        <w:t>14.     </w:t>
      </w:r>
      <w:r>
        <w:rPr>
          <w:rFonts w:ascii="Arial;sans-serif" w:hAnsi="Arial;sans-serif"/>
          <w:b/>
          <w:color w:val="000000"/>
          <w:sz w:val="20"/>
          <w:u w:val="single"/>
        </w:rPr>
        <w:t>Dividends; No Rights as Shareholder</w:t>
      </w:r>
      <w:r>
        <w:rPr>
          <w:rFonts w:ascii="Arial;sans-serif" w:hAnsi="Arial;sans-serif"/>
          <w:b/>
          <w:color w:val="000000"/>
          <w:sz w:val="20"/>
        </w:rPr>
        <w:t xml:space="preserve">. </w:t>
      </w:r>
      <w:r>
        <w:rPr>
          <w:rFonts w:ascii="Arial;sans-serif" w:hAnsi="Arial;sans-serif"/>
          <w:b w:val="false"/>
          <w:color w:val="000000"/>
          <w:sz w:val="20"/>
        </w:rPr>
        <w:t xml:space="preserve">If the Company declares a cash dividend and the dividend record date occurs after the Grant Date and prior to the Vesting Date, you will be credited with an additional number of Target Shares on the date the cash dividends are paid to the Company shareholders equal to (a) the amount of cash dividends payable with respect to a number of shares of stock equal to your Target Shares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or any other distributions paid with respect to shares of Company common stock by virtue of this Award or the Shares subject hereto. </w:t>
      </w:r>
    </w:p>
    <w:p>
      <w:pPr>
        <w:pStyle w:val="TextBody"/>
        <w:bidi w:val="0"/>
        <w:spacing w:lineRule="auto" w:line="288" w:before="200" w:after="283"/>
        <w:ind w:left="0" w:right="0" w:hanging="360"/>
        <w:jc w:val="left"/>
        <w:rPr/>
      </w:pPr>
      <w:r>
        <w:rPr>
          <w:rFonts w:ascii="Arial;sans-serif" w:hAnsi="Arial;sans-serif"/>
          <w:b w:val="false"/>
          <w:color w:val="000000"/>
          <w:sz w:val="20"/>
        </w:rPr>
        <w:t>15.     </w:t>
      </w:r>
      <w:r>
        <w:rPr>
          <w:rFonts w:ascii="Arial;sans-serif" w:hAnsi="Arial;sans-serif"/>
          <w:b/>
          <w:color w:val="000000"/>
          <w:sz w:val="20"/>
          <w:u w:val="single"/>
        </w:rPr>
        <w:t>Addresses for Notices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Unless otherwise set forth herein, any notice to be given to the Company under the terms of this Agreement shall be addressed to the 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 </w:t>
      </w:r>
    </w:p>
    <w:p>
      <w:pPr>
        <w:pStyle w:val="TextBody"/>
        <w:bidi w:val="0"/>
        <w:spacing w:lineRule="auto" w:line="288" w:before="200" w:after="283"/>
        <w:ind w:left="0" w:right="0" w:hanging="360"/>
        <w:jc w:val="left"/>
        <w:rPr/>
      </w:pPr>
      <w:r>
        <w:rPr>
          <w:rFonts w:ascii="Arial;sans-serif" w:hAnsi="Arial;sans-serif"/>
          <w:b w:val="false"/>
          <w:color w:val="000000"/>
          <w:sz w:val="20"/>
        </w:rPr>
        <w:t>16.     </w:t>
      </w:r>
      <w:r>
        <w:rPr>
          <w:rFonts w:ascii="Arial;sans-serif" w:hAnsi="Arial;sans-serif"/>
          <w:b/>
          <w:color w:val="000000"/>
          <w:sz w:val="20"/>
          <w:u w:val="single"/>
        </w:rPr>
        <w:t>Captions; Agreement Severable</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Captions provided herein are for convenience only and are not to serve as a basis for 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 </w:t>
      </w:r>
    </w:p>
    <w:p>
      <w:pPr>
        <w:pStyle w:val="TextBody"/>
        <w:bidi w:val="0"/>
        <w:spacing w:lineRule="auto" w:line="288" w:before="200" w:after="283"/>
        <w:ind w:left="0" w:right="0" w:hanging="360"/>
        <w:jc w:val="left"/>
        <w:rPr/>
      </w:pPr>
      <w:r>
        <w:rPr>
          <w:rFonts w:ascii="Arial;sans-serif" w:hAnsi="Arial;sans-serif"/>
          <w:b w:val="false"/>
          <w:color w:val="000000"/>
          <w:sz w:val="20"/>
        </w:rPr>
        <w:t>17.     </w:t>
      </w:r>
      <w:r>
        <w:rPr>
          <w:rFonts w:ascii="Arial;sans-serif" w:hAnsi="Arial;sans-serif"/>
          <w:b/>
          <w:color w:val="000000"/>
          <w:sz w:val="20"/>
          <w:u w:val="single"/>
        </w:rPr>
        <w:t>Securities and Tax Representations</w:t>
      </w:r>
      <w:r>
        <w:rPr>
          <w:rFonts w:ascii="Arial;sans-serif" w:hAnsi="Arial;sans-serif"/>
          <w:b/>
          <w:color w:val="000000"/>
          <w:sz w:val="20"/>
        </w:rPr>
        <w:t>.</w:t>
      </w:r>
      <w:r>
        <w:rPr>
          <w:color w:val="000000"/>
        </w:rPr>
        <w:t xml:space="preserve"> </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    You acknowledge receipt of the Plan and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    You represent and warrant that you understand the federal, state and local income and employment tax consequences associated with this Award, including the sale or other disposition of any Shares acquired hereunder. You understand and agree that when you realize gross income (if any) taxable as compensation in respect of this Award, the Company will be required to withhold federal, state and local taxes on the full amount of the compensation income realized by you and may also be required to withhold other amounts.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You will be solely responsible for any tax liability associated with this Award and any Shares issued hereunder to the extent not satisfied through tax withholding. All matters with respect to the total amount to be withheld shall be determined by the Company in its sole discretion. </w:t>
      </w:r>
    </w:p>
    <w:p>
      <w:pPr>
        <w:pStyle w:val="TextBody"/>
        <w:bidi w:val="0"/>
        <w:spacing w:lineRule="auto" w:line="288" w:before="200" w:after="283"/>
        <w:ind w:left="0" w:right="0" w:hanging="360"/>
        <w:jc w:val="left"/>
        <w:rPr/>
      </w:pPr>
      <w:r>
        <w:rPr>
          <w:rFonts w:ascii="Arial;sans-serif" w:hAnsi="Arial;sans-serif"/>
          <w:b w:val="false"/>
          <w:color w:val="000000"/>
          <w:sz w:val="20"/>
        </w:rPr>
        <w:t>18.     </w:t>
      </w:r>
      <w:r>
        <w:rPr>
          <w:rFonts w:ascii="Arial;sans-serif" w:hAnsi="Arial;sans-serif"/>
          <w:b/>
          <w:color w:val="000000"/>
          <w:sz w:val="20"/>
          <w:u w:val="single"/>
        </w:rPr>
        <w:t>Market Stand-Off</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Company reserves the right to impose restrictions on dispositions of the Shares issued hereunder in connection with any underwritten public 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ind w:left="0" w:right="0" w:hanging="360"/>
        <w:jc w:val="left"/>
        <w:rPr/>
      </w:pPr>
      <w:r>
        <w:rPr>
          <w:rFonts w:ascii="Arial;sans-serif" w:hAnsi="Arial;sans-serif"/>
          <w:b w:val="false"/>
          <w:color w:val="000000"/>
          <w:sz w:val="20"/>
        </w:rPr>
        <w:t>19.    </w:t>
      </w:r>
      <w:r>
        <w:rPr>
          <w:rFonts w:ascii="Arial;sans-serif" w:hAnsi="Arial;sans-serif"/>
          <w:b/>
          <w:color w:val="000000"/>
          <w:sz w:val="20"/>
          <w:u w:val="single"/>
        </w:rPr>
        <w:t>General Provisions</w:t>
      </w:r>
      <w:r>
        <w:rPr>
          <w:rFonts w:ascii="Arial;sans-serif" w:hAnsi="Arial;sans-serif"/>
          <w:b/>
          <w:color w:val="000000"/>
          <w:sz w:val="20"/>
        </w:rPr>
        <w:t>.</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    None of the Plan, this Agreement or the Award Memorandum confers upon you any right to continue to be employed by the Company or any Subsidiary or limits in any respect any right of the Company or any Subsidiary to terminate your employment at any time, without liability.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    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(c)    This Agreement, the Award Memorandum and the Addendum may only be modified, amended or cancelled as provided in the Plan. </w:t>
      </w:r>
    </w:p>
    <w:p>
      <w:pPr>
        <w:pStyle w:val="TextBody"/>
        <w:bidi w:val="0"/>
        <w:spacing w:before="0" w:after="0"/>
        <w:ind w:left="0" w:right="0" w:hanging="360"/>
        <w:jc w:val="left"/>
        <w:rPr/>
      </w:pPr>
      <w:r>
        <w:rPr/>
      </w:r>
    </w:p>
    <w:p>
      <w:pPr>
        <w:pStyle w:val="TextBody"/>
        <w:bidi w:val="0"/>
        <w:spacing w:lineRule="auto" w:line="300" w:before="0" w:after="240"/>
        <w:ind w:left="0" w:right="0" w:hanging="360"/>
        <w:jc w:val="left"/>
        <w:rPr>
          <w:rFonts w:ascii="Arial;sans-serif" w:hAnsi="Arial;sans-serif"/>
          <w:b w:val="false"/>
          <w:color w:val="000000"/>
          <w:sz w:val="20"/>
        </w:rPr>
      </w:pPr>
      <w:r>
        <w:rPr>
          <w:rFonts w:ascii="Arial;sans-serif" w:hAnsi="Arial;sans-serif"/>
          <w:b w:val="false"/>
          <w:color w:val="000000"/>
          <w:sz w:val="20"/>
        </w:rPr>
        <w:t xml:space="preserve">(d)    If any one or more provisions of this Agreement, the Award Memorandum or the Addendum is found to be invalid, illegal or unenforceable in any respect, then the provision will be modified to the minimum extent required to make such provision valid, legal and enforceable, and if such modification is not permitted by applicable law, then the validity, legality and enforceability of the remaining provisions hereof shall not in any way be affected or impaired thereby.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(e)    Any remedies available to the Company under the Plan or this Agreement are cumulative and are in addition to, and are not affected by, the other rights and remedies available to the Company by law or otherwise.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(f)    This Agreement, the Award Memorandum and the Addendum shall be governed by and construed in accordance with the laws of the State of Wisconsin, without regard to its conflict of law provisions, except that Sections 5 through 7, 9(b)(ii)(B), and 9(b)(iv)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(g)    The Company agrees, and you agree, to be subject to and bound by all of the terms and conditions of the Plan.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(h)    This Agreement, the Award Memorandum and the Addendum shall be binding upon and inure to the benefit of any successor or assign of the Company and to any heir, distributee, executor, administrator or legal representative entitled by law to your rights hereunder.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(i)    You understand that, under the terms of the Plan, this Agreement and the Award Memorandum, the Company may cancel or rescind this Award and/or the Shares in certain circumstances.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(j) In consideration of, among other things, your continued employment with the Company or a Subsidiary, you acknowledge and agree that you are and will continue to be subject to the Fiserv, Inc. Compensation Recoupment Policy (as amended from time to time, the “</w:t>
      </w:r>
      <w:r>
        <w:rPr>
          <w:rFonts w:ascii="Arial;sans-serif" w:hAnsi="Arial;sans-serif"/>
          <w:b w:val="false"/>
          <w:color w:val="000000"/>
          <w:sz w:val="20"/>
          <w:u w:val="single"/>
        </w:rPr>
        <w:t>Policy</w:t>
      </w:r>
      <w:r>
        <w:rPr>
          <w:color w:val="000000"/>
        </w:rPr>
        <w:t>”</w:t>
      </w:r>
      <w:r>
        <w:rPr>
          <w:rFonts w:ascii="Arial;sans-serif" w:hAnsi="Arial;sans-serif"/>
          <w:b w:val="false"/>
          <w:color w:val="000000"/>
          <w:sz w:val="20"/>
        </w:rPr>
        <w:t>) and that the Policy will apply both during and after the termination of your employment with the Company or any Subsidiary. You can access this Policy as currently in effect by visiting https://investors.fiserv.com/corporate-governance/governance-documents. Further, by accepting this Award,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you are a party or participant or to which you are subject.</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By selecting the “Accept your award” box on the website of our administrative agent, you acknowledge your acceptance of, and agreement to be bound by, this Agreement, the Award Memorandum, the Plan, the Addendum, and the Policy.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Your acceptance of the terms of this Agreement, the Award Memorandum, the Plan, the Addendum, and the Policy through our administrative agent’s website within 120 calendar days of your Award Grant Date is a condition to your receipt of this Award. If you do not accept the terms and conditions of this Agreement, the Award Memorandum, the Plan, the Addendum, and the Policy within such time, this Award will be forfeited and immediately terminate.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10.30</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NON-EMPLOYEE DIRECTOR COMPENSATION SCHEDULE</w:t>
      </w:r>
    </w:p>
    <w:p>
      <w:pPr>
        <w:pStyle w:val="TextBody"/>
        <w:bidi w:val="0"/>
        <w:spacing w:lineRule="auto" w:line="300" w:before="0" w:after="240"/>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our annual non-employee director compensation is provided below:</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Annual Equity Grant                                 $ 230,000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Board Fee                                     $ 100,000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Chairman Fee                                    $ 150,000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Committee Fee                                     $ 15,000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Committee Chair Fee – Nominating and Corporate Governance; Risk; Talent and    $ 20,000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w:t>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Committee Chair Fee – Audit                            $ 25,000</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The chairman fee is paid half in cash and half in restricted stock units. Upon being elected or re-elected as: (i) a director, each non-employee director receives such number of restricted stock units as is determined by dividing $230,000 by the closing price of our common stock on the grant date; and (ii) Chairman, the Chairman receives such number of restricted stock units as is determined by dividing $75,000 by the closing price of our common stock on the grant date. The chairman fee is in addition to the standard board fee and annual equity grant, and the committee chair fees are in addition to the base committee fee.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vest 100% on the earlier of (i) the first anniversary of the grant date or (ii) immediately prior to the first annual meeting of shareholders following the grant date. Committee fees are payable with respect to each committee on which a director serves. All cash fees are payable quarterly in arrears.</w:t>
      </w:r>
    </w:p>
    <w:p>
      <w:pPr>
        <w:pStyle w:val="TextBody"/>
        <w:bidi w:val="0"/>
        <w:spacing w:before="0" w:after="0"/>
        <w:jc w:val="left"/>
        <w:rPr/>
      </w:pPr>
      <w:r>
        <w:rPr/>
      </w:r>
    </w:p>
    <w:p>
      <w:pPr>
        <w:pStyle w:val="TextBody"/>
        <w:bidi w:val="0"/>
        <w:spacing w:lineRule="auto" w:line="300" w:before="0" w:after="240"/>
        <w:jc w:val="left"/>
        <w:rPr>
          <w:rFonts w:ascii="Times New Roman;serif" w:hAnsi="Times New Roman;serif"/>
          <w:b/>
          <w:color w:val="000000"/>
          <w:sz w:val="20"/>
          <w:u w:val="single"/>
        </w:rPr>
      </w:pPr>
      <w:r>
        <w:rPr>
          <w:rFonts w:ascii="Times New Roman;serif" w:hAnsi="Times New Roman;serif"/>
          <w:b/>
          <w:color w:val="000000"/>
          <w:sz w:val="20"/>
          <w:u w:val="single"/>
        </w:rPr>
        <w:t>Deferred Compensation Plan</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 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w:t>
      </w:r>
    </w:p>
    <w:p>
      <w:pPr>
        <w:pStyle w:val="TextBody"/>
        <w:bidi w:val="0"/>
        <w:spacing w:before="0" w:after="0"/>
        <w:jc w:val="left"/>
        <w:rPr/>
      </w:pPr>
      <w:r>
        <w:rPr/>
      </w:r>
    </w:p>
    <w:p>
      <w:pPr>
        <w:pStyle w:val="TextBody"/>
        <w:bidi w:val="0"/>
        <w:spacing w:lineRule="auto" w:line="300"/>
        <w:jc w:val="left"/>
        <w:rPr>
          <w:rFonts w:ascii="Times New Roman;serif" w:hAnsi="Times New Roman;serif"/>
          <w:b w:val="false"/>
          <w:color w:val="000000"/>
          <w:sz w:val="20"/>
        </w:rPr>
      </w:pPr>
      <w:r>
        <w:rPr>
          <w:rFonts w:ascii="Times New Roman;serif" w:hAnsi="Times New Roman;serif"/>
          <w:b w:val="false"/>
          <w:color w:val="000000"/>
          <w:sz w:val="20"/>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54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SIGNIFICANT SUBSIDIARIES OF FISERV, INC. </w:t>
      </w:r>
    </w:p>
    <w:p>
      <w:pPr>
        <w:pStyle w:val="TextBody"/>
        <w:bidi w:val="0"/>
        <w:spacing w:before="0" w:after="0"/>
        <w:jc w:val="left"/>
        <w:rPr/>
      </w:pPr>
      <w:r>
        <w:rPr/>
      </w:r>
    </w:p>
    <w:tbl>
      <w:tblPr>
        <w:tblW w:w="6580" w:type="dxa"/>
        <w:jc w:val="center"/>
        <w:tblInd w:w="0" w:type="dxa"/>
        <w:tblLayout w:type="fixed"/>
        <w:tblCellMar>
          <w:top w:w="28" w:type="dxa"/>
          <w:left w:w="28" w:type="dxa"/>
          <w:bottom w:w="28" w:type="dxa"/>
          <w:right w:w="28" w:type="dxa"/>
        </w:tblCellMar>
      </w:tblPr>
      <w:tblGrid>
        <w:gridCol w:w="1369"/>
        <w:gridCol w:w="1201"/>
        <w:gridCol w:w="1209"/>
        <w:gridCol w:w="109"/>
        <w:gridCol w:w="109"/>
        <w:gridCol w:w="109"/>
        <w:gridCol w:w="724"/>
        <w:gridCol w:w="724"/>
        <w:gridCol w:w="1026"/>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under which Subsidiary does Business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CardConnect,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Checkfree Services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Concord EFS,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Data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Data Hydra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Data International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Data Merchant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Data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Funding,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20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Nos. 333-143191, 333-188795, 333-231868, and 333-235769 on Form S-8, No. 333-229689 on Post-Effective Amendment No. 1 on S-8 to S-4, and No. 333-277241 on Form S-3 of our reports dated February 19, 2026, relating to the financial statements of Fiserv, Inc. (the “Company”) and the effectiveness of the Company’s internal control over financial reporting appearing in this Annual Report on Form 10-K of the Company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Milwaukee, Wisconsin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P. Lyons,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Fiserv,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7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94"/>
        <w:gridCol w:w="194"/>
        <w:gridCol w:w="196"/>
        <w:gridCol w:w="589"/>
        <w:gridCol w:w="589"/>
        <w:gridCol w:w="5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Lyons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Lyons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Paul M. Todd,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Fiserv,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6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94"/>
        <w:gridCol w:w="194"/>
        <w:gridCol w:w="196"/>
        <w:gridCol w:w="653"/>
        <w:gridCol w:w="653"/>
        <w:gridCol w:w="6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PURSUANT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Fiserv, Inc. (the “Company”) for the year ended December 31, 2025 as filed with the Securities and Exchange Commission on the date hereof (the “Report”), Michael P. Lyons, as Chief Executive Officer of the Company, and Paul M. Todd, as Chief Financial Officer of the Company, each hereby certify, pursuant to 18 U.S.C. § 1350, as adopted pursuant to §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995"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 w:name="Courier New">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8354/000119312518061085/d640937dex32.htm" TargetMode="External"/><Relationship Id="rId4" Type="http://schemas.openxmlformats.org/officeDocument/2006/relationships/hyperlink" Target="https://www.sec.gov/Archives/edgar/data/798354/000119312522290040/d606620dex31.htm" TargetMode="External"/><Relationship Id="rId5" Type="http://schemas.openxmlformats.org/officeDocument/2006/relationships/hyperlink" Target="https://www.sec.gov/Archives/edgar/data/798354/000119312507244247/dex48.htm" TargetMode="External"/><Relationship Id="rId6" Type="http://schemas.openxmlformats.org/officeDocument/2006/relationships/hyperlink" Target="https://www.sec.gov/Archives/edgar/data/798354/000119312518282141/d628443dex42.htm" TargetMode="External"/><Relationship Id="rId7" Type="http://schemas.openxmlformats.org/officeDocument/2006/relationships/hyperlink" Target="https://www.sec.gov/Archives/edgar/data/798354/000119312518282141/d628443dex42.htm" TargetMode="External"/><Relationship Id="rId8" Type="http://schemas.openxmlformats.org/officeDocument/2006/relationships/hyperlink" Target="https://www.sec.gov/Archives/edgar/data/798354/000119312518282141/d628443dex42.htm" TargetMode="External"/><Relationship Id="rId9" Type="http://schemas.openxmlformats.org/officeDocument/2006/relationships/hyperlink" Target="https://www.sec.gov/Archives/edgar/data/798354/000119312519179870/d760882dex42.htm" TargetMode="External"/><Relationship Id="rId10" Type="http://schemas.openxmlformats.org/officeDocument/2006/relationships/hyperlink" Target="https://www.sec.gov/Archives/edgar/data/798354/000119312519179870/d760882dex42.htm" TargetMode="External"/><Relationship Id="rId11" Type="http://schemas.openxmlformats.org/officeDocument/2006/relationships/hyperlink" Target="https://www.sec.gov/Archives/edgar/data/798354/000119312519179870/d760882dex42.htm" TargetMode="External"/><Relationship Id="rId12" Type="http://schemas.openxmlformats.org/officeDocument/2006/relationships/hyperlink" Target="https://www.sec.gov/Archives/edgar/data/798354/000119312519179870/d760882dex43.htm" TargetMode="External"/><Relationship Id="rId13" Type="http://schemas.openxmlformats.org/officeDocument/2006/relationships/hyperlink" Target="https://www.sec.gov/Archives/edgar/data/798354/000119312519179870/d760882dex43.htm" TargetMode="External"/><Relationship Id="rId14" Type="http://schemas.openxmlformats.org/officeDocument/2006/relationships/hyperlink" Target="https://www.sec.gov/Archives/edgar/data/798354/000119312519179870/d760882dex43.htm" TargetMode="External"/><Relationship Id="rId15" Type="http://schemas.openxmlformats.org/officeDocument/2006/relationships/hyperlink" Target="https://www.sec.gov/Archives/edgar/data/798354/000119312519179870/d760882dex44.htm" TargetMode="External"/><Relationship Id="rId16" Type="http://schemas.openxmlformats.org/officeDocument/2006/relationships/hyperlink" Target="https://www.sec.gov/Archives/edgar/data/798354/000119312519179870/d760882dex44.htm" TargetMode="External"/><Relationship Id="rId17" Type="http://schemas.openxmlformats.org/officeDocument/2006/relationships/hyperlink" Target="https://www.sec.gov/Archives/edgar/data/798354/000119312519179870/d760882dex44.htm" TargetMode="External"/><Relationship Id="rId18" Type="http://schemas.openxmlformats.org/officeDocument/2006/relationships/hyperlink" Target="https://www.sec.gov/Archives/edgar/data/798354/000119312519186646/d15278dex42.htm" TargetMode="External"/><Relationship Id="rId19" Type="http://schemas.openxmlformats.org/officeDocument/2006/relationships/hyperlink" Target="https://www.sec.gov/Archives/edgar/data/798354/000119312519186646/d15278dex42.htm" TargetMode="External"/><Relationship Id="rId20" Type="http://schemas.openxmlformats.org/officeDocument/2006/relationships/hyperlink" Target="https://www.sec.gov/Archives/edgar/data/798354/000119312519186646/d15278dex42.htm" TargetMode="External"/><Relationship Id="rId21" Type="http://schemas.openxmlformats.org/officeDocument/2006/relationships/hyperlink" Target="https://www.sec.gov/Archives/edgar/data/798354/000119312519186646/d15278dex43.htm" TargetMode="External"/><Relationship Id="rId22" Type="http://schemas.openxmlformats.org/officeDocument/2006/relationships/hyperlink" Target="https://www.sec.gov/Archives/edgar/data/798354/000119312519186646/d15278dex43.htm" TargetMode="External"/><Relationship Id="rId23" Type="http://schemas.openxmlformats.org/officeDocument/2006/relationships/hyperlink" Target="https://www.sec.gov/Archives/edgar/data/798354/000119312519186646/d15278dex43.htm" TargetMode="External"/><Relationship Id="rId24" Type="http://schemas.openxmlformats.org/officeDocument/2006/relationships/hyperlink" Target="https://www.sec.gov/Archives/edgar/data/798354/000119312519186646/d15278dex45.htm" TargetMode="External"/><Relationship Id="rId25" Type="http://schemas.openxmlformats.org/officeDocument/2006/relationships/hyperlink" Target="https://www.sec.gov/Archives/edgar/data/798354/000119312519186646/d15278dex45.htm" TargetMode="External"/><Relationship Id="rId26" Type="http://schemas.openxmlformats.org/officeDocument/2006/relationships/hyperlink" Target="https://www.sec.gov/Archives/edgar/data/798354/000119312519186646/d15278dex45.htm" TargetMode="External"/><Relationship Id="rId27" Type="http://schemas.openxmlformats.org/officeDocument/2006/relationships/hyperlink" Target="https://www.sec.gov/Archives/edgar/data/0000798354/000119312520141688/d930141dex41.htm" TargetMode="External"/><Relationship Id="rId28" Type="http://schemas.openxmlformats.org/officeDocument/2006/relationships/hyperlink" Target="https://www.sec.gov/Archives/edgar/data/0000798354/000119312520141688/d930141dex41.htm" TargetMode="External"/><Relationship Id="rId29" Type="http://schemas.openxmlformats.org/officeDocument/2006/relationships/hyperlink" Target="https://www.sec.gov/Archives/edgar/data/0000798354/000119312520141688/d930141dex41.htm" TargetMode="External"/><Relationship Id="rId30" Type="http://schemas.openxmlformats.org/officeDocument/2006/relationships/hyperlink" Target="https://www.sec.gov/Archives/edgar/data/0000798354/000119312520141688/d930141dex42.htm" TargetMode="External"/><Relationship Id="rId31" Type="http://schemas.openxmlformats.org/officeDocument/2006/relationships/hyperlink" Target="https://www.sec.gov/Archives/edgar/data/0000798354/000119312520141688/d930141dex42.htm" TargetMode="External"/><Relationship Id="rId32" Type="http://schemas.openxmlformats.org/officeDocument/2006/relationships/hyperlink" Target="https://www.sec.gov/Archives/edgar/data/0000798354/000119312520141688/d930141dex42.htm" TargetMode="External"/><Relationship Id="rId33" Type="http://schemas.openxmlformats.org/officeDocument/2006/relationships/hyperlink" Target="https://www.sec.gov/Archives/edgar/data/798354/000119312523058245/d450329dex41.htm" TargetMode="External"/><Relationship Id="rId34" Type="http://schemas.openxmlformats.org/officeDocument/2006/relationships/hyperlink" Target="https://www.sec.gov/Archives/edgar/data/798354/000119312523058245/d450329dex41.htm" TargetMode="External"/><Relationship Id="rId35" Type="http://schemas.openxmlformats.org/officeDocument/2006/relationships/hyperlink" Target="https://www.sec.gov/Archives/edgar/data/798354/000119312523058245/d450329dex41.htm" TargetMode="External"/><Relationship Id="rId36" Type="http://schemas.openxmlformats.org/officeDocument/2006/relationships/hyperlink" Target="https://www.sec.gov/Archives/edgar/data/798354/000119312523058245/d450329dex42.htm" TargetMode="External"/><Relationship Id="rId37" Type="http://schemas.openxmlformats.org/officeDocument/2006/relationships/hyperlink" Target="https://www.sec.gov/Archives/edgar/data/798354/000119312523058245/d450329dex42.htm" TargetMode="External"/><Relationship Id="rId38" Type="http://schemas.openxmlformats.org/officeDocument/2006/relationships/hyperlink" Target="https://www.sec.gov/Archives/edgar/data/798354/000119312523058245/d450329dex42.htm" TargetMode="External"/><Relationship Id="rId39" Type="http://schemas.openxmlformats.org/officeDocument/2006/relationships/hyperlink" Target="https://www.sec.gov/Archives/edgar/data/798354/000119312523153026/d504361dex41.htm" TargetMode="External"/><Relationship Id="rId40" Type="http://schemas.openxmlformats.org/officeDocument/2006/relationships/hyperlink" Target="https://www.sec.gov/Archives/edgar/data/798354/000119312523153026/d504361dex41.htm" TargetMode="External"/><Relationship Id="rId41" Type="http://schemas.openxmlformats.org/officeDocument/2006/relationships/hyperlink" Target="https://www.sec.gov/Archives/edgar/data/798354/000119312523153026/d504361dex41.htm" TargetMode="External"/><Relationship Id="rId42" Type="http://schemas.openxmlformats.org/officeDocument/2006/relationships/hyperlink" Target="https://www.sec.gov/Archives/edgar/data/798354/000119312523153026/d504361dex41.htm" TargetMode="External"/><Relationship Id="rId43" Type="http://schemas.openxmlformats.org/officeDocument/2006/relationships/hyperlink" Target="https://www.sec.gov/Archives/edgar/data/798354/000119312523217069/d521991dex41.htm" TargetMode="External"/><Relationship Id="rId44" Type="http://schemas.openxmlformats.org/officeDocument/2006/relationships/hyperlink" Target="https://www.sec.gov/Archives/edgar/data/798354/000119312523217069/d521991dex41.htm" TargetMode="External"/><Relationship Id="rId45" Type="http://schemas.openxmlformats.org/officeDocument/2006/relationships/hyperlink" Target="https://www.sec.gov/Archives/edgar/data/798354/000119312523217069/d521991dex41.htm" TargetMode="External"/><Relationship Id="rId46" Type="http://schemas.openxmlformats.org/officeDocument/2006/relationships/hyperlink" Target="https://www.sec.gov/Archives/edgar/data/798354/000119312523217069/d521991dex41.htm" TargetMode="External"/><Relationship Id="rId47" Type="http://schemas.openxmlformats.org/officeDocument/2006/relationships/hyperlink" Target="https://www.sec.gov/Archives/edgar/data/798354/000119312523217069/d521991dex42.htm" TargetMode="External"/><Relationship Id="rId48" Type="http://schemas.openxmlformats.org/officeDocument/2006/relationships/hyperlink" Target="https://www.sec.gov/Archives/edgar/data/798354/000119312523217069/d521991dex42.htm" TargetMode="External"/><Relationship Id="rId49" Type="http://schemas.openxmlformats.org/officeDocument/2006/relationships/hyperlink" Target="https://www.sec.gov/Archives/edgar/data/798354/000119312523217069/d521991dex42.htm" TargetMode="External"/><Relationship Id="rId50" Type="http://schemas.openxmlformats.org/officeDocument/2006/relationships/hyperlink" Target="https://www.sec.gov/Archives/edgar/data/798354/000119312524058013/d20683dex41.htm" TargetMode="External"/><Relationship Id="rId51" Type="http://schemas.openxmlformats.org/officeDocument/2006/relationships/hyperlink" Target="https://www.sec.gov/Archives/edgar/data/798354/000119312524058013/d20683dex41.htm" TargetMode="External"/><Relationship Id="rId52" Type="http://schemas.openxmlformats.org/officeDocument/2006/relationships/hyperlink" Target="https://www.sec.gov/Archives/edgar/data/798354/000119312524058013/d20683dex41.htm" TargetMode="External"/><Relationship Id="rId53" Type="http://schemas.openxmlformats.org/officeDocument/2006/relationships/hyperlink" Target="https://www.sec.gov/Archives/edgar/data/798354/000119312524058013/d20683dex42.htm" TargetMode="External"/><Relationship Id="rId54" Type="http://schemas.openxmlformats.org/officeDocument/2006/relationships/hyperlink" Target="https://www.sec.gov/Archives/edgar/data/798354/000119312524058013/d20683dex42.htm" TargetMode="External"/><Relationship Id="rId55" Type="http://schemas.openxmlformats.org/officeDocument/2006/relationships/hyperlink" Target="https://www.sec.gov/Archives/edgar/data/798354/000119312524058013/d20683dex42.htm" TargetMode="External"/><Relationship Id="rId56" Type="http://schemas.openxmlformats.org/officeDocument/2006/relationships/hyperlink" Target="https://www.sec.gov/Archives/edgar/data/798354/000119312524058013/d20683dex43.htm" TargetMode="External"/><Relationship Id="rId57" Type="http://schemas.openxmlformats.org/officeDocument/2006/relationships/hyperlink" Target="https://www.sec.gov/Archives/edgar/data/798354/000119312524058013/d20683dex43.htm" TargetMode="External"/><Relationship Id="rId58" Type="http://schemas.openxmlformats.org/officeDocument/2006/relationships/hyperlink" Target="https://www.sec.gov/Archives/edgar/data/798354/000119312524058013/d20683dex43.htm" TargetMode="External"/><Relationship Id="rId59" Type="http://schemas.openxmlformats.org/officeDocument/2006/relationships/hyperlink" Target="https://www.sec.gov/Archives/edgar/data/798354/000119312524198881/d811685dex41.htm" TargetMode="External"/><Relationship Id="rId60" Type="http://schemas.openxmlformats.org/officeDocument/2006/relationships/hyperlink" Target="https://www.sec.gov/Archives/edgar/data/798354/000119312524198881/d811685dex41.htm" TargetMode="External"/><Relationship Id="rId61" Type="http://schemas.openxmlformats.org/officeDocument/2006/relationships/hyperlink" Target="https://www.sec.gov/Archives/edgar/data/798354/000119312524198881/d811685dex41.htm" TargetMode="External"/><Relationship Id="rId62" Type="http://schemas.openxmlformats.org/officeDocument/2006/relationships/hyperlink" Target="https://www.sec.gov/Archives/edgar/data/798354/000119312524198881/d811685dex42.htm" TargetMode="External"/><Relationship Id="rId63" Type="http://schemas.openxmlformats.org/officeDocument/2006/relationships/hyperlink" Target="https://www.sec.gov/Archives/edgar/data/798354/000119312524198881/d811685dex42.htm" TargetMode="External"/><Relationship Id="rId64" Type="http://schemas.openxmlformats.org/officeDocument/2006/relationships/hyperlink" Target="https://www.sec.gov/Archives/edgar/data/798354/000119312524198881/d811685dex42.htm" TargetMode="External"/><Relationship Id="rId65" Type="http://schemas.openxmlformats.org/officeDocument/2006/relationships/hyperlink" Target="https://www.sec.gov/Archives/edgar/data/798354/000119312525177920/d14327dex41.htm" TargetMode="External"/><Relationship Id="rId66" Type="http://schemas.openxmlformats.org/officeDocument/2006/relationships/hyperlink" Target="https://www.sec.gov/Archives/edgar/data/798354/000119312525177920/d14327dex42.htm" TargetMode="External"/><Relationship Id="rId67" Type="http://schemas.openxmlformats.org/officeDocument/2006/relationships/hyperlink" Target="https://www.sec.gov/Archives/edgar/data/798354/000119312525093731/d883594dex44.htm" TargetMode="External"/><Relationship Id="rId68" Type="http://schemas.openxmlformats.org/officeDocument/2006/relationships/hyperlink" Target="https://www.sec.gov/Archives/edgar/data/798354/000119312525115067/d25412dex41.htm" TargetMode="External"/><Relationship Id="rId69" Type="http://schemas.openxmlformats.org/officeDocument/2006/relationships/hyperlink" Target="https://www.sec.gov/Archives/edgar/data/798354/000119312525115067/d25412dex42.htm" TargetMode="External"/><Relationship Id="rId70" Type="http://schemas.openxmlformats.org/officeDocument/2006/relationships/hyperlink" Target="https://www.sec.gov/Archives/edgar/data/798354/000119312525115067/d25412dex43.htm" TargetMode="External"/><Relationship Id="rId71" Type="http://schemas.openxmlformats.org/officeDocument/2006/relationships/hyperlink" Target="https://www.sec.gov/Archives/edgar/data/798354/000119312519186646/d15278dex46.htm" TargetMode="External"/><Relationship Id="rId72" Type="http://schemas.openxmlformats.org/officeDocument/2006/relationships/hyperlink" Target="https://www.sec.gov/Archives/edgar/data/798354/000119312519186646/d15278dex46.htm" TargetMode="External"/><Relationship Id="rId73" Type="http://schemas.openxmlformats.org/officeDocument/2006/relationships/hyperlink" Target="https://www.sec.gov/Archives/edgar/data/798354/000119312519186646/d15278dex46.htm" TargetMode="External"/><Relationship Id="rId74" Type="http://schemas.openxmlformats.org/officeDocument/2006/relationships/hyperlink" Target="https://www.sec.gov/Archives/edgar/data/798354/000119312523153026/d504361dex42.htm" TargetMode="External"/><Relationship Id="rId75" Type="http://schemas.openxmlformats.org/officeDocument/2006/relationships/hyperlink" Target="https://www.sec.gov/Archives/edgar/data/798354/000119312523153026/d504361dex42.htm" TargetMode="External"/><Relationship Id="rId76" Type="http://schemas.openxmlformats.org/officeDocument/2006/relationships/hyperlink" Target="https://www.sec.gov/Archives/edgar/data/798354/000119312523153026/d504361dex42.htm" TargetMode="External"/><Relationship Id="rId77" Type="http://schemas.openxmlformats.org/officeDocument/2006/relationships/hyperlink" Target="https://www.sec.gov/Archives/edgar/data/798354/000119312525115067/d25412dex44.htm" TargetMode="External"/><Relationship Id="rId78" Type="http://schemas.openxmlformats.org/officeDocument/2006/relationships/hyperlink" Target="https://www.sec.gov/Archives/edgar/data/798354/000079835418000009/ex10103312018.htm" TargetMode="External"/><Relationship Id="rId79" Type="http://schemas.openxmlformats.org/officeDocument/2006/relationships/hyperlink" Target="https://www.sec.gov/Archives/edgar/data/798354/000079835418000009/ex10103312018.htm" TargetMode="External"/><Relationship Id="rId80" Type="http://schemas.openxmlformats.org/officeDocument/2006/relationships/hyperlink" Target="https://www.sec.gov/Archives/edgar/data/798354/000079835418000009/ex10103312018.htm" TargetMode="External"/><Relationship Id="rId81" Type="http://schemas.openxmlformats.org/officeDocument/2006/relationships/hyperlink" Target="https://www.sec.gov/Archives/edgar/data/798354/000079835425000047/ex103formofrsuagreementemp.htm" TargetMode="External"/><Relationship Id="rId82" Type="http://schemas.openxmlformats.org/officeDocument/2006/relationships/hyperlink" Target="https://www.sec.gov/Archives/edgar/data/798354/000079835425000047/ex103formofrsuagreementemp.htm" TargetMode="External"/><Relationship Id="rId83" Type="http://schemas.openxmlformats.org/officeDocument/2006/relationships/hyperlink" Target="https://www.sec.gov/Archives/edgar/data/798354/000079835425000047/ex103formofrsuagreementemp.htm" TargetMode="External"/><Relationship Id="rId84" Type="http://schemas.openxmlformats.org/officeDocument/2006/relationships/hyperlink" Target="https://www.sec.gov/Archives/edgar/data/798354/000079835425000047/ex103formofrsuagreementemp.htm" TargetMode="External"/><Relationship Id="rId85" Type="http://schemas.openxmlformats.org/officeDocument/2006/relationships/hyperlink" Target="https://www.sec.gov/Archives/edgar/data/798354/000079835425000047/ex103formofrsuagreementemp.htm" TargetMode="External"/><Relationship Id="rId86" Type="http://schemas.openxmlformats.org/officeDocument/2006/relationships/hyperlink" Target="https://www.sec.gov/Archives/edgar/data/798354/000079835425000047/ex104formofrsuagreementemp.htm" TargetMode="External"/><Relationship Id="rId87" Type="http://schemas.openxmlformats.org/officeDocument/2006/relationships/hyperlink" Target="https://www.sec.gov/Archives/edgar/data/798354/000079835425000047/ex104formofrsuagreementemp.htm" TargetMode="External"/><Relationship Id="rId88" Type="http://schemas.openxmlformats.org/officeDocument/2006/relationships/hyperlink" Target="https://www.sec.gov/Archives/edgar/data/798354/000079835425000047/ex104formofrsuagreementemp.htm" TargetMode="External"/><Relationship Id="rId89" Type="http://schemas.openxmlformats.org/officeDocument/2006/relationships/hyperlink" Target="https://www.sec.gov/Archives/edgar/data/798354/000079835425000047/ex104formofrsuagreementemp.htm" TargetMode="External"/><Relationship Id="rId90" Type="http://schemas.openxmlformats.org/officeDocument/2006/relationships/hyperlink" Target="https://www.sec.gov/Archives/edgar/data/798354/000079835425000047/ex104formofrsuagreementemp.htm" TargetMode="External"/><Relationship Id="rId91" Type="http://schemas.openxmlformats.org/officeDocument/2006/relationships/hyperlink" Target="https://www.sec.gov/Archives/edgar/data/798354/000079835425000047/ex104formofrsuagreementemp.htm" TargetMode="External"/><Relationship Id="rId92" Type="http://schemas.openxmlformats.org/officeDocument/2006/relationships/hyperlink" Target="https://www.sec.gov/Archives/edgar/data/798354/000119312512077375/d271809dex1013.htm" TargetMode="External"/><Relationship Id="rId93" Type="http://schemas.openxmlformats.org/officeDocument/2006/relationships/hyperlink" Target="https://www.sec.gov/Archives/edgar/data/798354/000119312512077375/d271809dex1013.htm" TargetMode="External"/><Relationship Id="rId94" Type="http://schemas.openxmlformats.org/officeDocument/2006/relationships/hyperlink" Target="https://www.sec.gov/Archives/edgar/data/798354/000119312512077375/d271809dex1013.htm" TargetMode="External"/><Relationship Id="rId95" Type="http://schemas.openxmlformats.org/officeDocument/2006/relationships/hyperlink" Target="https://www.sec.gov/Archives/edgar/data/798354/000119312512077375/d271809dex1013.htm" TargetMode="External"/><Relationship Id="rId96" Type="http://schemas.openxmlformats.org/officeDocument/2006/relationships/hyperlink" Target="https://www.sec.gov/Archives/edgar/data/798354/000079835417000019/ex10106302017.htm" TargetMode="External"/><Relationship Id="rId97" Type="http://schemas.openxmlformats.org/officeDocument/2006/relationships/hyperlink" Target="https://www.sec.gov/Archives/edgar/data/798354/000079835417000019/ex10106302017.htm" TargetMode="External"/><Relationship Id="rId98" Type="http://schemas.openxmlformats.org/officeDocument/2006/relationships/hyperlink" Target="https://www.sec.gov/Archives/edgar/data/798354/000079835417000019/ex10106302017.htm" TargetMode="External"/><Relationship Id="rId99" Type="http://schemas.openxmlformats.org/officeDocument/2006/relationships/hyperlink" Target="https://www.sec.gov/Archives/edgar/data/798354/000079835417000019/ex10106302017.htm" TargetMode="External"/><Relationship Id="rId100" Type="http://schemas.openxmlformats.org/officeDocument/2006/relationships/hyperlink" Target="https://www.sec.gov/Archives/edgar/data/798354/000079835417000019/ex10106302017.htm" TargetMode="External"/><Relationship Id="rId101" Type="http://schemas.openxmlformats.org/officeDocument/2006/relationships/hyperlink" Target="https://www.sec.gov/Archives/edgar/data/798354/000079835417000019/ex10206302017.htm" TargetMode="External"/><Relationship Id="rId102" Type="http://schemas.openxmlformats.org/officeDocument/2006/relationships/hyperlink" Target="https://www.sec.gov/Archives/edgar/data/798354/000079835417000019/ex10206302017.htm" TargetMode="External"/><Relationship Id="rId103" Type="http://schemas.openxmlformats.org/officeDocument/2006/relationships/hyperlink" Target="https://www.sec.gov/Archives/edgar/data/798354/000079835417000019/ex10206302017.htm" TargetMode="External"/><Relationship Id="rId104" Type="http://schemas.openxmlformats.org/officeDocument/2006/relationships/hyperlink" Target="https://www.sec.gov/Archives/edgar/data/798354/000079835417000019/ex10206302017.htm" TargetMode="External"/><Relationship Id="rId105" Type="http://schemas.openxmlformats.org/officeDocument/2006/relationships/hyperlink" Target="https://www.sec.gov/Archives/edgar/data/798354/000119312517358902/d475289dex103.htm" TargetMode="External"/><Relationship Id="rId106" Type="http://schemas.openxmlformats.org/officeDocument/2006/relationships/hyperlink" Target="https://www.sec.gov/Archives/edgar/data/798354/000119312517358902/d475289dex103.htm" TargetMode="External"/><Relationship Id="rId107" Type="http://schemas.openxmlformats.org/officeDocument/2006/relationships/hyperlink" Target="https://www.sec.gov/Archives/edgar/data/798354/000119312517358902/d475289dex103.htm" TargetMode="External"/><Relationship Id="rId108" Type="http://schemas.openxmlformats.org/officeDocument/2006/relationships/hyperlink" Target="https://www.sec.gov/Archives/edgar/data/798354/000119312517358902/d475289dex103.htm" TargetMode="External"/><Relationship Id="rId109" Type="http://schemas.openxmlformats.org/officeDocument/2006/relationships/hyperlink" Target="https://www.sec.gov/Archives/edgar/data/798354/000119312517358902/d475289dex103.htm" TargetMode="External"/><Relationship Id="rId110" Type="http://schemas.openxmlformats.org/officeDocument/2006/relationships/hyperlink" Target="https://www.sec.gov/Archives/edgar/data/798354/000079835417000006/ex10812312016.htm" TargetMode="External"/><Relationship Id="rId111" Type="http://schemas.openxmlformats.org/officeDocument/2006/relationships/hyperlink" Target="https://www.sec.gov/Archives/edgar/data/798354/000079835417000006/ex10812312016.htm" TargetMode="External"/><Relationship Id="rId112" Type="http://schemas.openxmlformats.org/officeDocument/2006/relationships/hyperlink" Target="https://www.sec.gov/Archives/edgar/data/798354/000079835417000006/ex10812312016.htm" TargetMode="External"/><Relationship Id="rId113" Type="http://schemas.openxmlformats.org/officeDocument/2006/relationships/hyperlink" Target="https://www.sec.gov/Archives/edgar/data/798354/000079835417000006/ex10812312016.htm" TargetMode="External"/><Relationship Id="rId114" Type="http://schemas.openxmlformats.org/officeDocument/2006/relationships/hyperlink" Target="https://www.sec.gov/Archives/edgar/data/798354/000079835417000006/ex101012312016.htm" TargetMode="External"/><Relationship Id="rId115" Type="http://schemas.openxmlformats.org/officeDocument/2006/relationships/hyperlink" Target="https://www.sec.gov/Archives/edgar/data/798354/000079835417000006/ex101012312016.htm" TargetMode="External"/><Relationship Id="rId116" Type="http://schemas.openxmlformats.org/officeDocument/2006/relationships/hyperlink" Target="https://www.sec.gov/Archives/edgar/data/798354/000079835417000006/ex101012312016.htm" TargetMode="External"/><Relationship Id="rId117" Type="http://schemas.openxmlformats.org/officeDocument/2006/relationships/hyperlink" Target="https://www.sec.gov/Archives/edgar/data/798354/000079835417000006/ex101012312016.htm" TargetMode="External"/><Relationship Id="rId118" Type="http://schemas.openxmlformats.org/officeDocument/2006/relationships/hyperlink" Target="https://www.sec.gov/Archives/edgar/data/798354/000079835423000004/ex1014optionagreementsenio.htm" TargetMode="External"/><Relationship Id="rId119" Type="http://schemas.openxmlformats.org/officeDocument/2006/relationships/hyperlink" Target="https://www.sec.gov/Archives/edgar/data/798354/000079835423000004/ex1014optionagreementsenio.htm" TargetMode="External"/><Relationship Id="rId120" Type="http://schemas.openxmlformats.org/officeDocument/2006/relationships/hyperlink" Target="https://www.sec.gov/Archives/edgar/data/798354/000079835423000004/ex1014optionagreementsenio.htm" TargetMode="External"/><Relationship Id="rId121" Type="http://schemas.openxmlformats.org/officeDocument/2006/relationships/hyperlink" Target="https://www.sec.gov/Archives/edgar/data/798354/000079835423000004/ex1014optionagreementsenio.htm" TargetMode="External"/><Relationship Id="rId122" Type="http://schemas.openxmlformats.org/officeDocument/2006/relationships/hyperlink" Target="https://www.sec.gov/Archives/edgar/data/798354/000079835423000004/ex1015optionagreementstand.htm" TargetMode="External"/><Relationship Id="rId123" Type="http://schemas.openxmlformats.org/officeDocument/2006/relationships/hyperlink" Target="https://www.sec.gov/Archives/edgar/data/798354/000079835423000004/ex1015optionagreementstand.htm" TargetMode="External"/><Relationship Id="rId124" Type="http://schemas.openxmlformats.org/officeDocument/2006/relationships/hyperlink" Target="https://www.sec.gov/Archives/edgar/data/798354/000079835423000004/ex1015optionagreementstand.htm" TargetMode="External"/><Relationship Id="rId125" Type="http://schemas.openxmlformats.org/officeDocument/2006/relationships/hyperlink" Target="https://www.sec.gov/Archives/edgar/data/798354/000079835423000004/ex1015optionagreementstand.htm" TargetMode="External"/><Relationship Id="rId126" Type="http://schemas.openxmlformats.org/officeDocument/2006/relationships/hyperlink" Target="https://www.sec.gov/Archives/edgar/data/798354/000079835425000047/ex1015formofpsuagreementem.htm" TargetMode="External"/><Relationship Id="rId127" Type="http://schemas.openxmlformats.org/officeDocument/2006/relationships/hyperlink" Target="https://www.sec.gov/Archives/edgar/data/798354/000079835425000047/ex1015formofpsuagreementem.htm" TargetMode="External"/><Relationship Id="rId128" Type="http://schemas.openxmlformats.org/officeDocument/2006/relationships/hyperlink" Target="https://www.sec.gov/Archives/edgar/data/798354/000079835425000047/ex1015formofpsuagreementem.htm" TargetMode="External"/><Relationship Id="rId129" Type="http://schemas.openxmlformats.org/officeDocument/2006/relationships/hyperlink" Target="https://www.sec.gov/Archives/edgar/data/798354/000119312519205649/d769818dex992.htm" TargetMode="External"/><Relationship Id="rId130" Type="http://schemas.openxmlformats.org/officeDocument/2006/relationships/hyperlink" Target="https://www.sec.gov/Archives/edgar/data/798354/000119312519205649/d769818dex992.htm" TargetMode="External"/><Relationship Id="rId131" Type="http://schemas.openxmlformats.org/officeDocument/2006/relationships/hyperlink" Target="https://www.sec.gov/Archives/edgar/data/798354/000119312519205649/d769818dex992.htm" TargetMode="External"/><Relationship Id="rId132" Type="http://schemas.openxmlformats.org/officeDocument/2006/relationships/hyperlink" Target="https://www.sec.gov/Archives/edgar/data/798354/000119312519205649/d769818dex992.htm" TargetMode="External"/><Relationship Id="rId133" Type="http://schemas.openxmlformats.org/officeDocument/2006/relationships/hyperlink" Target="https://www.sec.gov/Archives/edgar/data/798354/000079835419000025/ex10709302019.htm" TargetMode="External"/><Relationship Id="rId134" Type="http://schemas.openxmlformats.org/officeDocument/2006/relationships/hyperlink" Target="https://www.sec.gov/Archives/edgar/data/798354/000079835419000025/ex10709302019.htm" TargetMode="External"/><Relationship Id="rId135" Type="http://schemas.openxmlformats.org/officeDocument/2006/relationships/hyperlink" Target="https://www.sec.gov/Archives/edgar/data/798354/000079835419000025/ex10709302019.htm" TargetMode="External"/><Relationship Id="rId136" Type="http://schemas.openxmlformats.org/officeDocument/2006/relationships/hyperlink" Target="https://www.sec.gov/Archives/edgar/data/798354/000079835419000025/ex10709302019.htm" TargetMode="External"/><Relationship Id="rId137" Type="http://schemas.openxmlformats.org/officeDocument/2006/relationships/hyperlink" Target="https://www.sec.gov/Archives/edgar/data/798354/000079835419000025/ex10709302019.htm" TargetMode="External"/><Relationship Id="rId138" Type="http://schemas.openxmlformats.org/officeDocument/2006/relationships/hyperlink" Target="https://www.sec.gov/Archives/edgar/data/0000798354/000119312521244723/d115852dex101.htm" TargetMode="External"/><Relationship Id="rId139" Type="http://schemas.openxmlformats.org/officeDocument/2006/relationships/hyperlink" Target="https://www.sec.gov/Archives/edgar/data/0000798354/000119312521244723/d115852dex101.htm" TargetMode="External"/><Relationship Id="rId140" Type="http://schemas.openxmlformats.org/officeDocument/2006/relationships/hyperlink" Target="https://www.sec.gov/Archives/edgar/data/0000798354/000119312521244723/d115852dex101.htm" TargetMode="External"/><Relationship Id="rId141" Type="http://schemas.openxmlformats.org/officeDocument/2006/relationships/hyperlink" Target="https://www.sec.gov/Archives/edgar/data/0000798354/000119312521244723/d115852dex101.htm" TargetMode="External"/><Relationship Id="rId142" Type="http://schemas.openxmlformats.org/officeDocument/2006/relationships/hyperlink" Target="https://www.sec.gov/Archives/edgar/data/798354/000119312522290040/d606620dex101.htm" TargetMode="External"/><Relationship Id="rId143" Type="http://schemas.openxmlformats.org/officeDocument/2006/relationships/hyperlink" Target="https://www.sec.gov/Archives/edgar/data/798354/000119312522310467/d421577dex101.htm" TargetMode="External"/><Relationship Id="rId144" Type="http://schemas.openxmlformats.org/officeDocument/2006/relationships/hyperlink" Target="https://www.sec.gov/Archives/edgar/data/798354/000119312522310467/d421577dex101.htm" TargetMode="External"/><Relationship Id="rId145" Type="http://schemas.openxmlformats.org/officeDocument/2006/relationships/hyperlink" Target="https://www.sec.gov/Archives/edgar/data/798354/000119312522310467/d421577dex101.htm" TargetMode="External"/><Relationship Id="rId146" Type="http://schemas.openxmlformats.org/officeDocument/2006/relationships/hyperlink" Target="https://www.sec.gov/Archives/edgar/data/798354/000119312525011514/d878275dex101.htm" TargetMode="External"/><Relationship Id="rId147" Type="http://schemas.openxmlformats.org/officeDocument/2006/relationships/hyperlink" Target="https://www.sec.gov/Archives/edgar/data/798354/000119312525011514/d878275dex101.htm" TargetMode="External"/><Relationship Id="rId148" Type="http://schemas.openxmlformats.org/officeDocument/2006/relationships/hyperlink" Target="https://www.sec.gov/Archives/edgar/data/798354/000119312525011514/d878275dex101.htm" TargetMode="External"/><Relationship Id="rId149" Type="http://schemas.openxmlformats.org/officeDocument/2006/relationships/hyperlink" Target="https://www.sec.gov/Archives/edgar/data/0000798354/000119312525254670/d17957dex101.htm" TargetMode="External"/><Relationship Id="rId150" Type="http://schemas.openxmlformats.org/officeDocument/2006/relationships/hyperlink" Target="https://www.sec.gov/Archives/edgar/data/798354/000119312525254670/d17957dex102.htm" TargetMode="External"/><Relationship Id="rId151" Type="http://schemas.openxmlformats.org/officeDocument/2006/relationships/hyperlink" Target="https://www.sec.gov/Archives/edgar/data/0000798354/000079835420000006/ex105112312019.htm" TargetMode="External"/><Relationship Id="rId152" Type="http://schemas.openxmlformats.org/officeDocument/2006/relationships/hyperlink" Target="https://www.sec.gov/Archives/edgar/data/0000798354/000079835420000006/ex105112312019.htm" TargetMode="External"/><Relationship Id="rId153" Type="http://schemas.openxmlformats.org/officeDocument/2006/relationships/hyperlink" Target="https://www.sec.gov/Archives/edgar/data/798354/000119312508041891/dex1037.htm" TargetMode="External"/><Relationship Id="rId154" Type="http://schemas.openxmlformats.org/officeDocument/2006/relationships/hyperlink" Target="https://www.sec.gov/Archives/edgar/data/798354/000119312508041891/dex1037.htm" TargetMode="External"/><Relationship Id="rId155" Type="http://schemas.openxmlformats.org/officeDocument/2006/relationships/hyperlink" Target="https://www.sec.gov/Archives/edgar/data/798354/000119312508041891/dex1037.htm" TargetMode="External"/><Relationship Id="rId156" Type="http://schemas.openxmlformats.org/officeDocument/2006/relationships/hyperlink" Target="https://www.sec.gov/Archives/edgar/data/798354/000119312517358902/d475289dex102.htm" TargetMode="External"/><Relationship Id="rId157" Type="http://schemas.openxmlformats.org/officeDocument/2006/relationships/hyperlink" Target="https://www.sec.gov/Archives/edgar/data/798354/000119312517358902/d475289dex102.htm" TargetMode="External"/><Relationship Id="rId158" Type="http://schemas.openxmlformats.org/officeDocument/2006/relationships/hyperlink" Target="https://www.sec.gov/Archives/edgar/data/798354/000119312517358902/d475289dex102.htm" TargetMode="External"/><Relationship Id="rId159" Type="http://schemas.openxmlformats.org/officeDocument/2006/relationships/hyperlink" Target="https://www.sec.gov/Archives/edgar/data/798354/000119312525179106/d12309dex41.htm" TargetMode="External"/><Relationship Id="rId160" Type="http://schemas.openxmlformats.org/officeDocument/2006/relationships/hyperlink" Target="https://www.sec.gov/Archives/edgar/data/798354/000119312525179106/d12309dex41.htm" TargetMode="External"/><Relationship Id="rId161" Type="http://schemas.openxmlformats.org/officeDocument/2006/relationships/hyperlink" Target="https://www.sec.gov/Archives/edgar/data/798354/000119312525179106/d12309dex41.htm" TargetMode="External"/><Relationship Id="rId162" Type="http://schemas.openxmlformats.org/officeDocument/2006/relationships/hyperlink" Target="https://www.sec.gov/Archives/edgar/data/798354/000079835425000047/ex191fiservincsecuritiestr.htm" TargetMode="External"/><Relationship Id="rId163" Type="http://schemas.openxmlformats.org/officeDocument/2006/relationships/hyperlink" Target="https://www.sec.gov/Archives/edgar/data/798354/000079835425000163/ex2206302025.htm" TargetMode="External"/><Relationship Id="rId164" Type="http://schemas.openxmlformats.org/officeDocument/2006/relationships/hyperlink" Target="https://www.sec.gov/Archives/edgar/data/798354/000079835425000163/ex2206302025.htm" TargetMode="External"/><Relationship Id="rId165" Type="http://schemas.openxmlformats.org/officeDocument/2006/relationships/hyperlink" Target="https://www.sec.gov/Archives/edgar/data/798354/000079835425000163/ex2206302025.htm" TargetMode="External"/><Relationship Id="rId166" Type="http://schemas.openxmlformats.org/officeDocument/2006/relationships/hyperlink" Target="https://www.sec.gov/Archives/edgar/data/798354/000079835424000037/ex971fiservinccompensation.htm" TargetMode="External"/><Relationship Id="rId167" Type="http://schemas.openxmlformats.org/officeDocument/2006/relationships/fontTable" Target="fontTable.xml"/><Relationship Id="rId1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114464</Words>
  <Characters>625620</Characters>
  <CharactersWithSpaces>741648</CharactersWithSpaces>
  <Paragraphs>5800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