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158750</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100965</wp:posOffset>
            </wp:positionV>
            <wp:extent cx="216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2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April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199390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244475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ectPr>
          <w:pgSz w:w="11900" w:h="16838" w:orient="portrait"/>
          <w:cols w:equalWidth="0" w:num="1">
            <w:col w:w="10560"/>
          </w:cols>
          <w:pgMar w:left="320" w:top="130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380" w:space="720"/>
            <w:col w:w="2980" w:space="720"/>
            <w:col w:w="1760"/>
          </w:cols>
          <w:pgMar w:left="320" w:top="1300" w:right="1019" w:bottom="1440" w:gutter="0" w:footer="0" w:header="0"/>
          <w:type w:val="continuous"/>
        </w:sectPr>
      </w:pP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(State or Other Jurisdiction</w:t>
      </w:r>
    </w:p>
    <w:p>
      <w:pPr>
        <w:jc w:val="center"/>
        <w:ind w:right="11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260" w:space="720"/>
            <w:col w:w="2980" w:space="720"/>
            <w:col w:w="1880"/>
          </w:cols>
          <w:pgMar w:left="320" w:top="1300" w:right="1019" w:bottom="1440" w:gutter="0" w:footer="0" w:header="0"/>
          <w:type w:val="continuous"/>
        </w:sectPr>
      </w:pPr>
    </w:p>
    <w:p>
      <w:pPr>
        <w:spacing w:after="0" w:line="19" w:lineRule="exact"/>
        <w:rPr>
          <w:sz w:val="24"/>
          <w:szCs w:val="24"/>
          <w:color w:val="auto"/>
        </w:rPr>
      </w:pPr>
    </w:p>
    <w:p>
      <w:pPr>
        <w:jc w:val="center"/>
        <w:ind w:right="-679"/>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1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183515</wp:posOffset>
            </wp:positionV>
            <wp:extent cx="2357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ectPr>
          <w:pgSz w:w="11900" w:h="16838" w:orient="portrait"/>
          <w:cols w:equalWidth="0" w:num="1">
            <w:col w:w="10560"/>
          </w:cols>
          <w:pgMar w:left="320" w:top="1300" w:right="101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300"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0" w:lineRule="exact"/>
        <w:rPr>
          <w:sz w:val="20"/>
          <w:szCs w:val="20"/>
          <w:color w:val="auto"/>
        </w:rPr>
      </w:pP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64770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50" w:right="499" w:bottom="1440" w:gutter="0" w:footer="0" w:header="0"/>
        </w:sectPr>
      </w:pPr>
    </w:p>
    <w:bookmarkStart w:id="2" w:name="page3"/>
    <w:bookmarkEnd w:id="2"/>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27, 2021, Fiserv, Inc. issued a press release announcing its financial results for the quarter ended March 31, 2021. A copy of the press release is attached as Exhibit 99.1 to this Current Report on Form 8-K and is incorporated by reference herein.</w:t>
      </w:r>
    </w:p>
    <w:p>
      <w:pPr>
        <w:spacing w:after="0" w:line="31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89"/>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60" w:type="dxa"/>
            <w:vAlign w:val="bottom"/>
          </w:tcPr>
          <w:p>
            <w:pPr>
              <w:spacing w:after="0"/>
              <w:rPr>
                <w:sz w:val="24"/>
                <w:szCs w:val="24"/>
                <w:color w:val="auto"/>
              </w:rPr>
            </w:pPr>
          </w:p>
        </w:tc>
        <w:tc>
          <w:tcPr>
            <w:tcW w:w="500" w:type="dxa"/>
            <w:vAlign w:val="bottom"/>
            <w:gridSpan w:val="2"/>
          </w:tcPr>
          <w:p>
            <w:pPr>
              <w:jc w:val="right"/>
              <w:ind w:right="11"/>
              <w:spacing w:after="0"/>
              <w:rPr>
                <w:sz w:val="20"/>
                <w:szCs w:val="20"/>
                <w:color w:val="auto"/>
              </w:rPr>
            </w:pPr>
            <w:r>
              <w:rPr>
                <w:rFonts w:ascii="Arial" w:cs="Arial" w:eastAsia="Arial" w:hAnsi="Arial"/>
                <w:sz w:val="18"/>
                <w:szCs w:val="18"/>
                <w:color w:val="auto"/>
              </w:rPr>
              <w:t>99.1</w:t>
            </w:r>
          </w:p>
        </w:tc>
        <w:tc>
          <w:tcPr>
            <w:tcW w:w="980" w:type="dxa"/>
            <w:vAlign w:val="bottom"/>
          </w:tcPr>
          <w:p>
            <w:pPr>
              <w:spacing w:after="0"/>
              <w:rPr>
                <w:sz w:val="24"/>
                <w:szCs w:val="24"/>
                <w:color w:val="auto"/>
              </w:rPr>
            </w:pPr>
          </w:p>
        </w:tc>
        <w:tc>
          <w:tcPr>
            <w:tcW w:w="86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 xml:space="preserve">Press Release of Fiserv, Inc., dated April 27, </w:t>
              </w:r>
            </w:hyperlink>
            <w:r>
              <w:rPr>
                <w:rFonts w:ascii="Arial" w:cs="Arial" w:eastAsia="Arial" w:hAnsi="Arial"/>
                <w:sz w:val="18"/>
                <w:szCs w:val="18"/>
                <w:color w:val="0000FF"/>
                <w:w w:val="90"/>
              </w:rPr>
              <w:t xml:space="preserve">2021 </w:t>
            </w:r>
            <w:hyperlink w:anchor="page5">
              <w:r>
                <w:rPr>
                  <w:rFonts w:ascii="Arial" w:cs="Arial" w:eastAsia="Arial" w:hAnsi="Arial"/>
                  <w:sz w:val="18"/>
                  <w:szCs w:val="18"/>
                  <w:color w:val="0000FF"/>
                  <w:w w:val="90"/>
                </w:rPr>
                <w:t>(furnished pursuant to Item 2.02 of this Current Report on Form 8-K)</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1"/>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1"/>
                <w:szCs w:val="21"/>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80" w:type="dxa"/>
            <w:vAlign w:val="bottom"/>
            <w:gridSpan w:val="2"/>
          </w:tcPr>
          <w:p>
            <w:pPr>
              <w:ind w:left="1940"/>
              <w:spacing w:after="0"/>
              <w:rPr>
                <w:sz w:val="20"/>
                <w:szCs w:val="20"/>
                <w:color w:val="auto"/>
              </w:rPr>
            </w:pPr>
            <w:r>
              <w:rPr>
                <w:rFonts w:ascii="Arial" w:cs="Arial" w:eastAsia="Arial" w:hAnsi="Arial"/>
                <w:sz w:val="18"/>
                <w:szCs w:val="18"/>
                <w:color w:val="auto"/>
              </w:rPr>
              <w:t>FISERV,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April 27, 2021</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17145</wp:posOffset>
            </wp:positionV>
            <wp:extent cx="132016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392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5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7"/>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Britt Zarling</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Shub Mukherjee</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Corporate Communications</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Investor Relations</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Fiserv, Inc.</w:t>
            </w: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414-378-4040</w:t>
            </w:r>
          </w:p>
        </w:tc>
        <w:tc>
          <w:tcPr>
            <w:tcW w:w="2060" w:type="dxa"/>
            <w:vAlign w:val="bottom"/>
          </w:tcPr>
          <w:p>
            <w:pPr>
              <w:spacing w:after="0"/>
              <w:rPr>
                <w:sz w:val="17"/>
                <w:szCs w:val="17"/>
                <w:color w:val="auto"/>
              </w:rPr>
            </w:pP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212-266-3565</w:t>
            </w:r>
          </w:p>
        </w:tc>
      </w:tr>
      <w:tr>
        <w:trPr>
          <w:trHeight w:val="176"/>
        </w:trPr>
        <w:tc>
          <w:tcPr>
            <w:tcW w:w="3920" w:type="dxa"/>
            <w:vAlign w:val="bottom"/>
            <w:gridSpan w:val="2"/>
          </w:tcPr>
          <w:p>
            <w:pPr>
              <w:spacing w:after="0" w:line="157" w:lineRule="exact"/>
              <w:rPr>
                <w:sz w:val="20"/>
                <w:szCs w:val="20"/>
                <w:color w:val="auto"/>
              </w:rPr>
            </w:pPr>
            <w:r>
              <w:rPr>
                <w:rFonts w:ascii="Arial" w:cs="Arial" w:eastAsia="Arial" w:hAnsi="Arial"/>
                <w:sz w:val="18"/>
                <w:szCs w:val="18"/>
                <w:color w:val="0000FF"/>
              </w:rPr>
              <w:t>britt.zarling@fiserv.com</w:t>
            </w:r>
          </w:p>
        </w:tc>
        <w:tc>
          <w:tcPr>
            <w:tcW w:w="3840" w:type="dxa"/>
            <w:vAlign w:val="bottom"/>
            <w:gridSpan w:val="2"/>
          </w:tcPr>
          <w:p>
            <w:pPr>
              <w:ind w:left="1560"/>
              <w:spacing w:after="0" w:line="157" w:lineRule="exact"/>
              <w:rPr>
                <w:sz w:val="20"/>
                <w:szCs w:val="20"/>
                <w:color w:val="auto"/>
              </w:rPr>
            </w:pPr>
            <w:r>
              <w:rPr>
                <w:rFonts w:ascii="Arial" w:cs="Arial" w:eastAsia="Arial" w:hAnsi="Arial"/>
                <w:sz w:val="18"/>
                <w:szCs w:val="18"/>
                <w:color w:val="0000FF"/>
                <w:w w:val="98"/>
              </w:rPr>
              <w:t>shub.mukherjee@fiserv.com</w:t>
            </w:r>
          </w:p>
        </w:tc>
      </w:tr>
      <w:tr>
        <w:trPr>
          <w:trHeight w:val="27"/>
        </w:trPr>
        <w:tc>
          <w:tcPr>
            <w:tcW w:w="1860" w:type="dxa"/>
            <w:vAlign w:val="bottom"/>
            <w:shd w:val="clear" w:color="auto" w:fill="0000FF"/>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Fiserv Reports First Quarter 2021 Results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GAAP revenue flat and internal revenue growth of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GAAP EPS decreased 21% and adjusted EPS increased 18%;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Operating cash flow increased 7% to $952 million and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Free cash flow increased 8% to $821 million;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Company raises lower end of full year 2021 outlook</w:t>
      </w:r>
    </w:p>
    <w:p>
      <w:pPr>
        <w:spacing w:after="0" w:line="232" w:lineRule="exact"/>
        <w:rPr>
          <w:sz w:val="20"/>
          <w:szCs w:val="20"/>
          <w:color w:val="auto"/>
        </w:rPr>
      </w:pPr>
    </w:p>
    <w:p>
      <w:pPr>
        <w:ind w:right="680"/>
        <w:spacing w:after="0" w:line="271" w:lineRule="auto"/>
        <w:rPr>
          <w:sz w:val="20"/>
          <w:szCs w:val="20"/>
          <w:color w:val="auto"/>
        </w:rPr>
      </w:pPr>
      <w:r>
        <w:rPr>
          <w:rFonts w:ascii="Arial" w:cs="Arial" w:eastAsia="Arial" w:hAnsi="Arial"/>
          <w:sz w:val="20"/>
          <w:szCs w:val="20"/>
          <w:b w:val="1"/>
          <w:bCs w:val="1"/>
          <w:color w:val="auto"/>
        </w:rPr>
        <w:t xml:space="preserve">BROOKFIELD, Wis., April 27, 2021 </w:t>
      </w:r>
      <w:r>
        <w:rPr>
          <w:rFonts w:ascii="Arial" w:cs="Arial" w:eastAsia="Arial" w:hAnsi="Arial"/>
          <w:sz w:val="20"/>
          <w:szCs w:val="20"/>
          <w:color w:val="auto"/>
        </w:rPr>
        <w:t>– Fiserv, Inc. (NASDAQ: FISV), a leading global provider of payments and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technology solutions, today reported financial results for the first quarter of 2021.</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GAAP Results</w:t>
      </w:r>
    </w:p>
    <w:p>
      <w:pPr>
        <w:spacing w:after="0" w:line="3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GAAP revenue for the company was flat at $3.76 billion in the first quarter of 2021 compared to the prior year period, with Acceptance segment revenue flat with the prior year period, 3% growth in the Fintech segment and 1% growth in the Payments segment. GAAP revenue in the first quarter of 2020 included revenue within Corporate and Other associated with the divested Investment Services business.</w:t>
      </w:r>
    </w:p>
    <w:p>
      <w:pPr>
        <w:spacing w:after="0" w:line="156"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GAAP earnings per share was $0.45 in the first quarter of 2021, a decrease of 21% compared to the prior year period. GAAP operating margin was 12.6% in the first quarter of 2021 compared to 16.7% in the prior year period. GAAP earnings per share and operating margin in the first quarter of 2020 included a gain from the sale of a 60% interest of the company's Investment Services business, along with higher merger and integration costs associated with the acquisition of First Data Corporation ("First Data").</w:t>
      </w:r>
    </w:p>
    <w:p>
      <w:pPr>
        <w:spacing w:after="0" w:line="155"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Net cash provided by operating activities increased 7% to $952 million in the first quarter of 2021 compared to the prior year period.</w:t>
      </w:r>
    </w:p>
    <w:p>
      <w:pPr>
        <w:spacing w:after="0" w:line="150"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"Fiserv delivered another strong quarter as the pandemic hit its one-year anniversary late in the first quarter," said Frank Bisignano, President and Chief Executive Officer of Fiserv. "The focus on driving innovation while supporting our clients and associates continues to lead to strong operating results as the global economy begins to recover."</w:t>
      </w:r>
    </w:p>
    <w:p>
      <w:pPr>
        <w:sectPr>
          <w:pgSz w:w="11900" w:h="16838" w:orient="portrait"/>
          <w:cols w:equalWidth="0" w:num="1">
            <w:col w:w="11200"/>
          </w:cols>
          <w:pgMar w:left="320" w:top="16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00"/>
          </w:cols>
          <w:pgMar w:left="320" w:top="162" w:right="37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2021 Non-GAAP Results and Additional Information</w:t>
      </w:r>
    </w:p>
    <w:p>
      <w:pPr>
        <w:spacing w:after="0" w:line="3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revenue of $3.56 billion increased 2% in the quarter compared to the prior year period.</w:t>
      </w:r>
    </w:p>
    <w:p>
      <w:pPr>
        <w:spacing w:after="0" w:line="26" w:lineRule="exact"/>
        <w:rPr>
          <w:rFonts w:ascii="Arial" w:cs="Arial" w:eastAsia="Arial" w:hAnsi="Arial"/>
          <w:sz w:val="20"/>
          <w:szCs w:val="20"/>
          <w:b w:val="1"/>
          <w:bCs w:val="1"/>
          <w:color w:val="auto"/>
        </w:rPr>
      </w:pPr>
    </w:p>
    <w:p>
      <w:pPr>
        <w:ind w:left="340" w:right="340" w:hanging="332"/>
        <w:spacing w:after="0" w:line="25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Internal revenue growth was 4% in the quarter, with 8% growth in the Acceptance segment and 2% growth in each of the Fintech and Payments segments.</w:t>
      </w:r>
    </w:p>
    <w:p>
      <w:pPr>
        <w:spacing w:after="0" w:line="20"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earnings per share of $1.17 increased 18% in the quarter compared to the prior year period.</w:t>
      </w:r>
    </w:p>
    <w:p>
      <w:pPr>
        <w:spacing w:after="0" w:line="26"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Free cash flow of $821 million increased 8% in the quarter compared to the prior year period.</w:t>
      </w:r>
    </w:p>
    <w:p>
      <w:pPr>
        <w:spacing w:after="0" w:line="26"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operating margin of 31.4% increased 360 basis points in the quarter compared to the prior year period.</w:t>
      </w:r>
    </w:p>
    <w:p>
      <w:pPr>
        <w:spacing w:after="0" w:line="26"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Sales results increased 42% in the quarter compared to the prior year period.</w:t>
      </w:r>
    </w:p>
    <w:p>
      <w:pPr>
        <w:spacing w:after="0" w:line="26"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The company repurchased 5.2 million shares of common stock for $612 million in the quarter.</w:t>
      </w:r>
    </w:p>
    <w:p>
      <w:pPr>
        <w:spacing w:after="0" w:line="26" w:lineRule="exact"/>
        <w:rPr>
          <w:rFonts w:ascii="Arial" w:cs="Arial" w:eastAsia="Arial" w:hAnsi="Arial"/>
          <w:sz w:val="20"/>
          <w:szCs w:val="20"/>
          <w:b w:val="1"/>
          <w:bCs w:val="1"/>
          <w:color w:val="auto"/>
        </w:rPr>
      </w:pPr>
    </w:p>
    <w:p>
      <w:pPr>
        <w:ind w:left="340" w:right="20" w:hanging="332"/>
        <w:spacing w:after="0" w:line="26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 March 2021, the company announced that it had entered into a definitive merger agreement to acquire Pineapple Payments, a leading independent sales organization focused on integrated payments. The company expects the transaction to close during the second quarter of 2021, subject to customary approvals and closing conditions.</w:t>
      </w:r>
    </w:p>
    <w:p>
      <w:pPr>
        <w:spacing w:after="0" w:line="1" w:lineRule="exact"/>
        <w:rPr>
          <w:rFonts w:ascii="Arial" w:cs="Arial" w:eastAsia="Arial" w:hAnsi="Arial"/>
          <w:sz w:val="20"/>
          <w:szCs w:val="20"/>
          <w:b w:val="1"/>
          <w:bCs w:val="1"/>
          <w:color w:val="auto"/>
        </w:rPr>
      </w:pPr>
    </w:p>
    <w:p>
      <w:pPr>
        <w:ind w:left="340" w:hanging="332"/>
        <w:spacing w:after="0" w:line="275"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April 2021, Fiserv signed a 20-year exclusive alliance agreement with Caixa Econômical Federal, one of the largest banks in Brazil, for merchant acquiring services.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2021</w:t>
      </w:r>
    </w:p>
    <w:p>
      <w:pPr>
        <w:spacing w:after="0" w:line="37" w:lineRule="exact"/>
        <w:rPr>
          <w:sz w:val="20"/>
          <w:szCs w:val="20"/>
          <w:color w:val="auto"/>
        </w:rPr>
      </w:pPr>
    </w:p>
    <w:p>
      <w:pPr>
        <w:ind w:right="720"/>
        <w:spacing w:after="0" w:line="246" w:lineRule="auto"/>
        <w:rPr>
          <w:sz w:val="20"/>
          <w:szCs w:val="20"/>
          <w:color w:val="auto"/>
        </w:rPr>
      </w:pPr>
      <w:r>
        <w:rPr>
          <w:rFonts w:ascii="Arial" w:cs="Arial" w:eastAsia="Arial" w:hAnsi="Arial"/>
          <w:sz w:val="20"/>
          <w:szCs w:val="20"/>
          <w:color w:val="auto"/>
        </w:rPr>
        <w:t>Fiserv now expects internal revenue growth of 9% to 12% and adjusted earnings per share in a range of $5.35 to $5.50, representing growth of 21% to 24%, for 2021.</w:t>
      </w:r>
    </w:p>
    <w:p>
      <w:pPr>
        <w:spacing w:after="0" w:line="231"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"Our momentum has continued into 2021," said Bisignano. "With a strong first quarter, we are raising the lower end of our outlook for both internal revenue growth and adjusted earnings per share, as we see broad economic conditions improve and our ongoing focus on serving clients leads to growth."</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51"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 xml:space="preserve">The company will discuss its first quarter 2021 results in a live webcast at 7 a.m. CT on Tuesday, April 27, 2021. The webcast, along with supplemental financial information, can be accessed on the investor relations section of the Fiserv website at </w:t>
      </w:r>
      <w:r>
        <w:rPr>
          <w:rFonts w:ascii="Arial" w:cs="Arial" w:eastAsia="Arial" w:hAnsi="Arial"/>
          <w:sz w:val="20"/>
          <w:szCs w:val="20"/>
          <w:u w:val="single" w:color="auto"/>
          <w:color w:val="0000FF"/>
        </w:rPr>
        <w:t>investors.fiserv.com</w:t>
      </w:r>
      <w:r>
        <w:rPr>
          <w:rFonts w:ascii="Arial" w:cs="Arial" w:eastAsia="Arial" w:hAnsi="Arial"/>
          <w:sz w:val="20"/>
          <w:szCs w:val="20"/>
          <w:color w:val="000000"/>
        </w:rPr>
        <w:t>. A replay will be available approximately one hour after the conclusion of the live webcast.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5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cloud-based point-of-sale solution.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the FORTUNE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500, and is among FORTUNE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Visit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follow on social media for more information and the latest company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1225" w:right="379" w:bottom="1440" w:gutter="0" w:footer="0" w:header="0"/>
        </w:sectPr>
      </w:pPr>
    </w:p>
    <w:bookmarkStart w:id="6" w:name="page7"/>
    <w:bookmarkEnd w:id="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37"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In this news release, the company supplements its reporting of information determined in accordance with generally accepted accounting principles ("GAAP"), such as revenue, operating income, operating margin, net income attributable to Fiserv, earnings per share and net cash provided by operating activities, with "adjusted revenue," "internal revenue," "internal revenue growth," "adjusted operating income," "adjusted operating margin," "adjusted net income," "adjusted earnings per share,"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14 for additional information regarding the company's forward-looking non-GAAP financial measures.</w:t>
      </w:r>
    </w:p>
    <w:p>
      <w:pPr>
        <w:spacing w:after="0" w:line="166" w:lineRule="exact"/>
        <w:rPr>
          <w:sz w:val="20"/>
          <w:szCs w:val="20"/>
          <w:color w:val="auto"/>
        </w:rPr>
      </w:pPr>
    </w:p>
    <w:p>
      <w:pPr>
        <w:ind w:right="200"/>
        <w:spacing w:after="0" w:line="285" w:lineRule="auto"/>
        <w:rPr>
          <w:sz w:val="20"/>
          <w:szCs w:val="20"/>
          <w:color w:val="auto"/>
        </w:rPr>
      </w:pPr>
      <w:r>
        <w:rPr>
          <w:rFonts w:ascii="Arial" w:cs="Arial" w:eastAsia="Arial" w:hAnsi="Arial"/>
          <w:sz w:val="19"/>
          <w:szCs w:val="19"/>
          <w:color w:val="auto"/>
        </w:rPr>
        <w:t>Examples of non-cash or other items may include, but are not limited to, non-cash deferred revenue adjustments arising from acquisitions; non-cash intangible asset amortization expense associated with acquisitions; non-cash impairment charges and restructuring costs; severance costs; net charges associated with debt financing activities; merger and integration costs; gains or losses from the sale of businesses; and certain discrete tax benefits and expenses.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44" w:lineRule="exact"/>
        <w:rPr>
          <w:sz w:val="20"/>
          <w:szCs w:val="20"/>
          <w:color w:val="auto"/>
        </w:rPr>
      </w:pPr>
    </w:p>
    <w:p>
      <w:pPr>
        <w:ind w:right="60"/>
        <w:spacing w:after="0" w:line="269"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Management believes internal revenue growth is useful because it presents adjusted revenue growth including deferred revenue purchase accounting adjustments and excluding the impact of foreign currency fluctuations, acquisitions, dispositions and the company's Output Solutions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25"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60"/>
        <w:spacing w:after="0" w:line="270" w:lineRule="auto"/>
        <w:rPr>
          <w:sz w:val="20"/>
          <w:szCs w:val="20"/>
          <w:color w:val="auto"/>
        </w:rPr>
      </w:pPr>
      <w:r>
        <w:rPr>
          <w:rFonts w:ascii="Arial" w:cs="Arial" w:eastAsia="Arial" w:hAnsi="Arial"/>
          <w:sz w:val="20"/>
          <w:szCs w:val="20"/>
          <w:color w:val="auto"/>
        </w:rPr>
        <w:t>These unaudited non-GAAP measures may not be comparable to similarly titled measures reported by other companies and should be considered in addition to, and not as a substitute for, revenue, operating income, operating margin, net income attributable to Fiserv, earnings per share and net cash provided by operating activities or any other amount determined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1" w:lineRule="exact"/>
        <w:rPr>
          <w:sz w:val="20"/>
          <w:szCs w:val="20"/>
          <w:color w:val="auto"/>
        </w:rPr>
      </w:pPr>
    </w:p>
    <w:p>
      <w:pPr>
        <w:ind w:right="280"/>
        <w:spacing w:after="0" w:line="258"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internal revenue growth, adjusted earnings per share, adjusted earnings per share growth and other statements regarding our future financial performance.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many of which are, and will be, amplified by the COVID-19 pandemic: the duration and intensity of the COVID-19 pandemic, including how quickly the global economy recovers from the impact of the pandemic; governmental and private sector responses to the COVID-19 pandemic and the impact of such responses on the company; the impact of the COVID-19 pandemic on the company's employees, clients, vendors, operations and sales; the possibility that the company may be unable to achieve expected synergies and operating efficiencies from the acquisition of First Data within the expected time frames; the possibility that the integration of First Data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the company's liabilities or those of First Data may exist; the company's ability to meet expectations regarding the accounting and tax treatments of the transaction;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successful management of the company's merchant alliance program which involves several alliances not under its sole control; the impact of a security breach or operational failure on the company's business including disruptions caused by other participants in the global financial system; the failure of the company's vendors and merchants to satisfy their obligations; the successful management of credit and fraud risks in the company's business and merchant alliances; changes in local, regional, national and international economic or political conditions and the impact they may have on the company and its customers; the effect of proposed and enacted legislative and regulatory actions affecting the company or the financial services industry as a whole; the company's ability to comply with government regulations and applicable card association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25"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42" w:lineRule="auto"/>
        <w:rPr>
          <w:sz w:val="20"/>
          <w:szCs w:val="20"/>
          <w:color w:val="auto"/>
        </w:rPr>
      </w:pPr>
      <w:r>
        <w:rPr>
          <w:rFonts w:ascii="Arial" w:cs="Arial" w:eastAsia="Arial" w:hAnsi="Arial"/>
          <w:sz w:val="20"/>
          <w:szCs w:val="20"/>
          <w:i w:val="1"/>
          <w:iCs w:val="1"/>
          <w:color w:val="auto"/>
        </w:rPr>
        <w:t>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strategic initiatives; the company's ability to attract and retain key personnel; volatility and disruptions in financial markets that may impact the company's ability to access preferred sources of financing and the terms on which the company is able to obtain financing or increase its costs of borrowing; adverse impacts from currency exchange rates or currency controls; changes in corporate tax and interest rates; and other factors included in “Risk Factors” in the company's Annual Report on Form 10-K for the year ended December 31, 2020, and in other documents that the company files with the SEC,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225" w:right="359" w:bottom="1440" w:gutter="0" w:footer="0" w:header="0"/>
        </w:sectPr>
      </w:pPr>
    </w:p>
    <w:bookmarkStart w:id="9" w:name="page10"/>
    <w:bookmarkEnd w:id="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7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2"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(In millions, except per share amounts, unaudited)</w:t>
      </w:r>
    </w:p>
    <w:p>
      <w:pPr>
        <w:spacing w:after="0" w:line="226" w:lineRule="exact"/>
        <w:rPr>
          <w:sz w:val="20"/>
          <w:szCs w:val="20"/>
          <w:color w:val="auto"/>
        </w:rPr>
      </w:pPr>
    </w:p>
    <w:p>
      <w:pPr>
        <w:jc w:val="center"/>
        <w:ind w:left="6240"/>
        <w:spacing w:after="0"/>
        <w:rPr>
          <w:sz w:val="20"/>
          <w:szCs w:val="20"/>
          <w:color w:val="auto"/>
        </w:rPr>
      </w:pPr>
      <w:r>
        <w:rPr>
          <w:rFonts w:ascii="Arial" w:cs="Arial" w:eastAsia="Arial" w:hAnsi="Arial"/>
          <w:sz w:val="16"/>
          <w:szCs w:val="16"/>
          <w:color w:val="auto"/>
        </w:rPr>
        <w:t>Three Months Ended</w:t>
      </w:r>
    </w:p>
    <w:p>
      <w:pPr>
        <w:jc w:val="center"/>
        <w:ind w:left="6240"/>
        <w:spacing w:after="0"/>
        <w:rPr>
          <w:sz w:val="20"/>
          <w:szCs w:val="20"/>
          <w:color w:val="auto"/>
        </w:rPr>
      </w:pPr>
      <w:r>
        <w:rPr>
          <w:rFonts w:ascii="Arial" w:cs="Arial" w:eastAsia="Arial" w:hAnsi="Arial"/>
          <w:sz w:val="16"/>
          <w:szCs w:val="16"/>
          <w:color w:val="auto"/>
        </w:rPr>
        <w:t>March 31,</w:t>
      </w:r>
    </w:p>
    <w:p>
      <w:pPr>
        <w:spacing w:after="0" w:line="12" w:lineRule="exact"/>
        <w:rPr>
          <w:sz w:val="20"/>
          <w:szCs w:val="20"/>
          <w:color w:val="auto"/>
        </w:rPr>
      </w:pPr>
    </w:p>
    <w:tbl>
      <w:tblPr>
        <w:tblLayout w:type="fixed"/>
        <w:tblInd w:w="11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3,054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8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3,075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Product</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3,755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353"/>
        </w:trPr>
        <w:tc>
          <w:tcPr>
            <w:tcW w:w="62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1,397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Cost of product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1,373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Gain on sale of business</w:t>
            </w:r>
          </w:p>
        </w:tc>
        <w:tc>
          <w:tcPr>
            <w:tcW w:w="8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8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3,280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3,140</w:t>
            </w:r>
          </w:p>
        </w:tc>
        <w:tc>
          <w:tcPr>
            <w:tcW w:w="0" w:type="dxa"/>
            <w:vAlign w:val="bottom"/>
          </w:tcPr>
          <w:p>
            <w:pPr>
              <w:spacing w:after="0"/>
              <w:rPr>
                <w:sz w:val="1"/>
                <w:szCs w:val="1"/>
                <w:color w:val="auto"/>
              </w:rPr>
            </w:pPr>
          </w:p>
        </w:tc>
      </w:tr>
      <w:tr>
        <w:trPr>
          <w:trHeight w:val="353"/>
        </w:trPr>
        <w:tc>
          <w:tcPr>
            <w:tcW w:w="62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Interest expense,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6"/>
                <w:szCs w:val="16"/>
                <w:color w:val="auto"/>
              </w:rPr>
              <w:t>Other income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10"/>
        </w:trPr>
        <w:tc>
          <w:tcPr>
            <w:tcW w:w="624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(loss)</w:t>
            </w:r>
          </w:p>
        </w:tc>
        <w:tc>
          <w:tcPr>
            <w:tcW w:w="84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6"/>
                <w:szCs w:val="16"/>
                <w:b w:val="1"/>
                <w:bCs w:val="1"/>
                <w:color w:val="auto"/>
              </w:rPr>
              <w:t>from investments in unconsolidated affiliates</w:t>
            </w: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5"/>
        </w:trPr>
        <w:tc>
          <w:tcPr>
            <w:tcW w:w="6240" w:type="dxa"/>
            <w:vAlign w:val="bottom"/>
          </w:tcPr>
          <w:p>
            <w:pPr>
              <w:spacing w:after="0"/>
              <w:rPr>
                <w:sz w:val="20"/>
                <w:szCs w:val="20"/>
                <w:color w:val="auto"/>
              </w:rPr>
            </w:pPr>
            <w:r>
              <w:rPr>
                <w:rFonts w:ascii="Arial" w:cs="Arial" w:eastAsia="Arial" w:hAnsi="Arial"/>
                <w:sz w:val="16"/>
                <w:szCs w:val="16"/>
                <w:color w:val="auto"/>
              </w:rPr>
              <w:t>Income tax provision</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6240" w:type="dxa"/>
            <w:vAlign w:val="bottom"/>
          </w:tcPr>
          <w:p>
            <w:pPr>
              <w:spacing w:after="0"/>
              <w:rPr>
                <w:sz w:val="20"/>
                <w:szCs w:val="20"/>
                <w:color w:val="auto"/>
              </w:rPr>
            </w:pPr>
            <w:r>
              <w:rPr>
                <w:rFonts w:ascii="Arial" w:cs="Arial" w:eastAsia="Arial" w:hAnsi="Arial"/>
                <w:sz w:val="16"/>
                <w:szCs w:val="16"/>
                <w:color w:val="auto"/>
              </w:rPr>
              <w:t>Income (loss) from investments in unconsolidated affiliates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55"/>
        </w:trPr>
        <w:tc>
          <w:tcPr>
            <w:tcW w:w="624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9"/>
        </w:trPr>
        <w:tc>
          <w:tcPr>
            <w:tcW w:w="62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61"/>
        </w:trPr>
        <w:tc>
          <w:tcPr>
            <w:tcW w:w="624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624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0.45</w:t>
            </w:r>
          </w:p>
        </w:tc>
        <w:tc>
          <w:tcPr>
            <w:tcW w:w="1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378"/>
        </w:trPr>
        <w:tc>
          <w:tcPr>
            <w:tcW w:w="624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679.9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691.2</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160"/>
          </w:cols>
          <w:pgMar w:left="320" w:top="1225" w:right="1419" w:bottom="1440" w:gutter="0" w:footer="0" w:header="0"/>
        </w:sectPr>
      </w:pPr>
    </w:p>
    <w:bookmarkStart w:id="10" w:name="page11"/>
    <w:bookmarkEnd w:id="10"/>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52"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(In millions, except per share amounts, unaudited)</w:t>
      </w:r>
    </w:p>
    <w:p>
      <w:pPr>
        <w:spacing w:after="0" w:line="159" w:lineRule="exact"/>
        <w:rPr>
          <w:sz w:val="20"/>
          <w:szCs w:val="20"/>
          <w:color w:val="auto"/>
        </w:rPr>
      </w:pPr>
    </w:p>
    <w:p>
      <w:pPr>
        <w:jc w:val="center"/>
        <w:ind w:left="6340"/>
        <w:spacing w:after="0"/>
        <w:rPr>
          <w:sz w:val="20"/>
          <w:szCs w:val="20"/>
          <w:color w:val="auto"/>
        </w:rPr>
      </w:pPr>
      <w:r>
        <w:rPr>
          <w:rFonts w:ascii="Arial" w:cs="Arial" w:eastAsia="Arial" w:hAnsi="Arial"/>
          <w:sz w:val="16"/>
          <w:szCs w:val="16"/>
          <w:color w:val="auto"/>
        </w:rPr>
        <w:t>Three Months Ended</w:t>
      </w:r>
    </w:p>
    <w:p>
      <w:pPr>
        <w:jc w:val="center"/>
        <w:ind w:left="6340"/>
        <w:spacing w:after="0"/>
        <w:rPr>
          <w:sz w:val="20"/>
          <w:szCs w:val="20"/>
          <w:color w:val="auto"/>
        </w:rPr>
      </w:pPr>
      <w:r>
        <w:rPr>
          <w:rFonts w:ascii="Arial" w:cs="Arial" w:eastAsia="Arial" w:hAnsi="Arial"/>
          <w:sz w:val="16"/>
          <w:szCs w:val="16"/>
          <w:color w:val="auto"/>
        </w:rPr>
        <w:t>March 31,</w:t>
      </w:r>
    </w:p>
    <w:p>
      <w:pPr>
        <w:spacing w:after="0" w:line="12" w:lineRule="exact"/>
        <w:rPr>
          <w:sz w:val="20"/>
          <w:szCs w:val="20"/>
          <w:color w:val="auto"/>
        </w:rPr>
      </w:pPr>
    </w:p>
    <w:p>
      <w:pPr>
        <w:jc w:val="both"/>
        <w:ind w:left="7900"/>
        <w:spacing w:after="0"/>
        <w:tabs>
          <w:tab w:leader="none" w:pos="93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23495</wp:posOffset>
            </wp:positionV>
            <wp:extent cx="1739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ectPr>
          <w:pgSz w:w="11900" w:h="16838" w:orient="portrait"/>
          <w:cols w:equalWidth="0" w:num="1">
            <w:col w:w="10980"/>
          </w:cols>
          <w:pgMar w:left="320" w:top="1225" w:right="599" w:bottom="1440" w:gutter="0" w:footer="0" w:header="0"/>
        </w:sectPr>
      </w:pPr>
    </w:p>
    <w:p>
      <w:pPr>
        <w:spacing w:after="0" w:line="24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GAAP net income attributable to Fiserv</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Adjustments:</w:t>
      </w:r>
    </w:p>
    <w:p>
      <w:pPr>
        <w:ind w:left="1540"/>
        <w:spacing w:after="0" w:line="230" w:lineRule="auto"/>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p>
      <w:pPr>
        <w:ind w:left="1540"/>
        <w:spacing w:after="0" w:line="215" w:lineRule="auto"/>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2</w:t>
      </w:r>
    </w:p>
    <w:p>
      <w:pPr>
        <w:ind w:left="1540"/>
        <w:spacing w:after="0" w:line="214" w:lineRule="auto"/>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p>
      <w:pPr>
        <w:ind w:left="1540"/>
        <w:spacing w:after="0" w:line="215" w:lineRule="auto"/>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4</w:t>
      </w:r>
    </w:p>
    <w:p>
      <w:pPr>
        <w:ind w:left="1540"/>
        <w:spacing w:after="0" w:line="215" w:lineRule="auto"/>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5</w:t>
      </w:r>
    </w:p>
    <w:p>
      <w:pPr>
        <w:ind w:left="1540"/>
        <w:spacing w:after="0" w:line="214" w:lineRule="auto"/>
        <w:rPr>
          <w:sz w:val="20"/>
          <w:szCs w:val="20"/>
          <w:color w:val="auto"/>
        </w:rPr>
      </w:pPr>
      <w:r>
        <w:rPr>
          <w:rFonts w:ascii="Arial" w:cs="Arial" w:eastAsia="Arial" w:hAnsi="Arial"/>
          <w:sz w:val="16"/>
          <w:szCs w:val="16"/>
          <w:color w:val="auto"/>
        </w:rPr>
        <w:t xml:space="preserve">Gain on sale of business </w:t>
      </w:r>
      <w:r>
        <w:rPr>
          <w:rFonts w:ascii="Arial" w:cs="Arial" w:eastAsia="Arial" w:hAnsi="Arial"/>
          <w:sz w:val="21"/>
          <w:szCs w:val="21"/>
          <w:color w:val="auto"/>
          <w:vertAlign w:val="superscript"/>
        </w:rPr>
        <w:t>6</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 xml:space="preserve">Tax impact of gain on sale of business </w:t>
      </w:r>
      <w:r>
        <w:rPr>
          <w:rFonts w:ascii="Arial" w:cs="Arial" w:eastAsia="Arial" w:hAnsi="Arial"/>
          <w:sz w:val="21"/>
          <w:szCs w:val="21"/>
          <w:color w:val="auto"/>
          <w:vertAlign w:val="superscript"/>
        </w:rPr>
        <w:t>5</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Adjusted net income</w:t>
      </w: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GAAP earnings per share attributable to Fiserv</w:t>
      </w:r>
    </w:p>
    <w:p>
      <w:pPr>
        <w:spacing w:after="0" w:line="5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Adjustments - net of income taxes:</w:t>
      </w:r>
    </w:p>
    <w:p>
      <w:pPr>
        <w:ind w:left="1540"/>
        <w:spacing w:after="0" w:line="230" w:lineRule="auto"/>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p>
      <w:pPr>
        <w:ind w:left="1540"/>
        <w:spacing w:after="0" w:line="215" w:lineRule="auto"/>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2</w:t>
      </w:r>
    </w:p>
    <w:p>
      <w:pPr>
        <w:ind w:left="1540"/>
        <w:spacing w:after="0" w:line="214" w:lineRule="auto"/>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p>
      <w:pPr>
        <w:ind w:left="1540"/>
        <w:spacing w:after="0" w:line="215" w:lineRule="auto"/>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4</w:t>
      </w:r>
    </w:p>
    <w:p>
      <w:pPr>
        <w:ind w:left="1540"/>
        <w:spacing w:after="0"/>
        <w:rPr>
          <w:sz w:val="20"/>
          <w:szCs w:val="20"/>
          <w:color w:val="auto"/>
        </w:rPr>
      </w:pPr>
      <w:r>
        <w:rPr>
          <w:rFonts w:ascii="Arial" w:cs="Arial" w:eastAsia="Arial" w:hAnsi="Arial"/>
          <w:sz w:val="16"/>
          <w:szCs w:val="16"/>
          <w:color w:val="auto"/>
        </w:rPr>
        <w:t xml:space="preserve">Gain on sale of business </w:t>
      </w:r>
      <w:r>
        <w:rPr>
          <w:rFonts w:ascii="Arial" w:cs="Arial" w:eastAsia="Arial" w:hAnsi="Arial"/>
          <w:sz w:val="21"/>
          <w:szCs w:val="21"/>
          <w:color w:val="auto"/>
          <w:vertAlign w:val="superscript"/>
        </w:rPr>
        <w:t>6</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Adjusted earnings per share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949" w:hanging="949"/>
        <w:spacing w:after="0"/>
        <w:tabs>
          <w:tab w:leader="none" w:pos="9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304</w:t>
      </w:r>
    </w:p>
    <w:p>
      <w:pPr>
        <w:spacing w:after="0" w:line="248"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125</w:t>
      </w:r>
    </w:p>
    <w:p>
      <w:pPr>
        <w:spacing w:after="0" w:line="32" w:lineRule="exact"/>
        <w:rPr>
          <w:rFonts w:ascii="Arial" w:cs="Arial" w:eastAsia="Arial" w:hAnsi="Arial"/>
          <w:sz w:val="16"/>
          <w:szCs w:val="16"/>
          <w:b w:val="1"/>
          <w:bCs w:val="1"/>
          <w:color w:val="auto"/>
        </w:rPr>
      </w:pPr>
    </w:p>
    <w:p>
      <w:pPr>
        <w:ind w:left="104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10</w:t>
      </w:r>
    </w:p>
    <w:p>
      <w:pPr>
        <w:spacing w:after="0" w:line="32" w:lineRule="exact"/>
        <w:rPr>
          <w:rFonts w:ascii="Arial" w:cs="Arial" w:eastAsia="Arial" w:hAnsi="Arial"/>
          <w:sz w:val="16"/>
          <w:szCs w:val="16"/>
          <w:b w:val="1"/>
          <w:bCs w:val="1"/>
          <w:color w:val="auto"/>
        </w:rPr>
      </w:pPr>
    </w:p>
    <w:p>
      <w:pPr>
        <w:ind w:left="94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506</w:t>
      </w:r>
    </w:p>
    <w:p>
      <w:pPr>
        <w:spacing w:after="0" w:line="32" w:lineRule="exact"/>
        <w:rPr>
          <w:rFonts w:ascii="Arial" w:cs="Arial" w:eastAsia="Arial" w:hAnsi="Arial"/>
          <w:sz w:val="16"/>
          <w:szCs w:val="16"/>
          <w:b w:val="1"/>
          <w:bCs w:val="1"/>
          <w:color w:val="auto"/>
        </w:rPr>
      </w:pPr>
    </w:p>
    <w:p>
      <w:pPr>
        <w:ind w:left="104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(148)</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312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6" w:lineRule="exact"/>
        <w:rPr>
          <w:sz w:val="20"/>
          <w:szCs w:val="20"/>
          <w:color w:val="auto"/>
        </w:rPr>
      </w:pPr>
    </w:p>
    <w:p>
      <w:pPr>
        <w:ind w:left="949" w:hanging="949"/>
        <w:spacing w:after="0"/>
        <w:tabs>
          <w:tab w:leader="none" w:pos="94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31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48895</wp:posOffset>
            </wp:positionV>
            <wp:extent cx="8312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47" w:lineRule="exact"/>
        <w:rPr>
          <w:sz w:val="20"/>
          <w:szCs w:val="20"/>
          <w:color w:val="auto"/>
        </w:rPr>
      </w:pPr>
    </w:p>
    <w:p>
      <w:pPr>
        <w:ind w:left="909" w:hanging="909"/>
        <w:spacing w:after="0"/>
        <w:tabs>
          <w:tab w:leader="none" w:pos="90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0.45</w:t>
      </w:r>
    </w:p>
    <w:p>
      <w:pPr>
        <w:spacing w:after="0" w:line="248" w:lineRule="exact"/>
        <w:rPr>
          <w:rFonts w:ascii="Arial" w:cs="Arial" w:eastAsia="Arial" w:hAnsi="Arial"/>
          <w:sz w:val="16"/>
          <w:szCs w:val="16"/>
          <w:b w:val="1"/>
          <w:bCs w:val="1"/>
          <w:color w:val="auto"/>
        </w:rPr>
      </w:pPr>
    </w:p>
    <w:p>
      <w:pPr>
        <w:ind w:left="90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0.14</w:t>
      </w:r>
    </w:p>
    <w:p>
      <w:pPr>
        <w:spacing w:after="0" w:line="32" w:lineRule="exact"/>
        <w:rPr>
          <w:rFonts w:ascii="Arial" w:cs="Arial" w:eastAsia="Arial" w:hAnsi="Arial"/>
          <w:sz w:val="16"/>
          <w:szCs w:val="16"/>
          <w:b w:val="1"/>
          <w:bCs w:val="1"/>
          <w:color w:val="auto"/>
        </w:rPr>
      </w:pPr>
    </w:p>
    <w:p>
      <w:pPr>
        <w:ind w:left="90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0.01</w:t>
      </w:r>
    </w:p>
    <w:p>
      <w:pPr>
        <w:spacing w:after="0" w:line="32" w:lineRule="exact"/>
        <w:rPr>
          <w:rFonts w:ascii="Arial" w:cs="Arial" w:eastAsia="Arial" w:hAnsi="Arial"/>
          <w:sz w:val="16"/>
          <w:szCs w:val="16"/>
          <w:b w:val="1"/>
          <w:bCs w:val="1"/>
          <w:color w:val="auto"/>
        </w:rPr>
      </w:pPr>
    </w:p>
    <w:p>
      <w:pPr>
        <w:ind w:left="90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0.57</w:t>
      </w:r>
    </w:p>
    <w:p>
      <w:pPr>
        <w:spacing w:after="0" w:line="32" w:lineRule="exact"/>
        <w:rPr>
          <w:rFonts w:ascii="Arial" w:cs="Arial" w:eastAsia="Arial" w:hAnsi="Arial"/>
          <w:sz w:val="16"/>
          <w:szCs w:val="16"/>
          <w:b w:val="1"/>
          <w:bCs w:val="1"/>
          <w:color w:val="auto"/>
        </w:rPr>
      </w:pPr>
    </w:p>
    <w:p>
      <w:pPr>
        <w:ind w:left="104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32" w:lineRule="exact"/>
        <w:rPr>
          <w:rFonts w:ascii="Arial" w:cs="Arial" w:eastAsia="Arial" w:hAnsi="Arial"/>
          <w:sz w:val="16"/>
          <w:szCs w:val="16"/>
          <w:b w:val="1"/>
          <w:bCs w:val="1"/>
          <w:color w:val="auto"/>
        </w:rPr>
      </w:pPr>
    </w:p>
    <w:p>
      <w:pPr>
        <w:ind w:left="1049"/>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31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6" w:lineRule="exact"/>
        <w:rPr>
          <w:sz w:val="20"/>
          <w:szCs w:val="20"/>
          <w:color w:val="auto"/>
        </w:rPr>
      </w:pPr>
    </w:p>
    <w:p>
      <w:pPr>
        <w:ind w:left="909" w:hanging="909"/>
        <w:spacing w:after="0"/>
        <w:tabs>
          <w:tab w:leader="none" w:pos="90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312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48895</wp:posOffset>
            </wp:positionV>
            <wp:extent cx="831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960" w:hanging="958"/>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392</w:t>
      </w:r>
    </w:p>
    <w:p>
      <w:pPr>
        <w:spacing w:after="0" w:line="248"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234</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47</w:t>
      </w:r>
    </w:p>
    <w:p>
      <w:pPr>
        <w:spacing w:after="0" w:line="3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color w:val="auto"/>
        </w:rPr>
        <w:t>525</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5"/>
          <w:szCs w:val="15"/>
          <w:color w:val="auto"/>
        </w:rPr>
        <w:t>(17)</w:t>
      </w:r>
    </w:p>
    <w:p>
      <w:pPr>
        <w:spacing w:after="0" w:line="44"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(179)</w:t>
      </w:r>
    </w:p>
    <w:p>
      <w:pPr>
        <w:spacing w:after="0" w:line="32"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(431)</w:t>
      </w:r>
    </w:p>
    <w:p>
      <w:pPr>
        <w:spacing w:after="0" w:line="32" w:lineRule="exact"/>
        <w:rPr>
          <w:sz w:val="20"/>
          <w:szCs w:val="20"/>
          <w:color w:val="auto"/>
        </w:rPr>
      </w:pPr>
    </w:p>
    <w:p>
      <w:pPr>
        <w:jc w:val="right"/>
        <w:ind w:right="88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8312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6" w:lineRule="exact"/>
        <w:rPr>
          <w:sz w:val="20"/>
          <w:szCs w:val="20"/>
          <w:color w:val="auto"/>
        </w:rPr>
      </w:pPr>
    </w:p>
    <w:p>
      <w:pPr>
        <w:ind w:left="960" w:hanging="958"/>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831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36195</wp:posOffset>
            </wp:positionV>
            <wp:extent cx="8312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47" w:lineRule="exact"/>
        <w:rPr>
          <w:sz w:val="20"/>
          <w:szCs w:val="20"/>
          <w:color w:val="auto"/>
        </w:rPr>
      </w:pPr>
    </w:p>
    <w:p>
      <w:pPr>
        <w:ind w:left="900" w:hanging="898"/>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0.57</w:t>
      </w:r>
    </w:p>
    <w:p>
      <w:pPr>
        <w:spacing w:after="0" w:line="24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0.26</w:t>
      </w:r>
    </w:p>
    <w:p>
      <w:pPr>
        <w:spacing w:after="0" w:line="3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0.05</w:t>
      </w:r>
    </w:p>
    <w:p>
      <w:pPr>
        <w:spacing w:after="0" w:line="3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0.59</w:t>
      </w:r>
    </w:p>
    <w:p>
      <w:pPr>
        <w:spacing w:after="0" w:line="32"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831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6" w:lineRule="exact"/>
        <w:rPr>
          <w:sz w:val="20"/>
          <w:szCs w:val="20"/>
          <w:color w:val="auto"/>
        </w:rPr>
      </w:pPr>
    </w:p>
    <w:p>
      <w:pPr>
        <w:ind w:left="900" w:hanging="898"/>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8312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36195</wp:posOffset>
            </wp:positionV>
            <wp:extent cx="831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3">
            <w:col w:w="6731" w:space="720"/>
            <w:col w:w="1269" w:space="160"/>
            <w:col w:w="2100"/>
          </w:cols>
          <w:pgMar w:left="320" w:top="1225" w:right="599" w:bottom="1440" w:gutter="0" w:footer="0" w:header="0"/>
          <w:type w:val="continuous"/>
        </w:sectPr>
      </w:pPr>
    </w:p>
    <w:p>
      <w:pPr>
        <w:ind w:left="340" w:hanging="332"/>
        <w:spacing w:after="0" w:line="245" w:lineRule="auto"/>
        <w:tabs>
          <w:tab w:leader="none" w:pos="338"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acquisition and related integration costs incurred in connection with various acquisitions, primarily related to the First Data acquisition. First Data integration costs in the first quarter of 2021 and 2020 primarily include $52 million and $47 million, respectively, of third party professional service fees associated with integration activities; $18 million and $52 million, respectively, of incremental share-based compensation, including the fair value of stock awards assumed by Fiserv; $45 million and $50 million, respectively, of other integration-related compensation costs; and $52 million of accelerated depreciation and amortization associated with the termination of certain vendor contracts in the first quarter of 2020.</w:t>
      </w:r>
    </w:p>
    <w:p>
      <w:pPr>
        <w:spacing w:after="0" w:line="9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severance costs associated with the achievement of expense management initiatives, primarily related to the First Data acquisition.</w:t>
      </w:r>
    </w:p>
    <w:p>
      <w:pPr>
        <w:spacing w:after="0" w:line="109" w:lineRule="exact"/>
        <w:rPr>
          <w:sz w:val="20"/>
          <w:szCs w:val="20"/>
          <w:color w:val="auto"/>
        </w:rPr>
      </w:pPr>
    </w:p>
    <w:p>
      <w:pPr>
        <w:ind w:left="340" w:right="300" w:hanging="332"/>
        <w:spacing w:after="0" w:line="249" w:lineRule="auto"/>
        <w:tabs>
          <w:tab w:leader="none" w:pos="338" w:val="left"/>
        </w:tabs>
        <w:numPr>
          <w:ilvl w:val="0"/>
          <w:numId w:val="13"/>
        </w:numPr>
        <w:rPr>
          <w:rFonts w:ascii="Arial" w:cs="Arial" w:eastAsia="Arial" w:hAnsi="Arial"/>
          <w:sz w:val="9"/>
          <w:szCs w:val="9"/>
          <w:color w:val="auto"/>
        </w:rPr>
      </w:pPr>
      <w:r>
        <w:rPr>
          <w:rFonts w:ascii="Arial" w:cs="Arial" w:eastAsia="Arial" w:hAnsi="Arial"/>
          <w:sz w:val="14"/>
          <w:szCs w:val="14"/>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and financing costs and debt discounts. See additional information on page 13 for an analysis of the company's amortization expense.</w:t>
      </w:r>
    </w:p>
    <w:p>
      <w:pPr>
        <w:spacing w:after="0" w:line="93" w:lineRule="exact"/>
        <w:rPr>
          <w:sz w:val="20"/>
          <w:szCs w:val="20"/>
          <w:color w:val="auto"/>
        </w:rPr>
      </w:pPr>
    </w:p>
    <w:p>
      <w:pPr>
        <w:ind w:left="340" w:right="60" w:hanging="332"/>
        <w:spacing w:after="0" w:line="249" w:lineRule="auto"/>
        <w:tabs>
          <w:tab w:leader="none" w:pos="338"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 This adjustment in 2021 also includes gains totaling $40 million related to the fair value remeasurement of certain equity investments.</w:t>
      </w:r>
    </w:p>
    <w:p>
      <w:pPr>
        <w:spacing w:after="0" w:line="93" w:lineRule="exact"/>
        <w:rPr>
          <w:sz w:val="20"/>
          <w:szCs w:val="20"/>
          <w:color w:val="auto"/>
        </w:rPr>
      </w:pPr>
    </w:p>
    <w:p>
      <w:pPr>
        <w:ind w:left="340" w:right="40" w:hanging="332"/>
        <w:spacing w:after="0" w:line="258" w:lineRule="auto"/>
        <w:tabs>
          <w:tab w:leader="none" w:pos="338" w:val="left"/>
        </w:tabs>
        <w:numPr>
          <w:ilvl w:val="0"/>
          <w:numId w:val="15"/>
        </w:numPr>
        <w:rPr>
          <w:rFonts w:ascii="Arial" w:cs="Arial" w:eastAsia="Arial" w:hAnsi="Arial"/>
          <w:sz w:val="9"/>
          <w:szCs w:val="9"/>
          <w:color w:val="auto"/>
        </w:rPr>
      </w:pPr>
      <w:r>
        <w:rPr>
          <w:rFonts w:ascii="Arial" w:cs="Arial" w:eastAsia="Arial" w:hAnsi="Arial"/>
          <w:sz w:val="14"/>
          <w:szCs w:val="14"/>
          <w:color w:val="auto"/>
        </w:rPr>
        <w:t>The tax impact of adjustments is calculated using a tax rate of 23%, which approximates the company's anticipated annual effective tax rate, exclusive of the actual tax impacts associated with the gain on the sale of a 60% interest in the Investment Services business in February 2020.</w:t>
      </w:r>
    </w:p>
    <w:p>
      <w:pPr>
        <w:spacing w:after="0" w:line="8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4"/>
          <w:szCs w:val="14"/>
          <w:color w:val="auto"/>
        </w:rPr>
        <w:t>Represents the gain associated with the sale of a 60% interest in the Investment Services business in February 2020.</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340" w:lineRule="exact"/>
        <w:rPr>
          <w:rFonts w:ascii="Arial" w:cs="Arial" w:eastAsia="Arial" w:hAnsi="Arial"/>
          <w:sz w:val="9"/>
          <w:szCs w:val="9"/>
          <w:color w:val="auto"/>
        </w:rPr>
      </w:pPr>
    </w:p>
    <w:p>
      <w:pPr>
        <w:ind w:left="5580"/>
        <w:spacing w:after="0"/>
        <w:rPr>
          <w:rFonts w:ascii="Arial" w:cs="Arial" w:eastAsia="Arial" w:hAnsi="Arial"/>
          <w:sz w:val="9"/>
          <w:szCs w:val="9"/>
          <w:color w:val="auto"/>
        </w:rPr>
      </w:pPr>
      <w:r>
        <w:rPr>
          <w:rFonts w:ascii="Arial" w:cs="Arial" w:eastAsia="Arial" w:hAnsi="Arial"/>
          <w:sz w:val="16"/>
          <w:szCs w:val="16"/>
          <w:color w:val="auto"/>
        </w:rPr>
        <w:t>7</w:t>
      </w:r>
    </w:p>
    <w:p>
      <w:pPr>
        <w:sectPr>
          <w:pgSz w:w="11900" w:h="16838" w:orient="portrait"/>
          <w:cols w:equalWidth="0" w:num="1">
            <w:col w:w="10980"/>
          </w:cols>
          <w:pgMar w:left="320" w:top="1225" w:right="5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079"/>
          </w:cols>
          <w:pgMar w:left="380" w:top="1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Financial Results by Segment</w:t>
      </w:r>
    </w:p>
    <w:p>
      <w:pPr>
        <w:spacing w:after="0" w:line="52"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(In millions, unaudited)</w:t>
      </w:r>
    </w:p>
    <w:p>
      <w:pPr>
        <w:spacing w:after="0" w:line="64" w:lineRule="exact"/>
        <w:rPr>
          <w:sz w:val="20"/>
          <w:szCs w:val="20"/>
          <w:color w:val="auto"/>
        </w:rPr>
      </w:pPr>
    </w:p>
    <w:p>
      <w:pPr>
        <w:jc w:val="center"/>
        <w:ind w:left="5720"/>
        <w:spacing w:after="0"/>
        <w:rPr>
          <w:sz w:val="20"/>
          <w:szCs w:val="20"/>
          <w:color w:val="auto"/>
        </w:rPr>
      </w:pPr>
      <w:r>
        <w:rPr>
          <w:rFonts w:ascii="Arial" w:cs="Arial" w:eastAsia="Arial" w:hAnsi="Arial"/>
          <w:sz w:val="16"/>
          <w:szCs w:val="16"/>
          <w:color w:val="auto"/>
        </w:rPr>
        <w:t>Three Months Ended</w:t>
      </w:r>
    </w:p>
    <w:p>
      <w:pPr>
        <w:jc w:val="center"/>
        <w:ind w:left="5720"/>
        <w:spacing w:after="0"/>
        <w:rPr>
          <w:sz w:val="20"/>
          <w:szCs w:val="20"/>
          <w:color w:val="auto"/>
        </w:rPr>
      </w:pPr>
      <w:r>
        <w:rPr>
          <w:rFonts w:ascii="Arial" w:cs="Arial" w:eastAsia="Arial" w:hAnsi="Arial"/>
          <w:sz w:val="16"/>
          <w:szCs w:val="16"/>
          <w:color w:val="auto"/>
        </w:rPr>
        <w:t>March 31,</w:t>
      </w:r>
    </w:p>
    <w:p>
      <w:pPr>
        <w:spacing w:after="0" w:line="12"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20"/>
                <w:szCs w:val="20"/>
                <w:color w:val="auto"/>
              </w:rPr>
            </w:pPr>
            <w:r>
              <w:rPr>
                <w:rFonts w:ascii="Arial" w:cs="Arial" w:eastAsia="Arial" w:hAnsi="Arial"/>
                <w:sz w:val="16"/>
                <w:szCs w:val="16"/>
                <w:b w:val="1"/>
                <w:bCs w:val="1"/>
                <w:color w:val="auto"/>
              </w:rPr>
              <w:t>Total Company</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3,755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(205)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2"/>
        </w:trPr>
        <w:tc>
          <w:tcPr>
            <w:tcW w:w="572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color w:val="auto"/>
              </w:rPr>
              <w:t>Adjusted revenue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3,557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72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475</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506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7"/>
        </w:trPr>
        <w:tc>
          <w:tcPr>
            <w:tcW w:w="57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8"/>
        </w:trPr>
        <w:tc>
          <w:tcPr>
            <w:tcW w:w="5720" w:type="dxa"/>
            <w:vAlign w:val="bottom"/>
          </w:tcPr>
          <w:p>
            <w:pPr>
              <w:ind w:left="12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1,116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5720" w:type="dxa"/>
            <w:vAlign w:val="bottom"/>
          </w:tcPr>
          <w:p>
            <w:pPr>
              <w:spacing w:after="0"/>
              <w:rPr>
                <w:sz w:val="20"/>
                <w:szCs w:val="20"/>
                <w:color w:val="auto"/>
              </w:rPr>
            </w:pPr>
            <w:r>
              <w:rPr>
                <w:rFonts w:ascii="Arial" w:cs="Arial" w:eastAsia="Arial" w:hAnsi="Arial"/>
                <w:sz w:val="16"/>
                <w:szCs w:val="16"/>
                <w:color w:val="auto"/>
              </w:rPr>
              <w:t>Operating margin</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12.6 %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31.4 %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0"/>
                <w:szCs w:val="20"/>
                <w:color w:val="auto"/>
              </w:rPr>
            </w:pPr>
            <w:r>
              <w:rPr>
                <w:rFonts w:ascii="Arial" w:cs="Arial" w:eastAsia="Arial" w:hAnsi="Arial"/>
                <w:sz w:val="16"/>
                <w:szCs w:val="16"/>
                <w:b w:val="1"/>
                <w:bCs w:val="1"/>
                <w:color w:val="auto"/>
              </w:rPr>
              <w:t>Merchant Acceptance ("Acceptance")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1,397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3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2"/>
        </w:trPr>
        <w:tc>
          <w:tcPr>
            <w:tcW w:w="572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color w:val="auto"/>
              </w:rPr>
              <w:t>Adjusted revenue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1,397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387</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2"/>
        </w:trPr>
        <w:tc>
          <w:tcPr>
            <w:tcW w:w="5720" w:type="dxa"/>
            <w:vAlign w:val="bottom"/>
          </w:tcPr>
          <w:p>
            <w:pPr>
              <w:ind w:left="120"/>
              <w:spacing w:after="0" w:line="222" w:lineRule="exact"/>
              <w:rPr>
                <w:sz w:val="20"/>
                <w:szCs w:val="20"/>
                <w:color w:val="auto"/>
              </w:rPr>
            </w:pPr>
            <w:r>
              <w:rPr>
                <w:rFonts w:ascii="Arial" w:cs="Arial" w:eastAsia="Arial" w:hAnsi="Arial"/>
                <w:sz w:val="16"/>
                <w:szCs w:val="16"/>
                <w:color w:val="auto"/>
              </w:rPr>
              <w:t xml:space="preserve">Merchant Services adjustment </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387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tcPr>
          <w:p>
            <w:pPr>
              <w:spacing w:after="0"/>
              <w:rPr>
                <w:sz w:val="20"/>
                <w:szCs w:val="20"/>
                <w:color w:val="auto"/>
              </w:rPr>
            </w:pPr>
            <w:r>
              <w:rPr>
                <w:rFonts w:ascii="Arial" w:cs="Arial" w:eastAsia="Arial" w:hAnsi="Arial"/>
                <w:sz w:val="16"/>
                <w:szCs w:val="16"/>
                <w:color w:val="auto"/>
              </w:rPr>
              <w:t>Operating margin</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27.7 %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21.2 %</w:t>
            </w:r>
          </w:p>
        </w:tc>
        <w:tc>
          <w:tcPr>
            <w:tcW w:w="0" w:type="dxa"/>
            <w:vAlign w:val="bottom"/>
          </w:tcPr>
          <w:p>
            <w:pPr>
              <w:spacing w:after="0"/>
              <w:rPr>
                <w:sz w:val="1"/>
                <w:szCs w:val="1"/>
                <w:color w:val="auto"/>
              </w:rPr>
            </w:pPr>
          </w:p>
        </w:tc>
      </w:tr>
      <w:tr>
        <w:trPr>
          <w:trHeight w:val="325"/>
        </w:trPr>
        <w:tc>
          <w:tcPr>
            <w:tcW w:w="5720" w:type="dxa"/>
            <w:vAlign w:val="bottom"/>
          </w:tcPr>
          <w:p>
            <w:pPr>
              <w:spacing w:after="0"/>
              <w:rPr>
                <w:sz w:val="20"/>
                <w:szCs w:val="20"/>
                <w:color w:val="auto"/>
              </w:rPr>
            </w:pPr>
            <w:r>
              <w:rPr>
                <w:rFonts w:ascii="Arial" w:cs="Arial" w:eastAsia="Arial" w:hAnsi="Arial"/>
                <w:sz w:val="16"/>
                <w:szCs w:val="16"/>
                <w:b w:val="1"/>
                <w:bCs w:val="1"/>
                <w:color w:val="auto"/>
              </w:rPr>
              <w:t xml:space="preserve">Financial Technology ("Fintech") </w:t>
            </w:r>
            <w:r>
              <w:rPr>
                <w:rFonts w:ascii="Arial" w:cs="Arial" w:eastAsia="Arial" w:hAnsi="Arial"/>
                <w:sz w:val="21"/>
                <w:szCs w:val="21"/>
                <w:b w:val="1"/>
                <w:bCs w:val="1"/>
                <w:color w:val="auto"/>
                <w:vertAlign w:val="superscript"/>
              </w:rPr>
              <w:t>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7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72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246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720" w:type="dxa"/>
            <w:vAlign w:val="bottom"/>
          </w:tcPr>
          <w:p>
            <w:pPr>
              <w:spacing w:after="0"/>
              <w:rPr>
                <w:sz w:val="20"/>
                <w:szCs w:val="20"/>
                <w:color w:val="auto"/>
              </w:rPr>
            </w:pPr>
            <w:r>
              <w:rPr>
                <w:rFonts w:ascii="Arial" w:cs="Arial" w:eastAsia="Arial" w:hAnsi="Arial"/>
                <w:sz w:val="16"/>
                <w:szCs w:val="16"/>
                <w:color w:val="auto"/>
              </w:rPr>
              <w:t>Operating margin</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33.4 %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79"/>
          </w:cols>
          <w:pgMar w:left="380" w:top="12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079"/>
          </w:cols>
          <w:pgMar w:left="380" w:top="1225"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Financial Results by Segment (cont.)</w:t>
      </w:r>
    </w:p>
    <w:p>
      <w:pPr>
        <w:spacing w:after="0" w:line="5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(In millions, unaudited)</w:t>
      </w:r>
    </w:p>
    <w:p>
      <w:pPr>
        <w:spacing w:after="0" w:line="64" w:lineRule="exact"/>
        <w:rPr>
          <w:sz w:val="20"/>
          <w:szCs w:val="20"/>
          <w:color w:val="auto"/>
        </w:rPr>
      </w:pPr>
    </w:p>
    <w:p>
      <w:pPr>
        <w:jc w:val="center"/>
        <w:ind w:left="5700"/>
        <w:spacing w:after="0"/>
        <w:rPr>
          <w:sz w:val="20"/>
          <w:szCs w:val="20"/>
          <w:color w:val="auto"/>
        </w:rPr>
      </w:pPr>
      <w:r>
        <w:rPr>
          <w:rFonts w:ascii="Arial" w:cs="Arial" w:eastAsia="Arial" w:hAnsi="Arial"/>
          <w:sz w:val="16"/>
          <w:szCs w:val="16"/>
          <w:color w:val="auto"/>
        </w:rPr>
        <w:t>Three Months Ended</w:t>
      </w:r>
    </w:p>
    <w:p>
      <w:pPr>
        <w:jc w:val="center"/>
        <w:ind w:left="5700"/>
        <w:spacing w:after="0"/>
        <w:rPr>
          <w:sz w:val="20"/>
          <w:szCs w:val="20"/>
          <w:color w:val="auto"/>
        </w:rPr>
      </w:pPr>
      <w:r>
        <w:rPr>
          <w:rFonts w:ascii="Arial" w:cs="Arial" w:eastAsia="Arial" w:hAnsi="Arial"/>
          <w:sz w:val="16"/>
          <w:szCs w:val="16"/>
          <w:color w:val="auto"/>
        </w:rPr>
        <w:t>March 31,</w:t>
      </w:r>
    </w:p>
    <w:p>
      <w:pPr>
        <w:spacing w:after="0" w:line="12"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20"/>
                <w:szCs w:val="20"/>
                <w:color w:val="auto"/>
              </w:rPr>
            </w:pPr>
            <w:r>
              <w:rPr>
                <w:rFonts w:ascii="Arial" w:cs="Arial" w:eastAsia="Arial" w:hAnsi="Arial"/>
                <w:sz w:val="16"/>
                <w:szCs w:val="16"/>
                <w:b w:val="1"/>
                <w:bCs w:val="1"/>
                <w:color w:val="auto"/>
              </w:rPr>
              <w:t>Payments and Network ("Payments")</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1,405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Adjusted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1,412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572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578</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585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tcPr>
          <w:p>
            <w:pPr>
              <w:spacing w:after="0"/>
              <w:rPr>
                <w:sz w:val="20"/>
                <w:szCs w:val="20"/>
                <w:color w:val="auto"/>
              </w:rPr>
            </w:pPr>
            <w:r>
              <w:rPr>
                <w:rFonts w:ascii="Arial" w:cs="Arial" w:eastAsia="Arial" w:hAnsi="Arial"/>
                <w:sz w:val="16"/>
                <w:szCs w:val="16"/>
                <w:color w:val="auto"/>
              </w:rPr>
              <w:t>Operating margin</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41.1 %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41.4 %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r>
        <w:trPr>
          <w:trHeight w:val="324"/>
        </w:trPr>
        <w:tc>
          <w:tcPr>
            <w:tcW w:w="572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217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Adjusted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720" w:type="dxa"/>
            <w:vAlign w:val="bottom"/>
          </w:tcPr>
          <w:p>
            <w:pPr>
              <w:spacing w:after="0"/>
              <w:rPr>
                <w:sz w:val="20"/>
                <w:szCs w:val="20"/>
                <w:color w:val="auto"/>
              </w:rPr>
            </w:pPr>
            <w:r>
              <w:rPr>
                <w:rFonts w:ascii="Arial" w:cs="Arial" w:eastAsia="Arial" w:hAnsi="Arial"/>
                <w:sz w:val="16"/>
                <w:szCs w:val="16"/>
                <w:color w:val="auto"/>
              </w:rPr>
              <w:t>Operating loss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(736)</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506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9"/>
        </w:trPr>
        <w:tc>
          <w:tcPr>
            <w:tcW w:w="5720" w:type="dxa"/>
            <w:vAlign w:val="bottom"/>
          </w:tcPr>
          <w:p>
            <w:pPr>
              <w:ind w:left="12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170" w:lineRule="exact"/>
        <w:rPr>
          <w:sz w:val="20"/>
          <w:szCs w:val="20"/>
          <w:color w:val="auto"/>
        </w:rPr>
      </w:pPr>
    </w:p>
    <w:p>
      <w:pPr>
        <w:ind w:left="340" w:hanging="332"/>
        <w:spacing w:after="0" w:line="230" w:lineRule="auto"/>
        <w:tabs>
          <w:tab w:leader="none" w:pos="338"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Represents an adjustment primarily related to the company's joint venture with Bank of America. The Banc of America Merchant Services joint venture (BAMS) was dissolved effective July 1, 2020. The company owned 51% of BAMS and, through June 30, 2020, BAMS' financial results were 100% consolidated into the company's financial statements for GAAP reporting purposes. In connection with the dissolution of the joint venture, the company received a 51% share of the joint venture's value via an agreed upon contractual separation. In addition, the company will continue providing merchant processing and related services to Bank of America for its merchant clients. The non-GAAP adjustment reduces adjusted revenue and adjusted operating income by the joint venture revenue and expense that was not expected to be retained by the company upon dissolution and is partially offset by an increase to processing and services revenue.</w:t>
      </w:r>
    </w:p>
    <w:p>
      <w:pPr>
        <w:spacing w:after="0" w:line="99" w:lineRule="exact"/>
        <w:rPr>
          <w:sz w:val="20"/>
          <w:szCs w:val="20"/>
          <w:color w:val="auto"/>
        </w:rPr>
      </w:pPr>
    </w:p>
    <w:p>
      <w:pPr>
        <w:ind w:left="340" w:right="240" w:hanging="332"/>
        <w:spacing w:after="0" w:line="211" w:lineRule="auto"/>
        <w:tabs>
          <w:tab w:leader="none" w:pos="338"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For all periods presented in the Fintech segment,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40"/>
          </w:cols>
          <w:pgMar w:left="320" w:top="1225" w:right="639" w:bottom="1440" w:gutter="0" w:footer="0" w:header="0"/>
        </w:sectPr>
      </w:pPr>
    </w:p>
    <w:bookmarkStart w:id="13" w:name="page14"/>
    <w:bookmarkEnd w:id="13"/>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8240" w:type="dxa"/>
            <w:vAlign w:val="bottom"/>
          </w:tcPr>
          <w:p>
            <w:pPr>
              <w:jc w:val="center"/>
              <w:ind w:left="2628"/>
              <w:spacing w:after="0"/>
              <w:rPr>
                <w:sz w:val="20"/>
                <w:szCs w:val="20"/>
                <w:color w:val="auto"/>
              </w:rPr>
            </w:pPr>
            <w:r>
              <w:rPr>
                <w:rFonts w:ascii="Arial" w:cs="Arial" w:eastAsia="Arial" w:hAnsi="Arial"/>
                <w:sz w:val="14"/>
                <w:szCs w:val="14"/>
                <w:b w:val="1"/>
                <w:bCs w:val="1"/>
                <w:color w:val="auto"/>
              </w:rPr>
              <w:t>Fiserv, Inc.</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tcPr>
          <w:p>
            <w:pPr>
              <w:jc w:val="center"/>
              <w:ind w:left="260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jc w:val="center"/>
              <w:ind w:left="2608"/>
              <w:spacing w:after="0"/>
              <w:rPr>
                <w:sz w:val="20"/>
                <w:szCs w:val="20"/>
                <w:color w:val="auto"/>
              </w:rPr>
            </w:pPr>
            <w:r>
              <w:rPr>
                <w:rFonts w:ascii="Arial" w:cs="Arial" w:eastAsia="Arial" w:hAnsi="Arial"/>
                <w:sz w:val="14"/>
                <w:szCs w:val="14"/>
                <w:color w:val="auto"/>
              </w:rPr>
              <w:t>(In millions, unaudited)</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40" w:type="dxa"/>
            <w:vAlign w:val="bottom"/>
          </w:tcPr>
          <w:p>
            <w:pPr>
              <w:spacing w:after="0"/>
              <w:rPr>
                <w:sz w:val="13"/>
                <w:szCs w:val="13"/>
                <w:color w:val="auto"/>
              </w:rPr>
            </w:pPr>
          </w:p>
        </w:tc>
        <w:tc>
          <w:tcPr>
            <w:tcW w:w="2220" w:type="dxa"/>
            <w:vAlign w:val="bottom"/>
            <w:gridSpan w:val="4"/>
          </w:tcPr>
          <w:p>
            <w:pPr>
              <w:jc w:val="right"/>
              <w:ind w:right="128"/>
              <w:spacing w:after="0" w:line="152" w:lineRule="exact"/>
              <w:rPr>
                <w:sz w:val="20"/>
                <w:szCs w:val="20"/>
                <w:color w:val="auto"/>
              </w:rPr>
            </w:pPr>
            <w:r>
              <w:rPr>
                <w:rFonts w:ascii="Arial" w:cs="Arial" w:eastAsia="Arial" w:hAnsi="Arial"/>
                <w:sz w:val="14"/>
                <w:szCs w:val="14"/>
                <w:color w:val="auto"/>
              </w:rPr>
              <w:t>Three Months Ended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3"/>
          </w:tcPr>
          <w:p>
            <w:pPr>
              <w:jc w:val="right"/>
              <w:ind w:right="468"/>
              <w:spacing w:after="0"/>
              <w:rPr>
                <w:sz w:val="20"/>
                <w:szCs w:val="20"/>
                <w:color w:val="auto"/>
              </w:rPr>
            </w:pPr>
            <w:r>
              <w:rPr>
                <w:rFonts w:ascii="Arial" w:cs="Arial" w:eastAsia="Arial" w:hAnsi="Arial"/>
                <w:sz w:val="14"/>
                <w:szCs w:val="14"/>
                <w:color w:val="auto"/>
              </w:rPr>
              <w:t>March 31,</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4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40" w:type="dxa"/>
            <w:vAlign w:val="bottom"/>
            <w:vMerge w:val="continue"/>
          </w:tcPr>
          <w:p>
            <w:pPr>
              <w:spacing w:after="0"/>
              <w:rPr>
                <w:sz w:val="14"/>
                <w:szCs w:val="14"/>
                <w:color w:val="auto"/>
              </w:rPr>
            </w:pPr>
          </w:p>
        </w:tc>
        <w:tc>
          <w:tcPr>
            <w:tcW w:w="8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318</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Pr>
          <w:p>
            <w:pPr>
              <w:ind w:left="200"/>
              <w:spacing w:after="0"/>
              <w:rPr>
                <w:sz w:val="20"/>
                <w:szCs w:val="20"/>
                <w:color w:val="auto"/>
              </w:rPr>
            </w:pPr>
            <w:r>
              <w:rPr>
                <w:rFonts w:ascii="Arial" w:cs="Arial" w:eastAsia="Arial" w:hAnsi="Arial"/>
                <w:sz w:val="14"/>
                <w:szCs w:val="14"/>
                <w:color w:val="auto"/>
              </w:rPr>
              <w:t>Depreciation and other amortization</w:t>
            </w: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Amortization of acquisition-related intangible assets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521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Amortization of financing costs and debt discounts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Gain on sale of business</w:t>
            </w:r>
          </w:p>
        </w:tc>
        <w:tc>
          <w:tcPr>
            <w:tcW w:w="8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(Income) loss from investments in unconsolidated affiliates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Distributions from unconsolidated affiliates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Non-cash impairment charge</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240" w:type="dxa"/>
            <w:vAlign w:val="bottom"/>
          </w:tcPr>
          <w:p>
            <w:pPr>
              <w:ind w:left="200"/>
              <w:spacing w:after="0"/>
              <w:rPr>
                <w:sz w:val="20"/>
                <w:szCs w:val="20"/>
                <w:color w:val="auto"/>
              </w:rPr>
            </w:pPr>
            <w:r>
              <w:rPr>
                <w:rFonts w:ascii="Arial" w:cs="Arial" w:eastAsia="Arial" w:hAnsi="Arial"/>
                <w:sz w:val="14"/>
                <w:szCs w:val="14"/>
                <w:color w:val="auto"/>
              </w:rPr>
              <w:t>Other operating activities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from acquisitions and dispositions:</w:t>
            </w:r>
          </w:p>
        </w:tc>
        <w:tc>
          <w:tcPr>
            <w:tcW w:w="8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4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9"/>
        </w:trPr>
        <w:tc>
          <w:tcPr>
            <w:tcW w:w="8240" w:type="dxa"/>
            <w:vAlign w:val="bottom"/>
          </w:tcPr>
          <w:p>
            <w:pPr>
              <w:ind w:left="440"/>
              <w:spacing w:after="0"/>
              <w:rPr>
                <w:sz w:val="20"/>
                <w:szCs w:val="20"/>
                <w:color w:val="auto"/>
              </w:rPr>
            </w:pPr>
            <w:r>
              <w:rPr>
                <w:rFonts w:ascii="Arial" w:cs="Arial" w:eastAsia="Arial" w:hAnsi="Arial"/>
                <w:sz w:val="14"/>
                <w:szCs w:val="14"/>
                <w:color w:val="auto"/>
              </w:rPr>
              <w:t>Prepaid expenses and other assets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8240" w:type="dxa"/>
            <w:vAlign w:val="bottom"/>
          </w:tcPr>
          <w:p>
            <w:pPr>
              <w:ind w:left="440"/>
              <w:spacing w:after="0"/>
              <w:rPr>
                <w:sz w:val="20"/>
                <w:szCs w:val="20"/>
                <w:color w:val="auto"/>
              </w:rPr>
            </w:pPr>
            <w:r>
              <w:rPr>
                <w:rFonts w:ascii="Arial" w:cs="Arial" w:eastAsia="Arial" w:hAnsi="Arial"/>
                <w:sz w:val="14"/>
                <w:szCs w:val="14"/>
                <w:color w:val="auto"/>
              </w:rPr>
              <w:t>Contract costs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8240" w:type="dxa"/>
            <w:vAlign w:val="bottom"/>
          </w:tcPr>
          <w:p>
            <w:pPr>
              <w:ind w:left="440"/>
              <w:spacing w:after="0"/>
              <w:rPr>
                <w:sz w:val="20"/>
                <w:szCs w:val="20"/>
                <w:color w:val="auto"/>
              </w:rPr>
            </w:pPr>
            <w:r>
              <w:rPr>
                <w:rFonts w:ascii="Arial" w:cs="Arial" w:eastAsia="Arial" w:hAnsi="Arial"/>
                <w:sz w:val="14"/>
                <w:szCs w:val="14"/>
                <w:color w:val="auto"/>
              </w:rPr>
              <w:t>Accounts payable and other liabilities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9"/>
        </w:trPr>
        <w:tc>
          <w:tcPr>
            <w:tcW w:w="8240" w:type="dxa"/>
            <w:vAlign w:val="bottom"/>
          </w:tcPr>
          <w:p>
            <w:pPr>
              <w:ind w:left="440"/>
              <w:spacing w:after="0"/>
              <w:rPr>
                <w:sz w:val="20"/>
                <w:szCs w:val="20"/>
                <w:color w:val="auto"/>
              </w:rPr>
            </w:pPr>
            <w:r>
              <w:rPr>
                <w:rFonts w:ascii="Arial" w:cs="Arial" w:eastAsia="Arial" w:hAnsi="Arial"/>
                <w:sz w:val="14"/>
                <w:szCs w:val="14"/>
                <w:color w:val="auto"/>
              </w:rPr>
              <w:t>Contract liabilities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952</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78"/>
        </w:trPr>
        <w:tc>
          <w:tcPr>
            <w:tcW w:w="82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(234)</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Proceeds from sale of business</w:t>
            </w:r>
          </w:p>
        </w:tc>
        <w:tc>
          <w:tcPr>
            <w:tcW w:w="82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Payments for acquisition of businesses, net of cash acquired</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(227)</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(708)</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8"/>
        </w:trPr>
        <w:tc>
          <w:tcPr>
            <w:tcW w:w="82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Pr>
          <w:p>
            <w:pPr>
              <w:spacing w:after="0"/>
              <w:rPr>
                <w:sz w:val="24"/>
                <w:szCs w:val="24"/>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2,182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40" w:type="dxa"/>
            <w:vAlign w:val="bottom"/>
          </w:tcPr>
          <w:p>
            <w:pPr>
              <w:spacing w:after="0"/>
              <w:rPr>
                <w:sz w:val="20"/>
                <w:szCs w:val="20"/>
                <w:color w:val="auto"/>
              </w:rPr>
            </w:pPr>
            <w:r>
              <w:rPr>
                <w:rFonts w:ascii="Arial" w:cs="Arial" w:eastAsia="Arial" w:hAnsi="Arial"/>
                <w:sz w:val="14"/>
                <w:szCs w:val="14"/>
                <w:color w:val="auto"/>
              </w:rPr>
              <w:t>Debt proceeds</w:t>
            </w: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Debt repayments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(1,725)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(2,040)</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Short-term borrowings, net</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(742)</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Distributions paid to noncontrolling interests and redeemable noncontrolling interests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(311)</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(1,134)</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20"/>
                <w:szCs w:val="20"/>
                <w:color w:val="auto"/>
              </w:rPr>
            </w:pPr>
            <w:r>
              <w:rPr>
                <w:rFonts w:ascii="Arial" w:cs="Arial" w:eastAsia="Arial" w:hAnsi="Arial"/>
                <w:sz w:val="14"/>
                <w:szCs w:val="14"/>
                <w:color w:val="auto"/>
              </w:rPr>
              <w:t>Net change in cash, cash equivalents and restricted cash</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color w:val="auto"/>
              </w:rPr>
              <w:t>Cash, cash equivalents and restricted cash, beginning balance</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919</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ending balance</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844</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60"/>
          </w:cols>
          <w:pgMar w:left="380" w:top="1225" w:right="359" w:bottom="1440" w:gutter="0" w:footer="0" w:header="0"/>
        </w:sectPr>
      </w:pPr>
    </w:p>
    <w:bookmarkStart w:id="14" w:name="page15"/>
    <w:bookmarkEnd w:id="14"/>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640"/>
          </w:cols>
          <w:pgMar w:left="380" w:top="1225"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Fiserv, Inc.</w:t>
      </w:r>
    </w:p>
    <w:p>
      <w:pPr>
        <w:spacing w:after="0" w:line="32"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2"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(In millions, unaudited)</w:t>
      </w: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831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2,617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1,251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Settlement assets</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11,741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16,440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16,219</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1,646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11,171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11,603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3,824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36,380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36,322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Contract costs – net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9"/>
        </w:trPr>
        <w:tc>
          <w:tcPr>
            <w:tcW w:w="5900" w:type="dxa"/>
            <w:vAlign w:val="bottom"/>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5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3,243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555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Settlement obligations</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11,741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11,521</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15,905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15,637</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20,838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20,300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4,289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4,389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4"/>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41,995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41,290</w:t>
            </w:r>
          </w:p>
        </w:tc>
        <w:tc>
          <w:tcPr>
            <w:tcW w:w="0" w:type="dxa"/>
            <w:vAlign w:val="bottom"/>
          </w:tcPr>
          <w:p>
            <w:pPr>
              <w:spacing w:after="0"/>
              <w:rPr>
                <w:sz w:val="1"/>
                <w:szCs w:val="1"/>
                <w:color w:val="auto"/>
              </w:rPr>
            </w:pPr>
          </w:p>
        </w:tc>
      </w:tr>
      <w:tr>
        <w:trPr>
          <w:trHeight w:val="373"/>
        </w:trPr>
        <w:tc>
          <w:tcPr>
            <w:tcW w:w="59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78"/>
        </w:trPr>
        <w:tc>
          <w:tcPr>
            <w:tcW w:w="590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31,851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32,330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32,586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33,070</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74,840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40"/>
          </w:cols>
          <w:pgMar w:left="380" w:top="1225" w:right="879"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 millions, unaudited)</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191"/>
        </w:trPr>
        <w:tc>
          <w:tcPr>
            <w:tcW w:w="4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6"/>
                <w:szCs w:val="16"/>
                <w:color w:val="auto"/>
              </w:rPr>
              <w:t>Three Months Ended</w:t>
            </w: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60"/>
              <w:spacing w:after="0" w:line="230" w:lineRule="exact"/>
              <w:rPr>
                <w:sz w:val="20"/>
                <w:szCs w:val="20"/>
                <w:color w:val="auto"/>
              </w:rPr>
            </w:pPr>
            <w:r>
              <w:rPr>
                <w:rFonts w:ascii="Arial" w:cs="Arial" w:eastAsia="Arial" w:hAnsi="Arial"/>
                <w:sz w:val="16"/>
                <w:szCs w:val="16"/>
                <w:b w:val="1"/>
                <w:bCs w:val="1"/>
                <w:color w:val="auto"/>
              </w:rPr>
              <w:t xml:space="preserve">Internal Revenue Growth </w:t>
            </w:r>
            <w:r>
              <w:rPr>
                <w:rFonts w:ascii="Arial" w:cs="Arial" w:eastAsia="Arial" w:hAnsi="Arial"/>
                <w:sz w:val="21"/>
                <w:szCs w:val="21"/>
                <w:b w:val="1"/>
                <w:bCs w:val="1"/>
                <w:color w:val="auto"/>
                <w:vertAlign w:val="superscript"/>
              </w:rPr>
              <w:t>1</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6"/>
                <w:szCs w:val="16"/>
                <w:color w:val="auto"/>
              </w:rPr>
              <w:t>March 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3,557</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3,478</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ind w:left="22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Acquisition adjustments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Internal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3,448</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3,320</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Acceptance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1,397</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1,335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ind w:left="22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Internal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1,310</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1,218</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Fintech</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736</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ind w:left="220"/>
              <w:spacing w:after="0" w:line="222"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Internal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733</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1,412</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1,396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2"/>
          </w:tcPr>
          <w:p>
            <w:pPr>
              <w:ind w:left="220"/>
              <w:spacing w:after="0" w:line="218"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Acquisition adjustments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Internal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w w:val="99"/>
              </w:rPr>
              <w:t>1,405</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1,384</w:t>
            </w:r>
          </w:p>
        </w:tc>
        <w:tc>
          <w:tcPr>
            <w:tcW w:w="1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 and Other</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4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ind w:left="220"/>
              <w:spacing w:after="0"/>
              <w:rPr>
                <w:sz w:val="20"/>
                <w:szCs w:val="20"/>
                <w:color w:val="auto"/>
              </w:rPr>
            </w:pPr>
            <w:r>
              <w:rPr>
                <w:rFonts w:ascii="Arial" w:cs="Arial" w:eastAsia="Arial" w:hAnsi="Arial"/>
                <w:sz w:val="16"/>
                <w:szCs w:val="16"/>
                <w:color w:val="auto"/>
              </w:rPr>
              <w:t>Internal revenue</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pages 3-4 for disclosures related to the use of non-GAAP financial measures.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Internal revenue growth is calculated using actual, unrounded amounts.</w:t>
      </w:r>
    </w:p>
    <w:p>
      <w:pPr>
        <w:spacing w:after="0" w:line="109" w:lineRule="exact"/>
        <w:rPr>
          <w:sz w:val="20"/>
          <w:szCs w:val="20"/>
          <w:color w:val="auto"/>
        </w:rPr>
      </w:pPr>
    </w:p>
    <w:p>
      <w:pPr>
        <w:ind w:left="340" w:hanging="332"/>
        <w:spacing w:after="0" w:line="225" w:lineRule="auto"/>
        <w:tabs>
          <w:tab w:leader="none" w:pos="338"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Internal revenue growth is measured as the change in adjusted revenue (see pages 8-9) for the current period excluding the impact of foreign currency fluctuations and revenue attributable to acquisitions and dispositions, divided by adjusted revenue from the prior period excluding revenue attributable to dispositions. Revenue attributable to dispositions also includes current and prior period revenue associated with merchants retained by the Company from the Banc of America Merchant Services joint venture, which was dissolved effective July 1, 2020, and transition services revenue within Corporate and Other.</w:t>
      </w:r>
    </w:p>
    <w:p>
      <w:pPr>
        <w:spacing w:after="0" w:line="98" w:lineRule="exact"/>
        <w:rPr>
          <w:sz w:val="20"/>
          <w:szCs w:val="20"/>
          <w:color w:val="auto"/>
        </w:rPr>
      </w:pPr>
    </w:p>
    <w:p>
      <w:pPr>
        <w:ind w:left="340" w:right="40" w:hanging="332"/>
        <w:spacing w:after="0" w:line="211" w:lineRule="auto"/>
        <w:tabs>
          <w:tab w:leader="none" w:pos="338"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320" w:top="1225" w:right="419" w:bottom="1440" w:gutter="0" w:footer="0" w:header="0"/>
        </w:sectPr>
      </w:pPr>
    </w:p>
    <w:bookmarkStart w:id="16" w:name="page17"/>
    <w:bookmarkEnd w:id="1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Fiserv, Inc.</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(In millions, unaudited)</w:t>
      </w:r>
    </w:p>
    <w:p>
      <w:pPr>
        <w:spacing w:after="0" w:line="105"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5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4"/>
          </w:tcPr>
          <w:p>
            <w:pPr>
              <w:jc w:val="right"/>
              <w:ind w:right="159"/>
              <w:spacing w:after="0"/>
              <w:rPr>
                <w:sz w:val="20"/>
                <w:szCs w:val="20"/>
                <w:color w:val="auto"/>
              </w:rPr>
            </w:pPr>
            <w:r>
              <w:rPr>
                <w:rFonts w:ascii="Arial" w:cs="Arial" w:eastAsia="Arial" w:hAnsi="Arial"/>
                <w:sz w:val="16"/>
                <w:szCs w:val="16"/>
                <w:color w:val="auto"/>
              </w:rPr>
              <w:t>Three Months Ended</w:t>
            </w:r>
          </w:p>
        </w:tc>
        <w:tc>
          <w:tcPr>
            <w:tcW w:w="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Free Cash Flow</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1540" w:type="dxa"/>
            <w:vAlign w:val="bottom"/>
            <w:gridSpan w:val="3"/>
          </w:tcPr>
          <w:p>
            <w:pPr>
              <w:jc w:val="right"/>
              <w:ind w:right="539"/>
              <w:spacing w:after="0"/>
              <w:rPr>
                <w:sz w:val="20"/>
                <w:szCs w:val="20"/>
                <w:color w:val="auto"/>
              </w:rPr>
            </w:pPr>
            <w:r>
              <w:rPr>
                <w:rFonts w:ascii="Arial" w:cs="Arial" w:eastAsia="Arial" w:hAnsi="Arial"/>
                <w:sz w:val="16"/>
                <w:szCs w:val="16"/>
                <w:color w:val="auto"/>
              </w:rPr>
              <w:t>March 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60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952</w:t>
            </w:r>
          </w:p>
        </w:tc>
        <w:tc>
          <w:tcPr>
            <w:tcW w:w="180" w:type="dxa"/>
            <w:vAlign w:val="bottom"/>
          </w:tcPr>
          <w:p>
            <w:pPr>
              <w:spacing w:after="0"/>
              <w:rPr>
                <w:sz w:val="22"/>
                <w:szCs w:val="22"/>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29"/>
        </w:trPr>
        <w:tc>
          <w:tcPr>
            <w:tcW w:w="560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Distributions paid to noncontrolling interests and redeemable</w:t>
            </w:r>
          </w:p>
        </w:tc>
        <w:tc>
          <w:tcPr>
            <w:tcW w:w="90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noncontrolling interests</w:t>
            </w:r>
          </w:p>
        </w:tc>
        <w:tc>
          <w:tcPr>
            <w:tcW w:w="9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7"/>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Distributions from unconsolidated affiliates included in cash flows</w:t>
            </w:r>
          </w:p>
        </w:tc>
        <w:tc>
          <w:tcPr>
            <w:tcW w:w="90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from investing activities</w:t>
            </w:r>
          </w:p>
        </w:tc>
        <w:tc>
          <w:tcPr>
            <w:tcW w:w="9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9"/>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Severance, merger and integration payments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5600" w:type="dxa"/>
            <w:vAlign w:val="bottom"/>
            <w:gridSpan w:val="2"/>
          </w:tcPr>
          <w:p>
            <w:pPr>
              <w:ind w:left="220"/>
              <w:spacing w:after="0"/>
              <w:rPr>
                <w:sz w:val="20"/>
                <w:szCs w:val="20"/>
                <w:color w:val="auto"/>
              </w:rPr>
            </w:pPr>
            <w:r>
              <w:rPr>
                <w:rFonts w:ascii="Arial" w:cs="Arial" w:eastAsia="Arial" w:hAnsi="Arial"/>
                <w:sz w:val="16"/>
                <w:szCs w:val="16"/>
                <w:color w:val="auto"/>
              </w:rPr>
              <w:t>Tax payments on adjustments</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5600" w:type="dxa"/>
            <w:vAlign w:val="bottom"/>
            <w:gridSpan w:val="2"/>
          </w:tcPr>
          <w:p>
            <w:pPr>
              <w:ind w:left="460"/>
              <w:spacing w:after="0"/>
              <w:rPr>
                <w:sz w:val="20"/>
                <w:szCs w:val="20"/>
                <w:color w:val="auto"/>
              </w:rPr>
            </w:pPr>
            <w:r>
              <w:rPr>
                <w:rFonts w:ascii="Arial" w:cs="Arial" w:eastAsia="Arial" w:hAnsi="Arial"/>
                <w:sz w:val="16"/>
                <w:szCs w:val="16"/>
                <w:color w:val="auto"/>
              </w:rPr>
              <w:t>Free cash flow</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523240</wp:posOffset>
            </wp:positionV>
            <wp:extent cx="5400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color w:val="auto"/>
              </w:rPr>
              <w:t>Three Months Ended</w:t>
            </w:r>
          </w:p>
        </w:tc>
        <w:tc>
          <w:tcPr>
            <w:tcW w:w="420" w:type="dxa"/>
            <w:vAlign w:val="bottom"/>
          </w:tcPr>
          <w:p>
            <w:pPr>
              <w:spacing w:after="0"/>
              <w:rPr>
                <w:sz w:val="16"/>
                <w:szCs w:val="16"/>
                <w:color w:val="auto"/>
              </w:rPr>
            </w:pPr>
          </w:p>
        </w:tc>
      </w:tr>
      <w:tr>
        <w:trPr>
          <w:trHeight w:val="236"/>
        </w:trPr>
        <w:tc>
          <w:tcPr>
            <w:tcW w:w="5600" w:type="dxa"/>
            <w:vAlign w:val="bottom"/>
            <w:gridSpan w:val="2"/>
          </w:tcPr>
          <w:p>
            <w:pPr>
              <w:spacing w:after="0" w:line="237" w:lineRule="exact"/>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940" w:type="dxa"/>
            <w:vAlign w:val="bottom"/>
          </w:tcPr>
          <w:p>
            <w:pPr>
              <w:spacing w:after="0"/>
              <w:rPr>
                <w:sz w:val="20"/>
                <w:szCs w:val="20"/>
                <w:color w:val="auto"/>
              </w:rPr>
            </w:pPr>
          </w:p>
        </w:tc>
        <w:tc>
          <w:tcPr>
            <w:tcW w:w="1540" w:type="dxa"/>
            <w:vAlign w:val="bottom"/>
            <w:gridSpan w:val="3"/>
          </w:tcPr>
          <w:p>
            <w:pPr>
              <w:jc w:val="right"/>
              <w:ind w:right="579"/>
              <w:spacing w:after="0"/>
              <w:rPr>
                <w:sz w:val="20"/>
                <w:szCs w:val="20"/>
                <w:color w:val="auto"/>
              </w:rPr>
            </w:pPr>
            <w:r>
              <w:rPr>
                <w:rFonts w:ascii="Arial" w:cs="Arial" w:eastAsia="Arial" w:hAnsi="Arial"/>
                <w:sz w:val="16"/>
                <w:szCs w:val="16"/>
                <w:color w:val="auto"/>
              </w:rPr>
              <w:t>March 31,</w:t>
            </w:r>
          </w:p>
        </w:tc>
        <w:tc>
          <w:tcPr>
            <w:tcW w:w="420" w:type="dxa"/>
            <w:vAlign w:val="bottom"/>
          </w:tcPr>
          <w:p>
            <w:pPr>
              <w:spacing w:after="0"/>
              <w:rPr>
                <w:sz w:val="20"/>
                <w:szCs w:val="20"/>
                <w:color w:val="auto"/>
              </w:rPr>
            </w:pPr>
          </w:p>
        </w:tc>
      </w:tr>
      <w:tr>
        <w:trPr>
          <w:trHeight w:val="218"/>
        </w:trPr>
        <w:tc>
          <w:tcPr>
            <w:tcW w:w="5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20" w:type="dxa"/>
            <w:vAlign w:val="bottom"/>
            <w:tcBorders>
              <w:bottom w:val="single" w:sz="8" w:color="auto"/>
            </w:tcBorders>
          </w:tcPr>
          <w:p>
            <w:pPr>
              <w:spacing w:after="0"/>
              <w:rPr>
                <w:sz w:val="18"/>
                <w:szCs w:val="18"/>
                <w:color w:val="auto"/>
              </w:rPr>
            </w:pPr>
          </w:p>
        </w:tc>
      </w:tr>
      <w:tr>
        <w:trPr>
          <w:trHeight w:val="247"/>
        </w:trPr>
        <w:tc>
          <w:tcPr>
            <w:tcW w:w="5600" w:type="dxa"/>
            <w:vAlign w:val="bottom"/>
            <w:gridSpan w:val="2"/>
          </w:tcPr>
          <w:p>
            <w:pPr>
              <w:spacing w:after="0"/>
              <w:rPr>
                <w:sz w:val="20"/>
                <w:szCs w:val="20"/>
                <w:color w:val="auto"/>
              </w:rPr>
            </w:pPr>
            <w:r>
              <w:rPr>
                <w:rFonts w:ascii="Arial" w:cs="Arial" w:eastAsia="Arial" w:hAnsi="Arial"/>
                <w:sz w:val="16"/>
                <w:szCs w:val="16"/>
                <w:color w:val="auto"/>
              </w:rPr>
              <w:t>Acquisition-related intangible assets</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521</w:t>
            </w:r>
          </w:p>
        </w:tc>
        <w:tc>
          <w:tcPr>
            <w:tcW w:w="180" w:type="dxa"/>
            <w:vAlign w:val="bottom"/>
          </w:tcPr>
          <w:p>
            <w:pPr>
              <w:spacing w:after="0"/>
              <w:rPr>
                <w:sz w:val="21"/>
                <w:szCs w:val="21"/>
                <w:color w:val="auto"/>
              </w:rPr>
            </w:pP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6"/>
        </w:trPr>
        <w:tc>
          <w:tcPr>
            <w:tcW w:w="5600" w:type="dxa"/>
            <w:vAlign w:val="bottom"/>
            <w:gridSpan w:val="2"/>
          </w:tcPr>
          <w:p>
            <w:pPr>
              <w:spacing w:after="0"/>
              <w:rPr>
                <w:sz w:val="20"/>
                <w:szCs w:val="20"/>
                <w:color w:val="auto"/>
              </w:rPr>
            </w:pPr>
            <w:r>
              <w:rPr>
                <w:rFonts w:ascii="Arial" w:cs="Arial" w:eastAsia="Arial" w:hAnsi="Arial"/>
                <w:sz w:val="16"/>
                <w:szCs w:val="16"/>
                <w:color w:val="auto"/>
              </w:rPr>
              <w:t>Capitalized software and other intangibles</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5600" w:type="dxa"/>
            <w:vAlign w:val="bottom"/>
            <w:gridSpan w:val="2"/>
          </w:tcPr>
          <w:p>
            <w:pPr>
              <w:spacing w:after="0"/>
              <w:rPr>
                <w:sz w:val="20"/>
                <w:szCs w:val="20"/>
                <w:color w:val="auto"/>
              </w:rPr>
            </w:pPr>
            <w:r>
              <w:rPr>
                <w:rFonts w:ascii="Arial" w:cs="Arial" w:eastAsia="Arial" w:hAnsi="Arial"/>
                <w:sz w:val="16"/>
                <w:szCs w:val="16"/>
                <w:color w:val="auto"/>
              </w:rPr>
              <w:t>Purchased software</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5600" w:type="dxa"/>
            <w:vAlign w:val="bottom"/>
            <w:gridSpan w:val="2"/>
          </w:tcPr>
          <w:p>
            <w:pPr>
              <w:spacing w:after="0"/>
              <w:rPr>
                <w:sz w:val="20"/>
                <w:szCs w:val="20"/>
                <w:color w:val="auto"/>
              </w:rPr>
            </w:pPr>
            <w:r>
              <w:rPr>
                <w:rFonts w:ascii="Arial" w:cs="Arial" w:eastAsia="Arial" w:hAnsi="Arial"/>
                <w:sz w:val="16"/>
                <w:szCs w:val="16"/>
                <w:color w:val="auto"/>
              </w:rPr>
              <w:t>Financing costs and debt discounts</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600" w:type="dxa"/>
            <w:vAlign w:val="bottom"/>
            <w:gridSpan w:val="2"/>
          </w:tcPr>
          <w:p>
            <w:pPr>
              <w:spacing w:after="0"/>
              <w:rPr>
                <w:sz w:val="20"/>
                <w:szCs w:val="20"/>
                <w:color w:val="auto"/>
              </w:rPr>
            </w:pPr>
            <w:r>
              <w:rPr>
                <w:rFonts w:ascii="Arial" w:cs="Arial" w:eastAsia="Arial" w:hAnsi="Arial"/>
                <w:sz w:val="16"/>
                <w:szCs w:val="16"/>
                <w:color w:val="auto"/>
              </w:rPr>
              <w:t>Sales commissions</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5600" w:type="dxa"/>
            <w:vAlign w:val="bottom"/>
            <w:gridSpan w:val="2"/>
          </w:tcPr>
          <w:p>
            <w:pPr>
              <w:spacing w:after="0"/>
              <w:rPr>
                <w:sz w:val="20"/>
                <w:szCs w:val="20"/>
                <w:color w:val="auto"/>
              </w:rPr>
            </w:pPr>
            <w:r>
              <w:rPr>
                <w:rFonts w:ascii="Arial" w:cs="Arial" w:eastAsia="Arial" w:hAnsi="Arial"/>
                <w:sz w:val="16"/>
                <w:szCs w:val="16"/>
                <w:color w:val="auto"/>
              </w:rPr>
              <w:t>Deferred conversion costs</w:t>
            </w: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600" w:type="dxa"/>
            <w:vAlign w:val="bottom"/>
            <w:gridSpan w:val="2"/>
          </w:tcPr>
          <w:p>
            <w:pPr>
              <w:ind w:left="140"/>
              <w:spacing w:after="0"/>
              <w:rPr>
                <w:sz w:val="20"/>
                <w:szCs w:val="20"/>
                <w:color w:val="auto"/>
              </w:rPr>
            </w:pPr>
            <w:r>
              <w:rPr>
                <w:rFonts w:ascii="Arial" w:cs="Arial" w:eastAsia="Arial" w:hAnsi="Arial"/>
                <w:sz w:val="16"/>
                <w:szCs w:val="16"/>
                <w:color w:val="auto"/>
              </w:rPr>
              <w:t>Total amortization</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237" w:lineRule="exact"/>
        <w:rPr>
          <w:sz w:val="20"/>
          <w:szCs w:val="20"/>
          <w:color w:val="auto"/>
        </w:rPr>
      </w:pPr>
    </w:p>
    <w:p>
      <w:pPr>
        <w:ind w:left="340" w:hanging="332"/>
        <w:spacing w:after="0" w:line="251" w:lineRule="auto"/>
        <w:tabs>
          <w:tab w:leader="none" w:pos="338"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(see corresponding adjustment on page 7). The adjustment for acquired First Data software/technology excludes only the incremental amortization related to the fair value purchase accounting allocation.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60"/>
          </w:cols>
          <w:pgMar w:left="320" w:top="1225" w:right="719" w:bottom="1440" w:gutter="0" w:footer="0" w:header="0"/>
        </w:sectPr>
      </w:pPr>
    </w:p>
    <w:bookmarkStart w:id="17" w:name="page18"/>
    <w:bookmarkEnd w:id="1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2021, including internal revenue growth and adjusted earnings per share are designed to enhance shareholders’ ability to evaluate the company’s performance by excluding certain items to focus on factors and trends affecting its business.</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company's internal revenue growth outlook for 2021 includes deferred revenue purchase accounting adjustments and excludes the impact of foreign currency fluctuations, acquisitions, dispositions and the impact of the company's Output Solutions postage reimbursements. The company's adjusted earnings per share outlook for 2021 excludes certain non-cash or other items such as non-cash intangible asset amortization expense associated with acquisitions; non-cash impairment charges and restructuring costs; merger and integration costs; severance costs; gains or losses from the sale of businesses; and certain discrete tax benefits and expenses, and includes non-cash deferred revenue purchase accounting adjustments. The company estimates that amortization expense in 2021 with respect to acquired intangible assets will approximate the amount incurred in 2020. Other adjustments to the company’s financial measures that were incurred in 2020 and for the three months ended March 31, 2021 are presented in this news release; however, they are not necessarily indicative of adjustments that may be incurred throughout 2021 or beyond. Estimates of these impacts and adjustments on a forward-looking basis are not available due to the variability, complexity and limited visibility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20" w:top="1225" w:right="359" w:bottom="1440" w:gutter="0" w:footer="0" w:header="0"/>
        </w:sectPr>
      </w:pPr>
    </w:p>
    <w:bookmarkStart w:id="18" w:name="page19"/>
    <w:bookmarkEnd w:id="1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earnings per share growth outlook for 2021 is based on 2020 adjusted earnings per share performance.</w:t>
      </w:r>
    </w:p>
    <w:p>
      <w:pPr>
        <w:sectPr>
          <w:pgSz w:w="11900" w:h="16838" w:orient="portrait"/>
          <w:cols w:equalWidth="0" w:num="1">
            <w:col w:w="11000"/>
          </w:cols>
          <w:pgMar w:left="320" w:top="1225" w:right="579" w:bottom="1125" w:gutter="0" w:footer="0" w:header="0"/>
        </w:sectPr>
      </w:pPr>
    </w:p>
    <w:p>
      <w:pPr>
        <w:spacing w:after="0" w:line="3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2020 GAAP net income attributable to Fiserv</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Adjustments:</w:t>
      </w:r>
    </w:p>
    <w:p>
      <w:pPr>
        <w:ind w:left="380"/>
        <w:spacing w:after="0" w:line="228" w:lineRule="auto"/>
        <w:rPr>
          <w:sz w:val="20"/>
          <w:szCs w:val="20"/>
          <w:color w:val="auto"/>
        </w:rPr>
      </w:pPr>
      <w:r>
        <w:rPr>
          <w:rFonts w:ascii="Arial" w:cs="Arial" w:eastAsia="Arial" w:hAnsi="Arial"/>
          <w:sz w:val="18"/>
          <w:szCs w:val="18"/>
          <w:color w:val="auto"/>
        </w:rPr>
        <w:t xml:space="preserve">Merger and integration costs </w:t>
      </w:r>
      <w:r>
        <w:rPr>
          <w:rFonts w:ascii="Arial" w:cs="Arial" w:eastAsia="Arial" w:hAnsi="Arial"/>
          <w:sz w:val="23"/>
          <w:szCs w:val="23"/>
          <w:color w:val="auto"/>
          <w:vertAlign w:val="superscript"/>
        </w:rPr>
        <w:t>1</w:t>
      </w:r>
    </w:p>
    <w:p>
      <w:pPr>
        <w:ind w:left="380"/>
        <w:spacing w:after="0" w:line="199" w:lineRule="auto"/>
        <w:rPr>
          <w:sz w:val="20"/>
          <w:szCs w:val="20"/>
          <w:color w:val="auto"/>
        </w:rPr>
      </w:pPr>
      <w:r>
        <w:rPr>
          <w:rFonts w:ascii="Arial" w:cs="Arial" w:eastAsia="Arial" w:hAnsi="Arial"/>
          <w:sz w:val="18"/>
          <w:szCs w:val="18"/>
          <w:color w:val="auto"/>
        </w:rPr>
        <w:t xml:space="preserve">Severance costs </w:t>
      </w:r>
      <w:r>
        <w:rPr>
          <w:rFonts w:ascii="Arial" w:cs="Arial" w:eastAsia="Arial" w:hAnsi="Arial"/>
          <w:sz w:val="23"/>
          <w:szCs w:val="23"/>
          <w:color w:val="auto"/>
          <w:vertAlign w:val="superscript"/>
        </w:rPr>
        <w:t>2</w:t>
      </w:r>
    </w:p>
    <w:p>
      <w:pPr>
        <w:ind w:left="380"/>
        <w:spacing w:after="0" w:line="218" w:lineRule="auto"/>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p>
      <w:pPr>
        <w:ind w:left="380"/>
        <w:spacing w:after="0" w:line="198" w:lineRule="auto"/>
        <w:rPr>
          <w:sz w:val="20"/>
          <w:szCs w:val="20"/>
          <w:color w:val="auto"/>
        </w:rPr>
      </w:pPr>
      <w:r>
        <w:rPr>
          <w:rFonts w:ascii="Arial" w:cs="Arial" w:eastAsia="Arial" w:hAnsi="Arial"/>
          <w:sz w:val="18"/>
          <w:szCs w:val="18"/>
          <w:color w:val="auto"/>
        </w:rPr>
        <w:t xml:space="preserve">Non wholly-owned entity activities </w:t>
      </w:r>
      <w:r>
        <w:rPr>
          <w:rFonts w:ascii="Arial" w:cs="Arial" w:eastAsia="Arial" w:hAnsi="Arial"/>
          <w:sz w:val="23"/>
          <w:szCs w:val="23"/>
          <w:color w:val="auto"/>
          <w:vertAlign w:val="superscript"/>
        </w:rPr>
        <w:t>4</w:t>
      </w:r>
    </w:p>
    <w:p>
      <w:pPr>
        <w:ind w:left="380"/>
        <w:spacing w:after="0" w:line="218" w:lineRule="auto"/>
        <w:rPr>
          <w:sz w:val="20"/>
          <w:szCs w:val="20"/>
          <w:color w:val="auto"/>
        </w:rPr>
      </w:pPr>
      <w:r>
        <w:rPr>
          <w:rFonts w:ascii="Arial" w:cs="Arial" w:eastAsia="Arial" w:hAnsi="Arial"/>
          <w:sz w:val="18"/>
          <w:szCs w:val="18"/>
          <w:color w:val="auto"/>
        </w:rPr>
        <w:t xml:space="preserve">Tax impact of adjustments </w:t>
      </w:r>
      <w:r>
        <w:rPr>
          <w:rFonts w:ascii="Arial" w:cs="Arial" w:eastAsia="Arial" w:hAnsi="Arial"/>
          <w:sz w:val="23"/>
          <w:szCs w:val="23"/>
          <w:color w:val="auto"/>
          <w:vertAlign w:val="superscript"/>
        </w:rPr>
        <w:t>5</w:t>
      </w:r>
    </w:p>
    <w:p>
      <w:pPr>
        <w:ind w:left="380"/>
        <w:spacing w:after="0" w:line="199" w:lineRule="auto"/>
        <w:rPr>
          <w:sz w:val="20"/>
          <w:szCs w:val="20"/>
          <w:color w:val="auto"/>
        </w:rPr>
      </w:pPr>
      <w:r>
        <w:rPr>
          <w:rFonts w:ascii="Arial" w:cs="Arial" w:eastAsia="Arial" w:hAnsi="Arial"/>
          <w:sz w:val="18"/>
          <w:szCs w:val="18"/>
          <w:color w:val="auto"/>
        </w:rPr>
        <w:t xml:space="preserve">Gain on sale of businesses </w:t>
      </w:r>
      <w:r>
        <w:rPr>
          <w:rFonts w:ascii="Arial" w:cs="Arial" w:eastAsia="Arial" w:hAnsi="Arial"/>
          <w:sz w:val="23"/>
          <w:szCs w:val="23"/>
          <w:color w:val="auto"/>
          <w:vertAlign w:val="superscript"/>
        </w:rPr>
        <w:t>6</w:t>
      </w:r>
    </w:p>
    <w:p>
      <w:pPr>
        <w:ind w:left="380"/>
        <w:spacing w:after="0" w:line="218" w:lineRule="auto"/>
        <w:rPr>
          <w:sz w:val="20"/>
          <w:szCs w:val="20"/>
          <w:color w:val="auto"/>
        </w:rPr>
      </w:pPr>
      <w:r>
        <w:rPr>
          <w:rFonts w:ascii="Arial" w:cs="Arial" w:eastAsia="Arial" w:hAnsi="Arial"/>
          <w:sz w:val="18"/>
          <w:szCs w:val="18"/>
          <w:color w:val="auto"/>
        </w:rPr>
        <w:t xml:space="preserve">Tax impact of gain on sale of businesses </w:t>
      </w:r>
      <w:r>
        <w:rPr>
          <w:rFonts w:ascii="Arial" w:cs="Arial" w:eastAsia="Arial" w:hAnsi="Arial"/>
          <w:sz w:val="23"/>
          <w:szCs w:val="23"/>
          <w:color w:val="auto"/>
          <w:vertAlign w:val="superscript"/>
        </w:rPr>
        <w:t>5</w:t>
      </w:r>
    </w:p>
    <w:p>
      <w:pPr>
        <w:ind w:left="380"/>
        <w:spacing w:after="0"/>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7</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2020 adjusted net income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Weighted average common shares outstanding - diluted</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2020 GAAP earnings per share attributable to Fiserv</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Adjustments - net of income taxes:</w:t>
      </w:r>
    </w:p>
    <w:p>
      <w:pPr>
        <w:ind w:left="380"/>
        <w:spacing w:after="0" w:line="228" w:lineRule="auto"/>
        <w:rPr>
          <w:sz w:val="20"/>
          <w:szCs w:val="20"/>
          <w:color w:val="auto"/>
        </w:rPr>
      </w:pPr>
      <w:r>
        <w:rPr>
          <w:rFonts w:ascii="Arial" w:cs="Arial" w:eastAsia="Arial" w:hAnsi="Arial"/>
          <w:sz w:val="18"/>
          <w:szCs w:val="18"/>
          <w:color w:val="auto"/>
        </w:rPr>
        <w:t xml:space="preserve">Merger and integration costs </w:t>
      </w:r>
      <w:r>
        <w:rPr>
          <w:rFonts w:ascii="Arial" w:cs="Arial" w:eastAsia="Arial" w:hAnsi="Arial"/>
          <w:sz w:val="23"/>
          <w:szCs w:val="23"/>
          <w:color w:val="auto"/>
          <w:vertAlign w:val="superscript"/>
        </w:rPr>
        <w:t>1</w:t>
      </w:r>
    </w:p>
    <w:p>
      <w:pPr>
        <w:ind w:left="380"/>
        <w:spacing w:after="0" w:line="199" w:lineRule="auto"/>
        <w:rPr>
          <w:sz w:val="20"/>
          <w:szCs w:val="20"/>
          <w:color w:val="auto"/>
        </w:rPr>
      </w:pPr>
      <w:r>
        <w:rPr>
          <w:rFonts w:ascii="Arial" w:cs="Arial" w:eastAsia="Arial" w:hAnsi="Arial"/>
          <w:sz w:val="18"/>
          <w:szCs w:val="18"/>
          <w:color w:val="auto"/>
        </w:rPr>
        <w:t xml:space="preserve">Severance costs </w:t>
      </w:r>
      <w:r>
        <w:rPr>
          <w:rFonts w:ascii="Arial" w:cs="Arial" w:eastAsia="Arial" w:hAnsi="Arial"/>
          <w:sz w:val="23"/>
          <w:szCs w:val="23"/>
          <w:color w:val="auto"/>
          <w:vertAlign w:val="superscript"/>
        </w:rPr>
        <w:t>2</w:t>
      </w:r>
    </w:p>
    <w:p>
      <w:pPr>
        <w:ind w:left="380"/>
        <w:spacing w:after="0" w:line="218" w:lineRule="auto"/>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p>
      <w:pPr>
        <w:ind w:left="380"/>
        <w:spacing w:after="0" w:line="198" w:lineRule="auto"/>
        <w:rPr>
          <w:sz w:val="20"/>
          <w:szCs w:val="20"/>
          <w:color w:val="auto"/>
        </w:rPr>
      </w:pPr>
      <w:r>
        <w:rPr>
          <w:rFonts w:ascii="Arial" w:cs="Arial" w:eastAsia="Arial" w:hAnsi="Arial"/>
          <w:sz w:val="18"/>
          <w:szCs w:val="18"/>
          <w:color w:val="auto"/>
        </w:rPr>
        <w:t xml:space="preserve">Non wholly-owned entity activities </w:t>
      </w:r>
      <w:r>
        <w:rPr>
          <w:rFonts w:ascii="Arial" w:cs="Arial" w:eastAsia="Arial" w:hAnsi="Arial"/>
          <w:sz w:val="23"/>
          <w:szCs w:val="23"/>
          <w:color w:val="auto"/>
          <w:vertAlign w:val="superscript"/>
        </w:rPr>
        <w:t>4</w:t>
      </w:r>
    </w:p>
    <w:p>
      <w:pPr>
        <w:ind w:left="380"/>
        <w:spacing w:after="0" w:line="218" w:lineRule="auto"/>
        <w:rPr>
          <w:sz w:val="20"/>
          <w:szCs w:val="20"/>
          <w:color w:val="auto"/>
        </w:rPr>
      </w:pPr>
      <w:r>
        <w:rPr>
          <w:rFonts w:ascii="Arial" w:cs="Arial" w:eastAsia="Arial" w:hAnsi="Arial"/>
          <w:sz w:val="18"/>
          <w:szCs w:val="18"/>
          <w:color w:val="auto"/>
        </w:rPr>
        <w:t xml:space="preserve">Gain on sale of businesses </w:t>
      </w:r>
      <w:r>
        <w:rPr>
          <w:rFonts w:ascii="Arial" w:cs="Arial" w:eastAsia="Arial" w:hAnsi="Arial"/>
          <w:sz w:val="23"/>
          <w:szCs w:val="23"/>
          <w:color w:val="auto"/>
          <w:vertAlign w:val="superscript"/>
        </w:rPr>
        <w:t>6</w:t>
      </w:r>
    </w:p>
    <w:p>
      <w:pPr>
        <w:ind w:left="380"/>
        <w:spacing w:after="0" w:line="221" w:lineRule="auto"/>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7</w:t>
      </w:r>
    </w:p>
    <w:p>
      <w:pPr>
        <w:ind w:left="240"/>
        <w:spacing w:after="0"/>
        <w:rPr>
          <w:sz w:val="20"/>
          <w:szCs w:val="20"/>
          <w:color w:val="auto"/>
        </w:rPr>
      </w:pPr>
      <w:r>
        <w:rPr>
          <w:rFonts w:ascii="Arial" w:cs="Arial" w:eastAsia="Arial" w:hAnsi="Arial"/>
          <w:sz w:val="18"/>
          <w:szCs w:val="18"/>
          <w:color w:val="auto"/>
        </w:rPr>
        <w:t>2020 adjusted earnings per share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2021 adjusted earnings per share outlook</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2021 adjusted earnings per share growth outlook</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200" w:hanging="11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958</w:t>
      </w:r>
    </w:p>
    <w:p>
      <w:pPr>
        <w:spacing w:after="0" w:line="252"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902</w:t>
      </w:r>
    </w:p>
    <w:p>
      <w:pPr>
        <w:spacing w:after="0" w:line="22"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108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115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6" w:lineRule="exact"/>
        <w:rPr>
          <w:sz w:val="20"/>
          <w:szCs w:val="20"/>
          <w:color w:val="auto"/>
        </w:rPr>
      </w:pPr>
    </w:p>
    <w:p>
      <w:pPr>
        <w:ind w:left="1060" w:hanging="1058"/>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115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10115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683.4</w:t>
      </w:r>
    </w:p>
    <w:p>
      <w:pPr>
        <w:spacing w:after="0" w:line="185" w:lineRule="exact"/>
        <w:rPr>
          <w:sz w:val="20"/>
          <w:szCs w:val="20"/>
          <w:color w:val="auto"/>
        </w:rPr>
      </w:pPr>
    </w:p>
    <w:p>
      <w:pPr>
        <w:ind w:left="1160" w:hanging="1158"/>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1.40</w:t>
      </w:r>
    </w:p>
    <w:p>
      <w:pPr>
        <w:spacing w:after="0" w:line="25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1.02</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0.12</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2.28</w:t>
      </w:r>
    </w:p>
    <w:p>
      <w:pPr>
        <w:spacing w:after="0" w:line="22"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0.11</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(0.50)</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0115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6" w:lineRule="exact"/>
        <w:rPr>
          <w:sz w:val="20"/>
          <w:szCs w:val="20"/>
          <w:color w:val="auto"/>
        </w:rPr>
      </w:pPr>
    </w:p>
    <w:p>
      <w:pPr>
        <w:ind w:left="1160" w:hanging="1158"/>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115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011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$5.35 - $5.50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 - 24%</w:t>
      </w:r>
    </w:p>
    <w:p>
      <w:pPr>
        <w:spacing w:after="0" w:line="200" w:lineRule="exact"/>
        <w:rPr>
          <w:sz w:val="20"/>
          <w:szCs w:val="20"/>
          <w:color w:val="auto"/>
        </w:rPr>
      </w:pPr>
    </w:p>
    <w:p>
      <w:pPr>
        <w:sectPr>
          <w:pgSz w:w="11900" w:h="16838" w:orient="portrait"/>
          <w:cols w:equalWidth="0" w:num="2">
            <w:col w:w="8720" w:space="720"/>
            <w:col w:w="1560"/>
          </w:cols>
          <w:pgMar w:left="320" w:top="1225" w:right="579" w:bottom="1125"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In millions, except per share amounts, unaudited. Earnings per share is calculated using actual, unrounded amounts.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pages 3-4 for disclosures related to the use of non-GAAP financial measures.</w:t>
      </w:r>
    </w:p>
    <w:p>
      <w:pPr>
        <w:sectPr>
          <w:pgSz w:w="11900" w:h="16838" w:orient="portrait"/>
          <w:cols w:equalWidth="0" w:num="1">
            <w:col w:w="11000"/>
          </w:cols>
          <w:pgMar w:left="320" w:top="1225" w:right="579" w:bottom="112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320" w:top="1225" w:right="579" w:bottom="1125" w:gutter="0" w:footer="0" w:header="0"/>
          <w:type w:val="continuous"/>
        </w:sectPr>
      </w:pPr>
    </w:p>
    <w:bookmarkStart w:id="19" w:name="page20"/>
    <w:bookmarkEnd w:id="19"/>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Fiserv, Inc.</w:t>
      </w:r>
    </w:p>
    <w:p>
      <w:pPr>
        <w:spacing w:after="0" w:line="3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28" w:lineRule="exact"/>
        <w:rPr>
          <w:sz w:val="20"/>
          <w:szCs w:val="20"/>
          <w:color w:val="auto"/>
        </w:rPr>
      </w:pPr>
    </w:p>
    <w:p>
      <w:pPr>
        <w:ind w:left="332" w:hanging="332"/>
        <w:spacing w:after="0" w:line="233" w:lineRule="auto"/>
        <w:tabs>
          <w:tab w:leader="none" w:pos="323"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Represents acquisition and related integration costs incurred in connection with various acquisitions. Merger and integration costs include $865 million related to the First Data acquisition. First Data integration costs primarily include $224 million of third party professional service fees associated with integration activities; $165 million of incremental share-based compensation, including the fair value of stock awards assumed by Fiserv; $118 million of accelerated depreciation and amortization associated with the termination of vendor contracts; $137 million of other integration-related compensation costs; and $124 million of non-cash impairment charges associated with the early exit of certain leased facilities.</w:t>
      </w:r>
    </w:p>
    <w:p>
      <w:pPr>
        <w:spacing w:after="0" w:line="57"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Represents severance costs associated with the achievement of expense management initiatives, primarily related to the First Data acquisition.</w:t>
      </w:r>
    </w:p>
    <w:p>
      <w:pPr>
        <w:spacing w:after="0" w:line="102" w:lineRule="exact"/>
        <w:rPr>
          <w:sz w:val="20"/>
          <w:szCs w:val="20"/>
          <w:color w:val="auto"/>
        </w:rPr>
      </w:pPr>
    </w:p>
    <w:p>
      <w:pPr>
        <w:ind w:left="332" w:right="260" w:hanging="332"/>
        <w:spacing w:after="0" w:line="225" w:lineRule="auto"/>
        <w:tabs>
          <w:tab w:leader="none" w:pos="323"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and financing costs and debt discounts.</w:t>
      </w:r>
    </w:p>
    <w:p>
      <w:pPr>
        <w:spacing w:after="0" w:line="104" w:lineRule="exact"/>
        <w:rPr>
          <w:sz w:val="20"/>
          <w:szCs w:val="20"/>
          <w:color w:val="auto"/>
        </w:rPr>
      </w:pPr>
    </w:p>
    <w:p>
      <w:pPr>
        <w:ind w:left="332" w:right="180" w:hanging="332"/>
        <w:spacing w:after="0" w:line="216" w:lineRule="auto"/>
        <w:tabs>
          <w:tab w:leader="none" w:pos="323"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w:t>
      </w:r>
    </w:p>
    <w:p>
      <w:pPr>
        <w:spacing w:after="0" w:line="103" w:lineRule="exact"/>
        <w:rPr>
          <w:sz w:val="20"/>
          <w:szCs w:val="20"/>
          <w:color w:val="auto"/>
        </w:rPr>
      </w:pPr>
    </w:p>
    <w:p>
      <w:pPr>
        <w:ind w:left="332" w:right="100" w:hanging="332"/>
        <w:spacing w:after="0" w:line="216" w:lineRule="auto"/>
        <w:tabs>
          <w:tab w:leader="none" w:pos="323"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The tax impact of adjustments is calculated using a tax rate of 23%, which approximates the company's anticipated annual effective tax rate, exclusive of the actual tax impacts associated with the net gain on sale of businesses.</w:t>
      </w:r>
    </w:p>
    <w:p>
      <w:pPr>
        <w:spacing w:after="0" w:line="103" w:lineRule="exact"/>
        <w:rPr>
          <w:sz w:val="20"/>
          <w:szCs w:val="20"/>
          <w:color w:val="auto"/>
        </w:rPr>
      </w:pPr>
    </w:p>
    <w:p>
      <w:pPr>
        <w:ind w:left="332" w:hanging="332"/>
        <w:spacing w:after="0" w:line="216" w:lineRule="auto"/>
        <w:tabs>
          <w:tab w:leader="none" w:pos="323"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Represents the earnings attributable to divested businesses and the gain on the associated divestiture transactions, including the sale of a 60% interest in the Investment Services business in February 2020 and the dissolution of the Banc of America Merchant Services joint venture in July 2020.</w:t>
      </w:r>
    </w:p>
    <w:p>
      <w:pPr>
        <w:spacing w:after="0" w:line="103" w:lineRule="exact"/>
        <w:rPr>
          <w:sz w:val="20"/>
          <w:szCs w:val="20"/>
          <w:color w:val="auto"/>
        </w:rPr>
      </w:pPr>
    </w:p>
    <w:p>
      <w:pPr>
        <w:ind w:left="332" w:right="320" w:hanging="332"/>
        <w:spacing w:after="0" w:line="216" w:lineRule="auto"/>
        <w:tabs>
          <w:tab w:leader="none" w:pos="323"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Represents certain discrete tax items, primarily related to foreign income tax benefits from a subsidiary restructuring and the revaluation of deferred taxes due to a change in the statutory tax rate in the United Kingdom.</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20"/>
          <w:szCs w:val="20"/>
          <w:i w:val="1"/>
          <w:iCs w:val="1"/>
          <w:color w:val="auto"/>
        </w:rPr>
        <w:t>FISV-E</w:t>
      </w:r>
    </w:p>
    <w:p>
      <w:pPr>
        <w:spacing w:after="0" w:line="22"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16</w:t>
      </w:r>
    </w:p>
    <w:sectPr>
      <w:pgSz w:w="11900" w:h="16838" w:orient="portrait"/>
      <w:cols w:equalWidth="0" w:num="1">
        <w:col w:w="11172"/>
      </w:cols>
      <w:pgMar w:left="328" w:top="12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5"/>
      <w:numFmt w:val="bullet"/>
      <w:start w:val="1"/>
    </w:lvl>
  </w:abstractNum>
  <w:abstractNum w:abstractNumId="15">
    <w:nsid w:val="75A2A8D4"/>
    <w:multiLevelType w:val="hybridMultilevel"/>
    <w:lvl w:ilvl="0">
      <w:lvlJc w:val="left"/>
      <w:lvlText w:val="6"/>
      <w:numFmt w:val="bullet"/>
      <w:start w:val="1"/>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1"/>
      <w:numFmt w:val="bullet"/>
      <w:start w:val="1"/>
    </w:lvl>
  </w:abstractNum>
  <w:abstractNum w:abstractNumId="19">
    <w:nsid w:val="B03E0C6"/>
    <w:multiLevelType w:val="hybridMultilevel"/>
    <w:lvl w:ilvl="0">
      <w:lvlJc w:val="left"/>
      <w:lvlText w:val="2"/>
      <w:numFmt w:val="bullet"/>
      <w:start w:val="1"/>
    </w:lvl>
  </w:abstractNum>
  <w:abstractNum w:abstractNumId="20">
    <w:nsid w:val="189A769B"/>
    <w:multiLevelType w:val="hybridMultilevel"/>
    <w:lvl w:ilvl="0">
      <w:lvlJc w:val="left"/>
      <w:lvlText w:val="1"/>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2"/>
      <w:numFmt w:val="bullet"/>
      <w:start w:val="1"/>
    </w:lvl>
  </w:abstractNum>
  <w:abstractNum w:abstractNumId="27">
    <w:nsid w:val="8138641"/>
    <w:multiLevelType w:val="hybridMultilevel"/>
    <w:lvl w:ilvl="0">
      <w:lvlJc w:val="left"/>
      <w:lvlText w:val="3"/>
      <w:numFmt w:val="bullet"/>
      <w:start w:val="1"/>
    </w:lvl>
  </w:abstractNum>
  <w:abstractNum w:abstractNumId="28">
    <w:nsid w:val="1E7FF521"/>
    <w:multiLevelType w:val="hybridMultilevel"/>
    <w:lvl w:ilvl="0">
      <w:lvlJc w:val="left"/>
      <w:lvlText w:val="4"/>
      <w:numFmt w:val="bullet"/>
      <w:start w:val="1"/>
    </w:lvl>
  </w:abstractNum>
  <w:abstractNum w:abstractNumId="29">
    <w:nsid w:val="7C3DBD3D"/>
    <w:multiLevelType w:val="hybridMultilevel"/>
    <w:lvl w:ilvl="0">
      <w:lvlJc w:val="left"/>
      <w:lvlText w:val="5"/>
      <w:numFmt w:val="bullet"/>
      <w:start w:val="1"/>
    </w:lvl>
  </w:abstractNum>
  <w:abstractNum w:abstractNumId="30">
    <w:nsid w:val="737B8DDC"/>
    <w:multiLevelType w:val="hybridMultilevel"/>
    <w:lvl w:ilvl="0">
      <w:lvlJc w:val="left"/>
      <w:lvlText w:val="6"/>
      <w:numFmt w:val="bullet"/>
      <w:start w:val="1"/>
    </w:lvl>
  </w:abstractNum>
  <w:abstractNum w:abstractNumId="31">
    <w:nsid w:val="6CEAF087"/>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2021-04-27T06:16:33Z</dcterms:created>
  <dcterms:modified xsi:type="dcterms:W3CDTF">2021-04-27T06:16:33Z</dcterms:modified>
</cp:coreProperties>
</file>