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756ee6770b5410fa939ab705ffe501e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6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1-38962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48"/>
        </w:rPr>
      </w:pPr>
      <w:r>
        <w:rPr>
          <w:rFonts w:ascii="Times New Roman;sans-serif" w:hAnsi="Times New Roman;sans-serif"/>
          <w:b/>
          <w:color w:val="000000"/>
          <w:sz w:val="48"/>
        </w:rPr>
        <w:t>FISERV,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3"/>
        <w:gridCol w:w="433"/>
        <w:gridCol w:w="618"/>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Wisconsin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39-1506125</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 R. S. Employer</w:t>
              <w:br/>
              <w:t>Identification No.)</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600 N. Vel R. Phillips Avenue, Milwaukee, WI 53203</w:t>
      </w:r>
    </w:p>
    <w:p>
      <w:pPr>
        <w:pStyle w:val="TextBody"/>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(262) 879-5000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Securities registered pursuant to Section 12(b) of the Act</w:t>
      </w:r>
      <w:r>
        <w:rPr>
          <w:rFonts w:ascii="Times New Roman;sans-serif" w:hAnsi="Times New Roman;sans-serif"/>
          <w:b/>
          <w:color w:val="000000"/>
          <w:sz w:val="20"/>
        </w:rPr>
        <w: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1.125%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2.250% Senior Notes due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bl>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r>
    </w:tbl>
    <w:p>
      <w:pPr>
        <w:pStyle w:val="TextBody"/>
        <w:bidi w:val="0"/>
        <w:spacing w:lineRule="auto" w:line="288" w:before="10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19, 2024, there were 585,101,873 shares of common stock, $0.01 par value, of the registrant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9596" w:type="dxa"/>
        <w:jc w:val="right"/>
        <w:tblInd w:w="0" w:type="dxa"/>
        <w:tblLayout w:type="fixed"/>
        <w:tblCellMar>
          <w:top w:w="28" w:type="dxa"/>
          <w:left w:w="28" w:type="dxa"/>
          <w:bottom w:w="28" w:type="dxa"/>
          <w:right w:w="28" w:type="dxa"/>
        </w:tblCellMar>
      </w:tblPr>
      <w:tblGrid>
        <w:gridCol w:w="612"/>
        <w:gridCol w:w="539"/>
        <w:gridCol w:w="539"/>
        <w:gridCol w:w="2448"/>
        <w:gridCol w:w="2448"/>
        <w:gridCol w:w="2469"/>
        <w:gridCol w:w="158"/>
        <w:gridCol w:w="158"/>
        <w:gridCol w:w="225"/>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0">
              <w:r>
                <w:rPr>
                  <w:rStyle w:val="InternetLink"/>
                  <w:rFonts w:ascii="Times New Roman;sans-serif" w:hAnsi="Times New Roman;sans-serif"/>
                  <w:b w:val="false"/>
                  <w:color w:val="0000FF"/>
                  <w:sz w:val="20"/>
                  <w:u w:val="single"/>
                </w:rPr>
                <w:t>PART I – FINANCIAL INFORMATION</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3">
              <w:r>
                <w:rPr>
                  <w:rStyle w:val="InternetLink"/>
                  <w:rFonts w:ascii="Times New Roman;sans-serif" w:hAnsi="Times New Roman;sans-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6">
              <w:r>
                <w:rPr>
                  <w:rStyle w:val="InternetLink"/>
                  <w:rFonts w:ascii="Times New Roman;sans-serif" w:hAnsi="Times New Roman;sans-serif"/>
                  <w:b w:val="false"/>
                  <w:color w:val="0000FF"/>
                  <w:sz w:val="20"/>
                  <w:u w:val="single"/>
                </w:rPr>
                <w:t>Consolidated Statements of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16">
              <w:r>
                <w:rPr>
                  <w:rStyle w:val="InternetLink"/>
                  <w:rFonts w:ascii="Times New Roman;sans-serif" w:hAnsi="Times New Roman;sans-serif"/>
                  <w:b w:val="false"/>
                  <w:strike w:val="false"/>
                  <w:dstrike w:val="false"/>
                  <w:color w:val="000000"/>
                  <w:sz w:val="20"/>
                  <w:u w:val="none"/>
                  <w:effect w:val="none"/>
                </w:rPr>
                <w:t>1</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9">
              <w:r>
                <w:rPr>
                  <w:rStyle w:val="InternetLink"/>
                  <w:rFonts w:ascii="Times New Roman;sans-serif" w:hAnsi="Times New Roman;sans-serif"/>
                  <w:b w:val="false"/>
                  <w:color w:val="0000FF"/>
                  <w:sz w:val="20"/>
                  <w:u w:val="single"/>
                </w:rPr>
                <w:t>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19">
              <w:r>
                <w:rPr>
                  <w:rStyle w:val="InternetLink"/>
                  <w:rFonts w:ascii="Times New Roman;sans-serif" w:hAnsi="Times New Roman;sans-serif"/>
                  <w:b w:val="false"/>
                  <w:strike w:val="false"/>
                  <w:dstrike w:val="false"/>
                  <w:color w:val="000000"/>
                  <w:sz w:val="20"/>
                  <w:u w:val="none"/>
                  <w:effect w:val="none"/>
                </w:rPr>
                <w:t>2</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22">
              <w:r>
                <w:rPr>
                  <w:rStyle w:val="InternetLink"/>
                  <w:rFonts w:ascii="Times New Roman;sans-serif" w:hAnsi="Times New Roman;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22">
              <w:r>
                <w:rPr>
                  <w:rStyle w:val="InternetLink"/>
                  <w:rFonts w:ascii="Times New Roman;sans-serif" w:hAnsi="Times New Roman;sans-serif"/>
                  <w:b w:val="false"/>
                  <w:strike w:val="false"/>
                  <w:dstrike w:val="false"/>
                  <w:color w:val="000000"/>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25">
              <w:r>
                <w:rPr>
                  <w:rStyle w:val="InternetLink"/>
                  <w:rFonts w:ascii="Times New Roman;sans-serif" w:hAnsi="Times New Roman;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25">
              <w:r>
                <w:rPr>
                  <w:rStyle w:val="InternetLink"/>
                  <w:rFonts w:ascii="Times New Roman;sans-serif" w:hAnsi="Times New Roman;sans-serif"/>
                  <w:b w:val="false"/>
                  <w:strike w:val="false"/>
                  <w:dstrike w:val="false"/>
                  <w:color w:val="000000"/>
                  <w:sz w:val="20"/>
                  <w:u w:val="none"/>
                  <w:effect w:val="none"/>
                </w:rPr>
                <w:t>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28">
              <w:r>
                <w:rPr>
                  <w:rStyle w:val="InternetLink"/>
                  <w:rFonts w:ascii="Times New Roman;sans-serif" w:hAnsi="Times New Roman;sans-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28">
              <w:r>
                <w:rPr>
                  <w:rStyle w:val="InternetLink"/>
                  <w:rFonts w:ascii="Times New Roman;sans-serif" w:hAnsi="Times New Roman;sans-serif"/>
                  <w:b w:val="false"/>
                  <w:strike w:val="false"/>
                  <w:dstrike w:val="false"/>
                  <w:color w:val="000000"/>
                  <w:sz w:val="20"/>
                  <w:u w:val="none"/>
                  <w:effect w:val="none"/>
                </w:rPr>
                <w:t>5</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1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112">
              <w:r>
                <w:rPr>
                  <w:rStyle w:val="InternetLink"/>
                  <w:rFonts w:ascii="Times New Roman;sans-serif" w:hAnsi="Times New Roman;sans-serif"/>
                  <w:b w:val="false"/>
                  <w:strike w:val="false"/>
                  <w:dstrike w:val="false"/>
                  <w:color w:val="000000"/>
                  <w:sz w:val="20"/>
                  <w:u w:val="none"/>
                  <w:effect w:val="none"/>
                </w:rPr>
                <w:t>24</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84">
              <w:r>
                <w:rPr>
                  <w:rStyle w:val="InternetLink"/>
                  <w:rFonts w:ascii="Times New Roman;sans-serif" w:hAnsi="Times New Roman;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184">
              <w:r>
                <w:rPr>
                  <w:rStyle w:val="InternetLink"/>
                  <w:rFonts w:ascii="Times New Roman;sans-serif" w:hAnsi="Times New Roman;sans-serif"/>
                  <w:b w:val="false"/>
                  <w:strike w:val="false"/>
                  <w:dstrike w:val="false"/>
                  <w:color w:val="000000"/>
                  <w:sz w:val="20"/>
                  <w:u w:val="none"/>
                  <w:effect w:val="none"/>
                </w:rPr>
                <w:t>35</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87">
              <w:r>
                <w:rPr>
                  <w:rStyle w:val="InternetLink"/>
                  <w:rFonts w:ascii="Times New Roman;sans-serif" w:hAnsi="Times New Roman;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187">
              <w:r>
                <w:rPr>
                  <w:rStyle w:val="InternetLink"/>
                  <w:rFonts w:ascii="Times New Roman;sans-serif" w:hAnsi="Times New Roman;sans-serif"/>
                  <w:b w:val="false"/>
                  <w:strike w:val="false"/>
                  <w:dstrike w:val="false"/>
                  <w:color w:val="000000"/>
                  <w:sz w:val="20"/>
                  <w:u w:val="none"/>
                  <w:effect w:val="none"/>
                </w:rPr>
                <w:t>36</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90">
              <w:r>
                <w:rPr>
                  <w:rStyle w:val="InternetLink"/>
                  <w:rFonts w:ascii="Times New Roman;sans-serif" w:hAnsi="Times New Roman;sans-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93">
              <w:r>
                <w:rPr>
                  <w:rStyle w:val="InternetLink"/>
                  <w:rFonts w:ascii="Times New Roman;sans-serif" w:hAnsi="Times New Roman;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193">
              <w:r>
                <w:rPr>
                  <w:rStyle w:val="InternetLink"/>
                  <w:rFonts w:ascii="Times New Roman;sans-serif" w:hAnsi="Times New Roman;sans-serif"/>
                  <w:b w:val="false"/>
                  <w:strike w:val="false"/>
                  <w:dstrike w:val="false"/>
                  <w:color w:val="000000"/>
                  <w:sz w:val="20"/>
                  <w:u w:val="none"/>
                  <w:effect w:val="none"/>
                </w:rPr>
                <w:t>36</w:t>
              </w:r>
            </w:hyperlink>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96">
              <w:r>
                <w:rPr>
                  <w:rStyle w:val="InternetLink"/>
                  <w:rFonts w:ascii="Times New Roman;sans-serif" w:hAnsi="Times New Roman;sans-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196">
              <w:r>
                <w:rPr>
                  <w:rStyle w:val="InternetLink"/>
                  <w:rFonts w:ascii="Times New Roman;sans-serif" w:hAnsi="Times New Roman;sans-serif"/>
                  <w:b w:val="false"/>
                  <w:strike w:val="false"/>
                  <w:dstrike w:val="false"/>
                  <w:color w:val="000000"/>
                  <w:sz w:val="20"/>
                  <w:u w:val="none"/>
                  <w:effect w:val="none"/>
                </w:rPr>
                <w:t>36</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199">
              <w:r>
                <w:rPr>
                  <w:rStyle w:val="InternetLink"/>
                  <w:rFonts w:ascii="Times New Roman;sans-serif" w:hAnsi="Times New Roman;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199">
              <w:r>
                <w:rPr>
                  <w:rStyle w:val="InternetLink"/>
                  <w:rFonts w:ascii="Times New Roman;sans-serif" w:hAnsi="Times New Roman;sans-serif"/>
                  <w:b w:val="false"/>
                  <w:strike w:val="false"/>
                  <w:dstrike w:val="false"/>
                  <w:color w:val="000000"/>
                  <w:sz w:val="20"/>
                  <w:u w:val="none"/>
                  <w:effect w:val="none"/>
                </w:rPr>
                <w:t>36</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205">
              <w:r>
                <w:rPr>
                  <w:rStyle w:val="InternetLink"/>
                  <w:rFonts w:ascii="Times New Roman;sans-serif" w:hAnsi="Times New Roman;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56ee6770b5410fa939ab705ffe501e_205">
              <w:r>
                <w:rPr>
                  <w:rStyle w:val="InternetLink"/>
                  <w:rFonts w:ascii="Times New Roman;sans-serif" w:hAnsi="Times New Roman;sans-serif"/>
                  <w:b w:val="false"/>
                  <w:strike w:val="false"/>
                  <w:dstrike w:val="false"/>
                  <w:color w:val="000000"/>
                  <w:sz w:val="20"/>
                  <w:u w:val="none"/>
                  <w:effect w:val="none"/>
                </w:rPr>
                <w:t>36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208">
              <w:r>
                <w:rPr>
                  <w:rStyle w:val="InternetLink"/>
                  <w:rFonts w:ascii="Times New Roman;sans-serif" w:hAnsi="Times New Roman;sans-serif"/>
                  <w:b w:val="false"/>
                  <w:color w:val="0000FF"/>
                  <w:sz w:val="20"/>
                  <w:u w:val="single"/>
                </w:rPr>
                <w:t>Exhibit Index</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6ee6770b5410fa939ab705ffe501e_211">
              <w:r>
                <w:rPr>
                  <w:rStyle w:val="InternetLink"/>
                  <w:rFonts w:ascii="Times New Roman;sans-serif" w:hAnsi="Times New Roman;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Fiserv,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Income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per share data)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9324" w:type="dxa"/>
        <w:jc w:val="center"/>
        <w:tblInd w:w="0" w:type="dxa"/>
        <w:tblLayout w:type="fixed"/>
        <w:tblCellMar>
          <w:top w:w="28" w:type="dxa"/>
          <w:left w:w="28" w:type="dxa"/>
          <w:bottom w:w="28" w:type="dxa"/>
          <w:right w:w="28" w:type="dxa"/>
        </w:tblCellMar>
      </w:tblPr>
      <w:tblGrid>
        <w:gridCol w:w="2452"/>
        <w:gridCol w:w="2155"/>
        <w:gridCol w:w="2187"/>
        <w:gridCol w:w="196"/>
        <w:gridCol w:w="556"/>
        <w:gridCol w:w="109"/>
        <w:gridCol w:w="109"/>
        <w:gridCol w:w="109"/>
        <w:gridCol w:w="109"/>
        <w:gridCol w:w="196"/>
        <w:gridCol w:w="556"/>
        <w:gridCol w:w="109"/>
        <w:gridCol w:w="109"/>
        <w:gridCol w:w="109"/>
        <w:gridCol w:w="109"/>
        <w:gridCol w:w="154"/>
      </w:tblGrid>
      <w:tr>
        <w:trPr/>
        <w:tc>
          <w:tcPr>
            <w:tcW w:w="2452"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Processing and services </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processing and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on sale of businesses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 and loss from investments in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investments in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 and redeemable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Fiserv,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Fiserv, Inc. per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net income attributable to Fiserv, Inc. per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pPr>
      <w:r>
        <w:rPr>
          <w:rFonts w:ascii="Times New Roman;sans-serif" w:hAnsi="Times New Roman;sans-serif"/>
          <w:b/>
          <w:color w:val="000000"/>
          <w:sz w:val="12"/>
        </w:rPr>
        <w:t>(1)</w:t>
      </w:r>
      <w:r>
        <w:rPr>
          <w:rFonts w:ascii="Times New Roman;sans-serif" w:hAnsi="Times New Roman;sans-serif"/>
          <w:b w:val="false"/>
          <w:color w:val="000000"/>
          <w:sz w:val="18"/>
        </w:rPr>
        <w:t xml:space="preserve">Includes processing and other fees charged to related party investments accounted for under the equity method of $40 million and $46 million for the three months ended March 31, 2024 and 2023, respectively (see Note 19). </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Fiserv,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59"/>
        <w:gridCol w:w="2313"/>
        <w:gridCol w:w="2334"/>
        <w:gridCol w:w="109"/>
        <w:gridCol w:w="109"/>
        <w:gridCol w:w="164"/>
        <w:gridCol w:w="164"/>
        <w:gridCol w:w="320"/>
        <w:gridCol w:w="706"/>
        <w:gridCol w:w="164"/>
        <w:gridCol w:w="109"/>
        <w:gridCol w:w="109"/>
        <w:gridCol w:w="109"/>
        <w:gridCol w:w="211"/>
        <w:gridCol w:w="466"/>
        <w:gridCol w:w="159"/>
      </w:tblGrid>
      <w:tr>
        <w:trPr/>
        <w:tc>
          <w:tcPr>
            <w:tcW w:w="2659"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163" w:type="dxa"/>
            <w:gridSpan w:val="6"/>
            <w:tcBorders/>
          </w:tcPr>
          <w:p>
            <w:pPr>
              <w:pStyle w:val="TableContents"/>
              <w:bidi w:val="0"/>
              <w:spacing w:before="0" w:after="283"/>
              <w:jc w:val="left"/>
              <w:rPr>
                <w:sz w:val="4"/>
                <w:szCs w:val="4"/>
              </w:rPr>
            </w:pPr>
            <w:r>
              <w:rPr>
                <w:sz w:val="4"/>
                <w:szCs w:val="4"/>
              </w:rPr>
            </w:r>
          </w:p>
        </w:tc>
      </w:tr>
      <w:tr>
        <w:trPr/>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market value adjustment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net realized (gains) losses on cash flow hedges included in cost of processing and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net realized losses on cash flow hedges included in net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impacts of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defined benefit pension plans (see Note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impacts of 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impacts of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 and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(loss)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Fiserv,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Fiserv,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9048" w:type="dxa"/>
        <w:jc w:val="center"/>
        <w:tblInd w:w="0" w:type="dxa"/>
        <w:tblLayout w:type="fixed"/>
        <w:tblCellMar>
          <w:top w:w="28" w:type="dxa"/>
          <w:left w:w="28" w:type="dxa"/>
          <w:bottom w:w="28" w:type="dxa"/>
          <w:right w:w="28" w:type="dxa"/>
        </w:tblCellMar>
      </w:tblPr>
      <w:tblGrid>
        <w:gridCol w:w="2380"/>
        <w:gridCol w:w="2092"/>
        <w:gridCol w:w="2113"/>
        <w:gridCol w:w="196"/>
        <w:gridCol w:w="646"/>
        <w:gridCol w:w="109"/>
        <w:gridCol w:w="109"/>
        <w:gridCol w:w="109"/>
        <w:gridCol w:w="109"/>
        <w:gridCol w:w="233"/>
        <w:gridCol w:w="769"/>
        <w:gridCol w:w="183"/>
      </w:tblGrid>
      <w:tr>
        <w:trPr/>
        <w:tc>
          <w:tcPr>
            <w:tcW w:w="2380"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less allowance for doubtful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costs,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affiliates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90,890 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and current maturities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33,552 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(see Note 18)</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Fiserv, Inc. Shareholders’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no par value: 25 million shares authorized; none issued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1,800 million shares authorized; 784 million shares issued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198 million and 190 million shares,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Fiserv, Inc. shareholders’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90,890 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Fiserv,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8154" w:type="dxa"/>
        <w:jc w:val="left"/>
        <w:tblInd w:w="0" w:type="dxa"/>
        <w:tblLayout w:type="fixed"/>
        <w:tblCellMar>
          <w:top w:w="28" w:type="dxa"/>
          <w:left w:w="28" w:type="dxa"/>
          <w:bottom w:w="28" w:type="dxa"/>
          <w:right w:w="28" w:type="dxa"/>
        </w:tblCellMar>
      </w:tblPr>
      <w:tblGrid>
        <w:gridCol w:w="2195"/>
        <w:gridCol w:w="1925"/>
        <w:gridCol w:w="1940"/>
        <w:gridCol w:w="196"/>
        <w:gridCol w:w="556"/>
        <w:gridCol w:w="109"/>
        <w:gridCol w:w="109"/>
        <w:gridCol w:w="109"/>
        <w:gridCol w:w="109"/>
        <w:gridCol w:w="196"/>
        <w:gridCol w:w="556"/>
        <w:gridCol w:w="154"/>
      </w:tblGrid>
      <w:tr>
        <w:trPr/>
        <w:tc>
          <w:tcPr>
            <w:tcW w:w="219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other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acquisition-related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costs and debt discounts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on sale of businesses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investments in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effects from acquisitions and dispositions: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including capitalized software and other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proceeds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repayments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repayments of commercial paper and short-term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financing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treasury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treasury stock, including employee shares withheld for tax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activity,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noncontrolling interests and redeemable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balance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ending balance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Fiserv,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1. Basis of Presentation and Summary of Significant Accounting Policies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for the three months ended March 31, 2024 and 2023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2023.</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Realignment</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Effective for the three months ended March 31, 2024, the Company realigned its reportable segments to correspond with changes in its business designed to further enhance operational performance in the delivery of its integrated portfolio of products and solutions to its financial institution clients (the “Segment Realignment”). The Company’s new reportable segments are the Merchant Solutions (“Merchant”) segment and the Financial Solutions (“Financial”) segment. Segment results for the three months ended March 31, 2023 have been recast to reflect the Segment Realignment. See Note 20 for additional information.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majority controlling financial interest in certain entities, mostly related to consolidated merchant alliances (see Note 19).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11).</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and investments with original maturities of 90 days or less and are stated at cost in the consolidated balance sheets, which approximates market value. Cash and cash equivalents that are restricted from use due to regulatory or other requirements are included in other long-term assets in the consolidated balance sheets.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between cash and cash equivalents on the consolidated balance sheets and the consolidated statements of cash flows:</w:t>
      </w:r>
    </w:p>
    <w:tbl>
      <w:tblPr>
        <w:tblW w:w="10205" w:type="dxa"/>
        <w:jc w:val="left"/>
        <w:tblInd w:w="0" w:type="dxa"/>
        <w:tblLayout w:type="fixed"/>
        <w:tblCellMar>
          <w:top w:w="28" w:type="dxa"/>
          <w:left w:w="28" w:type="dxa"/>
          <w:bottom w:w="28" w:type="dxa"/>
          <w:right w:w="28" w:type="dxa"/>
        </w:tblCellMar>
      </w:tblPr>
      <w:tblGrid>
        <w:gridCol w:w="1858"/>
        <w:gridCol w:w="1581"/>
        <w:gridCol w:w="1581"/>
        <w:gridCol w:w="295"/>
        <w:gridCol w:w="864"/>
        <w:gridCol w:w="152"/>
        <w:gridCol w:w="109"/>
        <w:gridCol w:w="109"/>
        <w:gridCol w:w="109"/>
        <w:gridCol w:w="344"/>
        <w:gridCol w:w="1008"/>
        <w:gridCol w:w="179"/>
        <w:gridCol w:w="109"/>
        <w:gridCol w:w="109"/>
        <w:gridCol w:w="109"/>
        <w:gridCol w:w="295"/>
        <w:gridCol w:w="864"/>
        <w:gridCol w:w="152"/>
        <w:gridCol w:w="109"/>
        <w:gridCol w:w="109"/>
        <w:gridCol w:w="160"/>
      </w:tblGrid>
      <w:tr>
        <w:trPr/>
        <w:tc>
          <w:tcPr>
            <w:tcW w:w="185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on the consolidated balance sheets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included in settlement assets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restricted cash</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on the consolidated statements of cash flows</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Doubtful Accounts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$69 million and $86 million at March 31, 2024 and December 31, 2023, respectively.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Prepaid Expenses and Other Current Assets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represent advance payments for goods and services to be consumed in the future, such as maintenance, postage and insurance, and totaled $543 million and $423 million at March 31, 2024 and December 31, 2023, respectively. Other current assets, including net income tax receivables, Clover Capital cash advances and settlement advance cash payments, totaled $2,052 million and $1,921 million at March 31, 2024 and December 31, 2023, respectively. The net income tax receivable balance, including receivables associated with transferable federal tax credits (see Note 15), were $568 million and $534 million at March 31, 2024 and December 31, 2023,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merchants advance access to capital through its Clover Capital cash advance program. Under this program, merchants sell fixed amounts of their future credit card receivables to the Company in exchange for an up-front purchase price payment. Future credit card receivables purchased by the Company under the Clover Capital program were $297 million and $281 million at March 31, 2024 and December 31, 2023, respectively. The Company maintained a reserve of $13 million and $12 million at March 31, 2024 and December 31, 2023, respectively, based on an estimate of uncollectible amounts.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offers merchants within its international operations advance access to capital by providing them the opportunity to receive settlement cash payments in advance in exchange for their receivables from card issuers, including when the cardholders have elected to pay over time in installments. The Company maintains short-term lines of credit with foreign banks and alliance partners to fund such anticipated settlement activity (see Note 10). These local currency denominated arrangements are primarily associated with the Company’s operations in Latin America, the most significant of which are denominated in Argentine Peso and Brazilian Real. The Company’s outstanding cash advances from card issuers related to this settlement funding activity were $520 million and $381 million at March 31, 2024 and December 31, 2023, respectively.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Settlement Assets and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Merchant Credit Losses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$25 million and $15 million for the three months ended March 31, 2024 and 2023,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allowance for merchant credit losses that are expected to exceed the amount of merchant collateral. The amount of merchant collateral available to the Company was $692 million and $690 million at March 31, 2024 and December 31, 2023, respectively.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$34 million and $36 million at March 31, 2024 and December 31, 2023, respectively.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w:t>
      </w:r>
      <w:r>
        <w:rPr>
          <w:rFonts w:ascii="Times New Roman;sans-serif" w:hAnsi="Times New Roman;sans-serif"/>
          <w:b w:val="false"/>
          <w:color w:val="000000"/>
          <w:sz w:val="20"/>
        </w:rPr>
        <w:t>Goodwill is tested for impairment at a reporting unit level, which is one level below the Company’s operating segments. Th</w:t>
      </w:r>
      <w:r>
        <w:rPr>
          <w:rFonts w:ascii="Times New Roman;sans-serif" w:hAnsi="Times New Roman;sans-serif"/>
          <w:b w:val="false"/>
          <w:color w:val="000000"/>
          <w:sz w:val="20"/>
          <w:shd w:fill="FFFFFF" w:val="clear"/>
        </w:rPr>
        <w:t>e Company’s most recent annual impairment assessment of its reporting units in the fourth quarter of 2023 determined that its goodwill was not impaired as the</w:t>
      </w:r>
      <w:r>
        <w:rPr>
          <w:color w:val="000000"/>
        </w:rPr>
        <w:t xml:space="preserve"> </w:t>
      </w:r>
      <w:r>
        <w:rPr>
          <w:rFonts w:ascii="Times New Roman;sans-serif" w:hAnsi="Times New Roman;sans-serif"/>
          <w:b w:val="false"/>
          <w:color w:val="000000"/>
          <w:sz w:val="20"/>
        </w:rPr>
        <w:t xml:space="preserve">estimated fair values exceeded the carrying values. However, it is reasonably possible that future developments related to the interest or currency exchange rate environments; a shift in strategic initiatives; a deterioration in financial performance within a particular reporting unit; or significant changes in the composition of, or assumptions used in, the quantitative test for certain of the Company’s reporting units (such as an increase in risk-adjusted discount rates) </w:t>
      </w:r>
      <w:r>
        <w:rPr>
          <w:rFonts w:ascii="Times New Roman;sans-serif" w:hAnsi="Times New Roman;sans-serif"/>
          <w:b w:val="false"/>
          <w:color w:val="000000"/>
          <w:sz w:val="20"/>
          <w:shd w:fill="FFFFFF" w:val="clear"/>
        </w:rPr>
        <w:t xml:space="preserve">could have a future material impact on one or more of the estimates and assumptions used to evaluate goodwill impairment. Additionally, a significant change in a merchant alliance business relationship or operating performance could result in a material goodwill impairment charge. </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In connection with the Segment Realignment, the Company performed an interim goodwill impairment assessment in the first quarter of 2024 for the impacted reporting units, and determined that its goodwill was not impaired based on an assessment of various qualitative factors. </w:t>
      </w:r>
      <w:r>
        <w:rPr>
          <w:rFonts w:ascii="Times New Roman;sans-serif" w:hAnsi="Times New Roman;sans-serif"/>
          <w:b w:val="false"/>
          <w:color w:val="000000"/>
          <w:sz w:val="20"/>
        </w:rPr>
        <w:t xml:space="preserve">Examples of qualitative factors that the Company assesses include its share price, its financial performance, market and competitive factors in its industry and other events specific to its reporting units. </w:t>
      </w:r>
      <w:r>
        <w:rPr>
          <w:rFonts w:ascii="Times New Roman;sans-serif" w:hAnsi="Times New Roman;sans-serif"/>
          <w:b w:val="false"/>
          <w:color w:val="000000"/>
          <w:sz w:val="20"/>
          <w:shd w:fill="FFFFFF" w:val="clear"/>
        </w:rPr>
        <w:t>There is no accumulated goodwill impairment for the Company through March 31, 2024.</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dollar is the functional currency of the Company’s U.S.-based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including Argentina, resulted in foreign currency exchange losses of $35 million and $18 million for the three months ended March 31, 2024 and 2023, respectively, which is included within other expense, net in the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(loss) income in the consolidated statements of comprehensive income and will remain in accumulated other comprehensive loss within the consolidated balance sheets until the sale or complete liquidation of the underlying foreign currency-denominated subsidiaries.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(loss) income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Benefit Pension Plans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frozen noncontributory defined benefit pension plans covering certain employees in Europe and the U.S. Effective September 30, 2023, the Company terminated the United Kingdom (“U.K.”) and U.S. defined benefit pension plans. In March 2024, the Company entered into a group annuity insurance contract to provide for the administration of future payments to eligible plan participants of the terminated U.K. plan. In connection with the buy-in of this insurance policy, the plan’s projected benefit obligation was remeasured to the value of the group annuity insurance contract, resulting in an unrecognized loss, net of tax, of approximately $63 million recorded in accumulated other comprehensive loss within the consolidated balance sheet at March 31,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Upon the settlement of the terminated plans, which is expected to be completed in 2024, the Company will fund the estimated plan termination liability shortfall for the U.S. defined benefit pension plan of approximately $25 million and expects to recognize a non-cash pre-tax pension settlement charge for the terminated plans of approximately $150 million, which also includes the recognition of remaining net actuarial unrecognized losses recorded within accumulated other comprehensive loss. The amount of accrued vested benefits to be received by participants will not be impacted.</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tbl>
      <w:tblPr>
        <w:tblW w:w="4300" w:type="dxa"/>
        <w:jc w:val="left"/>
        <w:tblInd w:w="0" w:type="dxa"/>
        <w:tblLayout w:type="fixed"/>
        <w:tblCellMar>
          <w:top w:w="28" w:type="dxa"/>
          <w:left w:w="28" w:type="dxa"/>
          <w:bottom w:w="28" w:type="dxa"/>
          <w:right w:w="28" w:type="dxa"/>
        </w:tblCellMar>
      </w:tblPr>
      <w:tblGrid>
        <w:gridCol w:w="640"/>
        <w:gridCol w:w="562"/>
        <w:gridCol w:w="568"/>
        <w:gridCol w:w="211"/>
        <w:gridCol w:w="541"/>
        <w:gridCol w:w="109"/>
        <w:gridCol w:w="109"/>
        <w:gridCol w:w="109"/>
        <w:gridCol w:w="109"/>
        <w:gridCol w:w="211"/>
        <w:gridCol w:w="541"/>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 Recent Accounting Pronouncements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88" w:before="0" w:after="180"/>
        <w:jc w:val="left"/>
        <w:rPr/>
      </w:pPr>
      <w:r>
        <w:rPr>
          <w:rFonts w:ascii="Times New Roman;sans-serif" w:hAnsi="Times New Roman;sans-serif"/>
          <w:b w:val="false"/>
          <w:color w:val="000000"/>
          <w:sz w:val="20"/>
        </w:rPr>
        <w:t xml:space="preserve">In 2022, the Financial Accounting Standards Board (“FASB”) issued Accounting Standards Update (“ASU”) No. 2022-03, </w:t>
      </w:r>
      <w:r>
        <w:rPr>
          <w:rFonts w:ascii="Times New Roman;sans-serif" w:hAnsi="Times New Roman;sans-serif"/>
          <w:b w:val="false"/>
          <w:i/>
          <w:color w:val="000000"/>
          <w:sz w:val="20"/>
        </w:rPr>
        <w:t>Fair Value Measurement (Topic 820)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Fair Value Measurement of Equity Securities Subject to Contractual Sale Restrictions</w:t>
      </w:r>
      <w:r>
        <w:rPr>
          <w:color w:val="000000"/>
        </w:rPr>
        <w:t xml:space="preserve"> </w:t>
      </w:r>
      <w:r>
        <w:rPr>
          <w:rFonts w:ascii="Times New Roman;sans-serif" w:hAnsi="Times New Roman;sans-serif"/>
          <w:b w:val="false"/>
          <w:color w:val="000000"/>
          <w:sz w:val="20"/>
        </w:rPr>
        <w:t xml:space="preserve">(“ASU 2022-03”), which clarifies the guidance in Accounting Standards Codification (“ASC”) Topic 820, </w:t>
      </w:r>
      <w:r>
        <w:rPr>
          <w:rFonts w:ascii="Times New Roman;sans-serif" w:hAnsi="Times New Roman;sans-serif"/>
          <w:b w:val="false"/>
          <w:i/>
          <w:color w:val="000000"/>
          <w:sz w:val="20"/>
        </w:rPr>
        <w:t xml:space="preserve">Fair Value Measurement </w:t>
      </w:r>
      <w:r>
        <w:rPr>
          <w:rFonts w:ascii="Times New Roman;sans-serif" w:hAnsi="Times New Roman;sans-serif"/>
          <w:b w:val="false"/>
          <w:color w:val="000000"/>
          <w:sz w:val="20"/>
        </w:rPr>
        <w:t xml:space="preserve">(“Topic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ASC Topic 820. For public entities, ASU 2022-03 is effective for fiscal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beginning after December 15, 2023, including interim periods within those fiscal years. The provisions within ASU 2022-03 are to be applied prospectively with any adjustments from the adoption recognized in earnings and disclosed on the date of adoption. The Company adopted ASU 2022-03 effective January 1, 2024, and the adoption did not have a material impact on the Company’s consolidated financial statements or disclosures for the three months ended March 31, 2024.</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0" w:after="180"/>
        <w:jc w:val="left"/>
        <w:rPr/>
      </w:pPr>
      <w:r>
        <w:rPr>
          <w:rFonts w:ascii="Times New Roman;sans-serif" w:hAnsi="Times New Roman;sans-serif"/>
          <w:b w:val="false"/>
          <w:color w:val="000000"/>
          <w:sz w:val="20"/>
        </w:rPr>
        <w:t>In 2023, the FASB issued ASU No. 2023-09</w:t>
      </w:r>
      <w:r>
        <w:rPr>
          <w:rFonts w:ascii="Times New Roman;sans-serif" w:hAnsi="Times New Roman;sans-serif"/>
          <w:b w:val="false"/>
          <w:i/>
          <w:color w:val="000000"/>
          <w:sz w:val="20"/>
        </w:rPr>
        <w:t xml:space="preserve">, Income Taxes (Topic 740) - Improvement to Income Tax Disclosures </w:t>
      </w:r>
      <w:r>
        <w:rPr>
          <w:rFonts w:ascii="Times New Roman;sans-serif" w:hAnsi="Times New Roman;sans-serif"/>
          <w:b w:val="false"/>
          <w:color w:val="000000"/>
          <w:sz w:val="20"/>
        </w:rPr>
        <w:t>(“ASU 2023-09”</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which establishes new income tax disclosure requirements in addition to modifying and eliminating certain existing requirements. ASU 2023-09 requires entities to consistently categorize and provide greater disaggregation of information within the income tax reconciliation to enable users of financial statements to understand the nature and magnitude of factors contributing to the difference between the effective and statutory tax rates. For public entities, the provisions within ASU 2023-09 are effective for fiscal years beginning after December 15, 2024, and for interim periods of fiscal years beginning after December 15, 2025. The Company is currently assessing the impact the adoption of ASU 2023-09 will have on its consolidated financial statement disclosures.</w:t>
      </w:r>
    </w:p>
    <w:p>
      <w:pPr>
        <w:pStyle w:val="TextBody"/>
        <w:bidi w:val="0"/>
        <w:spacing w:lineRule="auto" w:line="288" w:before="0" w:after="180"/>
        <w:jc w:val="left"/>
        <w:rPr/>
      </w:pPr>
      <w:r>
        <w:rPr>
          <w:rFonts w:ascii="Times New Roman;sans-serif" w:hAnsi="Times New Roman;sans-serif"/>
          <w:b w:val="false"/>
          <w:color w:val="000000"/>
          <w:sz w:val="20"/>
        </w:rPr>
        <w:t xml:space="preserve">In 2023, the FASB issued ASU No. 2023-07, </w:t>
      </w:r>
      <w:r>
        <w:rPr>
          <w:rFonts w:ascii="Times New Roman;sans-serif" w:hAnsi="Times New Roman;sans-serif"/>
          <w:b w:val="false"/>
          <w:i/>
          <w:color w:val="000000"/>
          <w:sz w:val="20"/>
        </w:rPr>
        <w:t>Segment Reporting (Topic 280) - Improvements to Reportable Segment Disclosures</w:t>
      </w:r>
      <w:r>
        <w:rPr>
          <w:color w:val="000000"/>
        </w:rPr>
        <w:t xml:space="preserve"> </w:t>
      </w:r>
      <w:r>
        <w:rPr>
          <w:rFonts w:ascii="Times New Roman;sans-serif" w:hAnsi="Times New Roman;sans-serif"/>
          <w:b w:val="false"/>
          <w:color w:val="000000"/>
          <w:sz w:val="20"/>
        </w:rPr>
        <w:t xml:space="preserve">(“ASU 2023-07”), which enhances and expands the current annual and interim requirements on segment information disclosures. Under the new disclosure requirements, entities will be required to disclose, on an annual and interim basis: significant segment expense categories and amounts for each reportable segment that are included in the reported measure of segment profit or loss and regularly provided to the chief operating decision maker (“CODM”); an aggregate amount and qualitative description of other segment items included in each reported measure of segment profit or loss for each reportable segment; measures of a segment’s profit or loss that are used by the CODM to assess segment performance and decide how to allocate resources; and disclosure of the title and position of the individual or the name of the group identified as the CODM. For public entities, the provisions within ASU 2023-07 are to be applied retrospectively for all comparative periods and are effective for fiscal years beginning after December 15, 2023, and for interim periods of fiscal years beginning after December 15, 2024. The Company is currently assessing the impact the adoption of ASU 2023-07 will have on its consolidated financial statement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0" w:after="180"/>
        <w:jc w:val="left"/>
        <w:rPr/>
      </w:pPr>
      <w:r>
        <w:rPr>
          <w:rFonts w:ascii="Times New Roman;sans-serif" w:hAnsi="Times New Roman;sans-serif"/>
          <w:b w:val="false"/>
          <w:color w:val="000000"/>
          <w:sz w:val="20"/>
        </w:rPr>
        <w:t xml:space="preserve">The Company’s operations are comprised of the Merchant and the Financial reportable segments. Additional information regarding the Company’s business segments is included in Note 20. The table below presents the Company’s revenue disaggregated by business line, including a reconciliation with its reportable segments. The Company’s disaggregation of revenue for the three months ended March 31, 2023 has been recast to reflect the Segment Realignment. The Company serves its global client base by working among its geographic teams across various regions, including the U.S. and Canada; Europe, Middle East and Africa (“EMEA”); Latin America (“LATAM”); and Asia Pacific (“APAC”). The majority of the Company’s revenue is earned domestically, with revenue generated within its EMEA, LATAM and APAC regions comprising approximately </w:t>
      </w:r>
      <w:r>
        <w:rPr>
          <w:rFonts w:ascii="Times New Roman;sans-serif" w:hAnsi="Times New Roman;sans-serif"/>
          <w:b w:val="false"/>
          <w:color w:val="000000"/>
          <w:sz w:val="20"/>
          <w:shd w:fill="FFFFFF" w:val="clear"/>
        </w:rPr>
        <w:t>15%</w:t>
      </w:r>
      <w:r>
        <w:rPr>
          <w:color w:val="000000"/>
        </w:rPr>
        <w:t xml:space="preserve"> </w:t>
      </w:r>
      <w:r>
        <w:rPr>
          <w:rFonts w:ascii="Times New Roman;sans-serif" w:hAnsi="Times New Roman;sans-serif"/>
          <w:b w:val="false"/>
          <w:color w:val="000000"/>
          <w:sz w:val="20"/>
        </w:rPr>
        <w:t>and 13% of total revenue for the three months ended March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tbl>
      <w:tblPr>
        <w:tblW w:w="6383" w:type="dxa"/>
        <w:jc w:val="left"/>
        <w:tblInd w:w="0" w:type="dxa"/>
        <w:tblLayout w:type="fixed"/>
        <w:tblCellMar>
          <w:top w:w="28" w:type="dxa"/>
          <w:left w:w="28" w:type="dxa"/>
          <w:bottom w:w="28" w:type="dxa"/>
          <w:right w:w="28" w:type="dxa"/>
        </w:tblCellMar>
      </w:tblPr>
      <w:tblGrid>
        <w:gridCol w:w="1010"/>
        <w:gridCol w:w="886"/>
        <w:gridCol w:w="893"/>
        <w:gridCol w:w="109"/>
        <w:gridCol w:w="109"/>
        <w:gridCol w:w="109"/>
        <w:gridCol w:w="267"/>
        <w:gridCol w:w="781"/>
        <w:gridCol w:w="138"/>
        <w:gridCol w:w="138"/>
        <w:gridCol w:w="138"/>
        <w:gridCol w:w="138"/>
        <w:gridCol w:w="267"/>
        <w:gridCol w:w="781"/>
        <w:gridCol w:w="138"/>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u w:val="single"/>
              </w:rPr>
              <w:t>(In millions)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Revenue by Business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Merchant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Digital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from contracts with customers:</w:t>
      </w:r>
    </w:p>
    <w:tbl>
      <w:tblPr>
        <w:tblW w:w="5185" w:type="dxa"/>
        <w:jc w:val="left"/>
        <w:tblInd w:w="0" w:type="dxa"/>
        <w:tblLayout w:type="fixed"/>
        <w:tblCellMar>
          <w:top w:w="28" w:type="dxa"/>
          <w:left w:w="28" w:type="dxa"/>
          <w:bottom w:w="28" w:type="dxa"/>
          <w:right w:w="28" w:type="dxa"/>
        </w:tblCellMar>
      </w:tblPr>
      <w:tblGrid>
        <w:gridCol w:w="597"/>
        <w:gridCol w:w="524"/>
        <w:gridCol w:w="529"/>
        <w:gridCol w:w="386"/>
        <w:gridCol w:w="854"/>
        <w:gridCol w:w="199"/>
        <w:gridCol w:w="109"/>
        <w:gridCol w:w="109"/>
        <w:gridCol w:w="109"/>
        <w:gridCol w:w="448"/>
        <w:gridCol w:w="992"/>
        <w:gridCol w:w="329"/>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reported within other long-term assets in the consolidated balance sheets, primarily relate to customer discounts where revenue recognition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$285 million of revenue during the three months ended March 31, 2024 that was included in the contract liabilities balance at the beginning of the period.</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 Price Allocated to Remaining Performance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estimated processing and services revenue expected to be recognized in the future related to performance obligations that were unsatisfied (or partially unsatisfied) at March 31, 2024:</w:t>
      </w:r>
    </w:p>
    <w:tbl>
      <w:tblPr>
        <w:tblW w:w="3380" w:type="dxa"/>
        <w:jc w:val="center"/>
        <w:tblInd w:w="0" w:type="dxa"/>
        <w:tblLayout w:type="fixed"/>
        <w:tblCellMar>
          <w:top w:w="28" w:type="dxa"/>
          <w:left w:w="28" w:type="dxa"/>
          <w:bottom w:w="28" w:type="dxa"/>
          <w:right w:w="28" w:type="dxa"/>
        </w:tblCellMar>
      </w:tblPr>
      <w:tblGrid>
        <w:gridCol w:w="867"/>
        <w:gridCol w:w="760"/>
        <w:gridCol w:w="772"/>
        <w:gridCol w:w="211"/>
        <w:gridCol w:w="61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20"/>
        </w:rPr>
        <w:t xml:space="preserve">The Company applies the optional exemption under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Acquisitions and Dispositions</w:t>
      </w:r>
    </w:p>
    <w:p>
      <w:pPr>
        <w:pStyle w:val="TextBody"/>
        <w:bidi w:val="0"/>
        <w:spacing w:lineRule="auto" w:line="288" w:before="0" w:after="180"/>
        <w:jc w:val="left"/>
        <w:rPr/>
      </w:pPr>
      <w:r>
        <w:rPr>
          <w:rFonts w:ascii="Times New Roman;sans-serif" w:hAnsi="Times New Roman;sans-serif"/>
          <w:b w:val="false"/>
          <w:color w:val="000000"/>
          <w:sz w:val="20"/>
        </w:rPr>
        <w:t xml:space="preserve">Acquisitions were accounted for as business combinations using the acquisition method of accounting in accordance with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Purchase price was allocated to the respective identifiable assets acquired and liabilities assumed based on the estimated fair values at the 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9, 2023, the Company acquired Skytef Solucões em Captura de Transações Ltda (“Skytef”), a distributor for independent software vendor partners and merchants of the Company’s Electronic Funds Transfer payments software. Skytef is included within the Merchant segment and expands the Company’s distribution network and POS applications. On November 1, 2023, the Company acquired Sled S.A. (“Sled”), a provider of instant payment solutions. Sled is included within the Merchant segment and expands the Company’s direct payment service capabilities. The Company acquired these businesses in Latin America for an aggregate purchase price, including hold-backs, of $17 million. The purchase price allocations for the Skytef and Sled acquisitions were finalized in the first quarter of 2024, and measurement period adjustments did not have a material impact on the Company’s consolidated income statement.</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Dispositions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July 25, 2023, the Company sold its financial reconciliation business, which was reported within the Financial segment, for cash proceeds of $235 million. The Company recognized a pre-tax gain of $172 million on the sale, recorded within net gain (loss) on sale of businesses and other assets, with a related tax expense of $48 million recorded within the income tax provision, in the consolidated statement of income for the year ended December 31, 2023. The pre-tax gain was comprised of the difference between the consideration received and the net carrying amount of the business, including $38 million of allocated goodwill; $15 million of other net assets, primarily consisting of trade accounts receivable and capitalized software; and $10 million of accumulated foreign currency translation losses which were reclassified from accumulated other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Intangible Assets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consisted of the following:</w:t>
      </w:r>
    </w:p>
    <w:tbl>
      <w:tblPr>
        <w:tblW w:w="7581" w:type="dxa"/>
        <w:jc w:val="center"/>
        <w:tblInd w:w="0" w:type="dxa"/>
        <w:tblLayout w:type="fixed"/>
        <w:tblCellMar>
          <w:top w:w="28" w:type="dxa"/>
          <w:left w:w="28" w:type="dxa"/>
          <w:bottom w:w="28" w:type="dxa"/>
          <w:right w:w="28" w:type="dxa"/>
        </w:tblCellMar>
      </w:tblPr>
      <w:tblGrid>
        <w:gridCol w:w="1286"/>
        <w:gridCol w:w="1130"/>
        <w:gridCol w:w="1138"/>
        <w:gridCol w:w="211"/>
        <w:gridCol w:w="721"/>
        <w:gridCol w:w="109"/>
        <w:gridCol w:w="109"/>
        <w:gridCol w:w="109"/>
        <w:gridCol w:w="109"/>
        <w:gridCol w:w="252"/>
        <w:gridCol w:w="862"/>
        <w:gridCol w:w="132"/>
        <w:gridCol w:w="109"/>
        <w:gridCol w:w="109"/>
        <w:gridCol w:w="109"/>
        <w:gridCol w:w="211"/>
        <w:gridCol w:w="721"/>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Book</w:t>
              <w:br/>
              <w:t>Value</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software and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and other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software and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and other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20"/>
        </w:rPr>
        <w:t xml:space="preserve">Amortization expense associated with the above identifiable intangible assets was $534 million and $595 million for the three months ended March 31,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Investments in Unconsolidated Affiliates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investments in various affiliates that are accounted for as equity method investments, the most significant of which are related to the Company’s merchant alliances. The Company’s share of net income or loss from these investments is reported within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deterioration in value, including significant changes in business relationships with merchant alliances. A deterioration in value of an equity method investment determined to be other-than-temporary is recorded as a current-period impairment charge within loss from investments in unconsolidated affiliates in the consolidated statements of income. The estimated fair values of the Company’s investments in unconsolidated merchant alliances assume a continuation beyond the existing contractual term. A renewal of certain of the merchant alliance agreements beyond the current contractual term is not solely within the Company’s control.</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Merchant Alliances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 (see Note 19). The Company’s investment in its merchant alliances was $1.9 billion at both March 31, 2024 and December 31, 2023, and is reported within investments in unconsolidated affiliates in the consolidated balance sheets.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Equity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investments, over which it does not have significant influence, in various equity securities without a readily determinable fair value. Such investments totaled $174 million and $156 million at March 31, 2024 and December 31, 2023,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to the values recorded for certain equity securities and gains and losses from sales of equity securities were $21 million during the three months ended March 31, 2024 and were not significant during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Derivatives and Hedging Instruments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8).</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 Hedges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forward exchange contracts, designated as cash flow hedges, to hedge foreign currency exposure to the Indian Rupee. The notional amount of these derivatives was $447 million and $443 million at March 31, 2024 and December 31, 2023, respectively. Based on the amounts recorded in accumulated other comprehensive loss at March 31, 2024, the Company estimates that it will recognize gains of approximately $3 million in cost of processing and services during the next twelve months as foreign exchange forward contracts settle.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 interest payments. The unamortized balance recorded in accumulated other comprehensive loss related to the Treasury Locks was $112 million and $116 million at March 31, 2024 and December 31, 2023, respectively. Based on the amounts recorded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at March 31, 2024, the Company estimates that it will recognize approximately $14 million in net interest expense during the next twelve months related to settled interest rate hedge contracts.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Investment Hedges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aggregate notional fixed-to-fixed cross-currency rate swaps of 475 million Euros and 751 million Singapore Dollars have been designated as net investment hedges to hedge a portion of the Company’s net investment in certain subsidiaries whose functional currencies are the Euro and Singapore Dollar. The Company has also designated certain of its Euro- and British Pound-denominated senior notes and Euro commercial paper notes as net investment hedges to hedge a portion of its net investment in certain subsidiaries whose functional currencies are the Euro and the British Pound.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gains or losses on the qualifying net investment hedge instruments are recorded as foreign currency translation within other comprehensive (loss) income in the consolidated statements of comprehensive income and will remain in accumulated other comprehensive loss in the consolidated balance sheets until the sale or complete liquidation of the underlying foreign currency-denominated subsidiaries.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gains (losses), net of income tax, related to net investment hedges that were recorded as foreign currency translation within other comprehensive (loss) income in the consolidated statements of comprehensive income were as follows:</w:t>
      </w:r>
    </w:p>
    <w:tbl>
      <w:tblPr>
        <w:tblW w:w="5384" w:type="dxa"/>
        <w:jc w:val="left"/>
        <w:tblInd w:w="0" w:type="dxa"/>
        <w:tblLayout w:type="fixed"/>
        <w:tblCellMar>
          <w:top w:w="28" w:type="dxa"/>
          <w:left w:w="28" w:type="dxa"/>
          <w:bottom w:w="28" w:type="dxa"/>
          <w:right w:w="28" w:type="dxa"/>
        </w:tblCellMar>
      </w:tblPr>
      <w:tblGrid>
        <w:gridCol w:w="1096"/>
        <w:gridCol w:w="961"/>
        <w:gridCol w:w="973"/>
        <w:gridCol w:w="238"/>
        <w:gridCol w:w="408"/>
        <w:gridCol w:w="123"/>
        <w:gridCol w:w="123"/>
        <w:gridCol w:w="123"/>
        <w:gridCol w:w="123"/>
        <w:gridCol w:w="238"/>
        <w:gridCol w:w="374"/>
        <w:gridCol w:w="123"/>
        <w:gridCol w:w="109"/>
        <w:gridCol w:w="109"/>
        <w:gridCol w:w="109"/>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rate swap contracts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currency-denominated debt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impacts of $(31) million and $22 million during the three months ended March 31, 2024 and 2023, respectively, in other comprehensive (loss) income from the translation of foreign currency-denominated senior notes, Euro commercial paper notes and cross-currency rate swap contracts.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Hedges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fixed-to-fixed cross-currency rate swap contract of 525 million notional British Pounds, designated as a fair value hedge, to mitigate the spot foreign exchange rate risk on the principal amount of its British Pound-denominated 2.250% senior notes due in July 2025. Changes in the fair value of the cross-currency rate swap, along with the offsetting changes in the fair value of the senior notes, attributable to fluctuations in the British Pound/U.S. dollar spot rates are recognized in other expense, net within the consolidated statements of income. The Company also maintains fixed-to-fixed cross-currency rate swap contracts in the aggregate notional amount of 157 million Euros, designated as fair value hedges, to mitigate the spot foreign exchange rate risk on the principal amount of a Euro-denominated intercompany note. Changes in the fair value of the cross-currency rate swaps, along with the offsetting change in the fair value of the intercompany note, attributable to fluctuations in the Euro/U.S. dollar spot rates are recognized in other expense, net within the consolidated statements of income. Changes in the fair value of cross-currency rate swaps attributable to fluctuations in foreign currency spot rates, along with the offsetting changes in the fair values of the hedged notes, of $2 million were recognized in other expense, net within the consolidated statements of income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Fair Value Measurements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foreign currency spot rates and forwards quoted by banks and foreign currency dealers and are marked to market each period. Contingent consideration related to certain of the Company’s acquisitions is estimated using the present value of a probability-weighted assessment approach based on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measured at fair value on a recurring basis consisted of the following: </w:t>
      </w:r>
    </w:p>
    <w:tbl>
      <w:tblPr>
        <w:tblW w:w="10205" w:type="dxa"/>
        <w:jc w:val="center"/>
        <w:tblInd w:w="0" w:type="dxa"/>
        <w:tblLayout w:type="fixed"/>
        <w:tblCellMar>
          <w:top w:w="28" w:type="dxa"/>
          <w:left w:w="28" w:type="dxa"/>
          <w:bottom w:w="28" w:type="dxa"/>
          <w:right w:w="28" w:type="dxa"/>
        </w:tblCellMar>
      </w:tblPr>
      <w:tblGrid>
        <w:gridCol w:w="1440"/>
        <w:gridCol w:w="1051"/>
        <w:gridCol w:w="1022"/>
        <w:gridCol w:w="764"/>
        <w:gridCol w:w="764"/>
        <w:gridCol w:w="766"/>
        <w:gridCol w:w="109"/>
        <w:gridCol w:w="109"/>
        <w:gridCol w:w="109"/>
        <w:gridCol w:w="481"/>
        <w:gridCol w:w="481"/>
        <w:gridCol w:w="483"/>
        <w:gridCol w:w="109"/>
        <w:gridCol w:w="109"/>
        <w:gridCol w:w="109"/>
        <w:gridCol w:w="298"/>
        <w:gridCol w:w="363"/>
        <w:gridCol w:w="156"/>
        <w:gridCol w:w="109"/>
        <w:gridCol w:w="109"/>
        <w:gridCol w:w="109"/>
        <w:gridCol w:w="389"/>
        <w:gridCol w:w="472"/>
        <w:gridCol w:w="294"/>
      </w:tblGrid>
      <w:tr>
        <w:trPr/>
        <w:tc>
          <w:tcPr>
            <w:tcW w:w="144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Forward exchange contracts designated as cash flow hedges</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rate swap contract designated as fair value hedge</w:t>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rate swap contract designated as fair value hedge</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rate swap contracts designated as fair value hedges</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rate swap contracts designated as net investment hedges</w:t>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debt guarantee </w:t>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$22.7 billion and $21.6 billion at March 31, 2024 and December 31, 2023, respectively, and the carrying value was $23.5 billion and $22.2 billion at March 31, 2024 and December 31, 2023, respectively.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Guarantee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noncontrolling ownership interests in Sagent M&amp;C, LLC and defi SOLUTIONS Group, LLC (collectively the “Lending Joint Ventures”), which are accounted for under the equity method. The Lending Joint Ventures maintain variable-rate term loan facilities with aggregate outstanding borrowings of $437 million in senior unsecured debt at March 31, 2024 and variable-rate revolving credit facilities with an aggregate borrowing capacity of $83 million with a syndicate of banks, which mature in April 2027. There were $52 million of aggregate outstanding borrowings on the revolving credit facilities at March 31, 2024. The Company has guaranteed the debt of the Lending Joint Ventures.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liabilities for its obligations to perform over the term of its debt guarantee arrangements with the Lending Joint Ventures, which are reported within other long-term liabilities in the consolidated balance sheets. The Company has provided aggregate guarantees of $520 million associated with the debt of the Lending Joint Ventures and is entitled to receive a defined fee in exchange for its guarantee of this indebtedness. The Company has not made any payments under the guarantees, nor has it been called upon to do so, and does not anticipate that the Lending Joint Ventures will fail to fulfill their debt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non-contingent component of the Company’s debt guarantee arrangements is recorded at amortized cost, but measured at fair value for disclosure purposes. The carrying value of the Company’s non-contingent liability of $28 million and $31 million approximates the fair value at March 31, 2024 and December 31, 2023,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$4 million and $2 million during the three months ended March 31, 2024 and 2023, respectively, within other expense, net in its consolidated statements of income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its release from risk under the non-contingent guarantees as well as a change in the provision of estimated credit losses associated with the indebtedness of the Lending Joint Ventures.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Non-Financial Assets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non-financial assets are measured at fair value on a non-recurring basis, including property and equipment, lease right-of-use assets, equity securities without a readily determinable fair value, goodwill and other intangible assets, and are subject to fair value adjustment in certain circumstances.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Accounts Payable and Accrued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consisted of the following:</w:t>
      </w:r>
    </w:p>
    <w:tbl>
      <w:tblPr>
        <w:tblW w:w="7581" w:type="dxa"/>
        <w:jc w:val="center"/>
        <w:tblInd w:w="0" w:type="dxa"/>
        <w:tblLayout w:type="fixed"/>
        <w:tblCellMar>
          <w:top w:w="28" w:type="dxa"/>
          <w:left w:w="28" w:type="dxa"/>
          <w:bottom w:w="28" w:type="dxa"/>
          <w:right w:w="28" w:type="dxa"/>
        </w:tblCellMar>
      </w:tblPr>
      <w:tblGrid>
        <w:gridCol w:w="1346"/>
        <w:gridCol w:w="1181"/>
        <w:gridCol w:w="1192"/>
        <w:gridCol w:w="109"/>
        <w:gridCol w:w="109"/>
        <w:gridCol w:w="109"/>
        <w:gridCol w:w="324"/>
        <w:gridCol w:w="948"/>
        <w:gridCol w:w="167"/>
        <w:gridCol w:w="109"/>
        <w:gridCol w:w="109"/>
        <w:gridCol w:w="109"/>
        <w:gridCol w:w="380"/>
        <w:gridCol w:w="1110"/>
        <w:gridCol w:w="279"/>
      </w:tblGrid>
      <w:tr>
        <w:trPr/>
        <w:tc>
          <w:tcPr>
            <w:tcW w:w="134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Transferable federal tax credits (see Note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payment network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10. Debt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debt consisted of the following: </w:t>
      </w:r>
    </w:p>
    <w:tbl>
      <w:tblPr>
        <w:tblW w:w="9248" w:type="dxa"/>
        <w:jc w:val="left"/>
        <w:tblInd w:w="0" w:type="dxa"/>
        <w:tblLayout w:type="fixed"/>
        <w:tblCellMar>
          <w:top w:w="28" w:type="dxa"/>
          <w:left w:w="28" w:type="dxa"/>
          <w:bottom w:w="28" w:type="dxa"/>
          <w:right w:w="28" w:type="dxa"/>
        </w:tblCellMar>
      </w:tblPr>
      <w:tblGrid>
        <w:gridCol w:w="1949"/>
        <w:gridCol w:w="1710"/>
        <w:gridCol w:w="1725"/>
        <w:gridCol w:w="109"/>
        <w:gridCol w:w="109"/>
        <w:gridCol w:w="109"/>
        <w:gridCol w:w="292"/>
        <w:gridCol w:w="998"/>
        <w:gridCol w:w="150"/>
        <w:gridCol w:w="109"/>
        <w:gridCol w:w="109"/>
        <w:gridCol w:w="109"/>
        <w:gridCol w:w="344"/>
        <w:gridCol w:w="1175"/>
        <w:gridCol w:w="251"/>
      </w:tblGrid>
      <w:tr>
        <w:trPr/>
        <w:tc>
          <w:tcPr>
            <w:tcW w:w="194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and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and other financing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and 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2.750% senior notes due 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3.850% senior notes due June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2.250% senior notes due July 2025 (British Pound-denominated)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3.200% senior notes due 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5.150% senior notes due March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2.250% senior notes due 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1.125% senior notes due July 2027 (Euro-denominated)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5.450% senior notes due March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senior notes due August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4.200% senior notes due October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senior notes due July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2.650% senior notes due June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1.625% senior notes due July 2030 (Euro-denominated)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5.350% senior notes due March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senior notes due May 2031 (Euro-denominated)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3.000% senior notes due July 2031 (British Pound-denominated)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5.600% senior notes due March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senior notes due August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5.450% senior notes due March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4.400% senior notes due July 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 commercial paper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commercial paper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and other financing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all financial debt covenants during the three months ended March 31, 2024.</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March 4, 2024, the Company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Interest on these senior notes is paid semi-annually. The Company used the net proceeds from this senior notes offering for general corporate purposes, including the repayment of a portion of the Company’s commercial paper notes and for share repurchases, and expects to use a portion of the net proceeds from this senior notes offering to repay a portion of its 2.750% senior notes upon maturity in July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 2.750% senior notes due in July 2024 were classified in the consolidated balance sheet as long-term, as the Company has the intent to refinance this debt on a long-term basis, and the ability to do so under its revolving credit facility and through use of a portion of the net proceeds from the March 2024 issuance of the senior notes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indentures governing these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these senior notes, in whole or in part, at any time and from time to time at the applicable redemption price.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Paper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$418 million at December 31, 2023, with a weighted average interest rate of 5.454%. There were no outstanding borrowings under the U.S. dollar program at March 31, 2024. Outstanding borrowings under the Euro program were $1.3 billion at both March 31, 2024 and December 31, 2023, with weighted average interest rates of 4.016% and 4.029%,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the Company’s long-term debt rating. There were no outstanding borrowings under the revolving credit facility at March 31, 2024.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Lines of Credit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certain short-term lines of credit and other borrowing arrangements with foreign banks and alliance partners primarily to fund settlement activity associated with operations in Latin America. The Company entered into an annually renewable term loan facility, which was fully funded in April 2023, to fund settlement advance cash payments in Brazil. This term loan has a notional value of 514 million Brazilian real ($103 million USD equivalent) at March 31, 2024 and bears interest at a variable Certificado de Depósito Interbancário (CDI) Rate, plus a specified margin per annum. In February 2024, this term loan facility was amended, which amendment extended its maturity date to April 2025 and decreased the specified margin to 1.25% per annum.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outstanding borrowings and weighted average interest rates of the Company’s foreign lines of credit and other borrowing arrangements by country at March 31, 2024 and December 31, 2023:</w:t>
      </w:r>
    </w:p>
    <w:tbl>
      <w:tblPr>
        <w:tblW w:w="9409"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386"/>
        <w:gridCol w:w="854"/>
        <w:gridCol w:w="199"/>
        <w:gridCol w:w="186"/>
        <w:gridCol w:w="186"/>
        <w:gridCol w:w="186"/>
        <w:gridCol w:w="463"/>
        <w:gridCol w:w="1024"/>
        <w:gridCol w:w="238"/>
        <w:gridCol w:w="109"/>
        <w:gridCol w:w="109"/>
        <w:gridCol w:w="109"/>
        <w:gridCol w:w="412"/>
        <w:gridCol w:w="320"/>
        <w:gridCol w:w="799"/>
        <w:gridCol w:w="230"/>
        <w:gridCol w:w="230"/>
        <w:gridCol w:w="230"/>
        <w:gridCol w:w="413"/>
        <w:gridCol w:w="413"/>
        <w:gridCol w:w="1055"/>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Outstanding Borrowings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Interest Rate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83.821 </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121.581 </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12.628 </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Uruguay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10.695 </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11.125 </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4.912 </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40.354 </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63.060 </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Redeemable Noncontrolling Interest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minority partner in one of the Company’s existing merchant alliance joint ventures maintains a redeemable noncontrolling 1% interest which is presented outside of equity and carried at its estimated redemption value. The minority partner is entitled to a contractually determined share of the entity’s income, and the joint venture agreement contains redemption features whereby the interest held by the minority partner is redeemable either (i) at the option of the holder or (ii) upon the occurrence of an event that is not solely within the Company’s control. The joint venture may be terminated by either party for convenience any time after December 31, 2024. In the event of termination for cause, as a result of a change in control, or for convenience after the predetermined date, the Company may be required to purchase the minority partner membership interest at a price equal to the fair market value of the minority interest through a distribution of cash, certain merchant contracts of the joint venture, or a combination thereof. In conjunction with the termination of the joint venture, the minority partner may also exercise an option to purchase certain additional merchant contracts at fair market value.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redeemable noncontrolling interest activity during the three months ended March 31:</w:t>
      </w:r>
    </w:p>
    <w:tbl>
      <w:tblPr>
        <w:tblW w:w="6966" w:type="dxa"/>
        <w:jc w:val="left"/>
        <w:tblInd w:w="0" w:type="dxa"/>
        <w:tblLayout w:type="fixed"/>
        <w:tblCellMar>
          <w:top w:w="28" w:type="dxa"/>
          <w:left w:w="28" w:type="dxa"/>
          <w:bottom w:w="28" w:type="dxa"/>
          <w:right w:w="28" w:type="dxa"/>
        </w:tblCellMar>
      </w:tblPr>
      <w:tblGrid>
        <w:gridCol w:w="1699"/>
        <w:gridCol w:w="1491"/>
        <w:gridCol w:w="1505"/>
        <w:gridCol w:w="109"/>
        <w:gridCol w:w="109"/>
        <w:gridCol w:w="109"/>
        <w:gridCol w:w="211"/>
        <w:gridCol w:w="466"/>
        <w:gridCol w:w="109"/>
        <w:gridCol w:w="109"/>
        <w:gridCol w:w="109"/>
        <w:gridCol w:w="109"/>
        <w:gridCol w:w="211"/>
        <w:gridCol w:w="46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Equity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changes in equity during the three months ended March 31, 2024 and 2023: </w:t>
      </w:r>
    </w:p>
    <w:tbl>
      <w:tblPr>
        <w:tblW w:w="10205" w:type="dxa"/>
        <w:jc w:val="left"/>
        <w:tblInd w:w="0" w:type="dxa"/>
        <w:tblLayout w:type="fixed"/>
        <w:tblCellMar>
          <w:top w:w="28" w:type="dxa"/>
          <w:left w:w="28" w:type="dxa"/>
          <w:bottom w:w="28" w:type="dxa"/>
          <w:right w:w="28" w:type="dxa"/>
        </w:tblCellMar>
      </w:tblPr>
      <w:tblGrid>
        <w:gridCol w:w="750"/>
        <w:gridCol w:w="213"/>
        <w:gridCol w:w="215"/>
        <w:gridCol w:w="255"/>
        <w:gridCol w:w="255"/>
        <w:gridCol w:w="256"/>
        <w:gridCol w:w="254"/>
        <w:gridCol w:w="254"/>
        <w:gridCol w:w="258"/>
        <w:gridCol w:w="109"/>
        <w:gridCol w:w="109"/>
        <w:gridCol w:w="109"/>
        <w:gridCol w:w="274"/>
        <w:gridCol w:w="338"/>
        <w:gridCol w:w="154"/>
        <w:gridCol w:w="196"/>
        <w:gridCol w:w="646"/>
        <w:gridCol w:w="109"/>
        <w:gridCol w:w="321"/>
        <w:gridCol w:w="715"/>
        <w:gridCol w:w="180"/>
        <w:gridCol w:w="196"/>
        <w:gridCol w:w="646"/>
        <w:gridCol w:w="109"/>
        <w:gridCol w:w="196"/>
        <w:gridCol w:w="661"/>
        <w:gridCol w:w="109"/>
        <w:gridCol w:w="324"/>
        <w:gridCol w:w="697"/>
        <w:gridCol w:w="181"/>
        <w:gridCol w:w="196"/>
        <w:gridCol w:w="646"/>
        <w:gridCol w:w="109"/>
        <w:gridCol w:w="165"/>
      </w:tblGrid>
      <w:tr>
        <w:trPr/>
        <w:tc>
          <w:tcPr>
            <w:tcW w:w="7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Fiserv, Inc. Shareholders’ Equity</w:t>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15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12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Net income </w:t>
            </w:r>
            <w:r>
              <w:rPr>
                <w:rFonts w:ascii="Times New Roman;sans-serif" w:hAnsi="Times New Roman;sans-serif"/>
                <w:b w:val="false"/>
                <w:color w:val="000000"/>
                <w:sz w:val="10"/>
              </w:rPr>
              <w:t>(1)</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6"/>
              </w:rPr>
              <w:t xml:space="preserve">Distributions paid to noncontrolling interests </w:t>
            </w:r>
            <w:r>
              <w:rPr>
                <w:rFonts w:ascii="Times New Roman;sans-serif" w:hAnsi="Times New Roman;sans-serif"/>
                <w:b w:val="false"/>
                <w:color w:val="000000"/>
                <w:sz w:val="10"/>
              </w:rPr>
              <w:t>(2)</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loss </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stock plans</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treasury stock</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5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The total net income presented in equity for the three months ended March 31, 2024 is different than the amount presented in the consolidated statement of income due to the net income attributable to redeemable noncontrolling interest of $6 million not included in equity.</w:t>
      </w:r>
    </w:p>
    <w:p>
      <w:pPr>
        <w:pStyle w:val="TextBody"/>
        <w:bidi w:val="0"/>
        <w:spacing w:lineRule="auto" w:line="288" w:before="0" w:after="18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The total distributions presented in equity for the three months ended March 31, 2024 excludes $7 million in distributions paid to redeemable noncontrolling interest not included in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753"/>
        <w:gridCol w:w="240"/>
        <w:gridCol w:w="243"/>
        <w:gridCol w:w="265"/>
        <w:gridCol w:w="265"/>
        <w:gridCol w:w="266"/>
        <w:gridCol w:w="264"/>
        <w:gridCol w:w="264"/>
        <w:gridCol w:w="268"/>
        <w:gridCol w:w="109"/>
        <w:gridCol w:w="109"/>
        <w:gridCol w:w="109"/>
        <w:gridCol w:w="283"/>
        <w:gridCol w:w="349"/>
        <w:gridCol w:w="159"/>
        <w:gridCol w:w="196"/>
        <w:gridCol w:w="646"/>
        <w:gridCol w:w="109"/>
        <w:gridCol w:w="272"/>
        <w:gridCol w:w="792"/>
        <w:gridCol w:w="152"/>
        <w:gridCol w:w="196"/>
        <w:gridCol w:w="646"/>
        <w:gridCol w:w="109"/>
        <w:gridCol w:w="199"/>
        <w:gridCol w:w="585"/>
        <w:gridCol w:w="110"/>
        <w:gridCol w:w="334"/>
        <w:gridCol w:w="718"/>
        <w:gridCol w:w="186"/>
        <w:gridCol w:w="196"/>
        <w:gridCol w:w="648"/>
        <w:gridCol w:w="165"/>
      </w:tblGrid>
      <w:tr>
        <w:trPr/>
        <w:tc>
          <w:tcPr>
            <w:tcW w:w="7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Fiserv, Inc. Shareholders’ Equity</w:t>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c>
          <w:tcPr>
            <w:tcW w:w="1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Treasury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8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36"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31,527 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Net income </w:t>
            </w:r>
            <w:r>
              <w:rPr>
                <w:rFonts w:ascii="Times New Roman;sans-serif" w:hAnsi="Times New Roman;sans-serif"/>
                <w:b w:val="false"/>
                <w:color w:val="000000"/>
                <w:sz w:val="10"/>
              </w:rPr>
              <w:t>(1)</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2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2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stock plans</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treasury stock</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2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The total net income presented in equity for the three months ended March 31, 2023 is different than the amount presented in the consolidated statement of income due to the net income attributable to redeemable noncontrolling interest of $7 million not included in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13. Accumulated Other Comprehensive Loss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by component, net of income taxes, consisted of the following:</w:t>
      </w:r>
    </w:p>
    <w:tbl>
      <w:tblPr>
        <w:tblW w:w="10205" w:type="dxa"/>
        <w:jc w:val="left"/>
        <w:tblInd w:w="0" w:type="dxa"/>
        <w:tblLayout w:type="fixed"/>
        <w:tblCellMar>
          <w:top w:w="28" w:type="dxa"/>
          <w:left w:w="28" w:type="dxa"/>
          <w:bottom w:w="28" w:type="dxa"/>
          <w:right w:w="28" w:type="dxa"/>
        </w:tblCellMar>
      </w:tblPr>
      <w:tblGrid>
        <w:gridCol w:w="1854"/>
        <w:gridCol w:w="1483"/>
        <w:gridCol w:w="1496"/>
        <w:gridCol w:w="284"/>
        <w:gridCol w:w="649"/>
        <w:gridCol w:w="148"/>
        <w:gridCol w:w="109"/>
        <w:gridCol w:w="109"/>
        <w:gridCol w:w="109"/>
        <w:gridCol w:w="246"/>
        <w:gridCol w:w="737"/>
        <w:gridCol w:w="128"/>
        <w:gridCol w:w="109"/>
        <w:gridCol w:w="109"/>
        <w:gridCol w:w="109"/>
        <w:gridCol w:w="341"/>
        <w:gridCol w:w="636"/>
        <w:gridCol w:w="177"/>
        <w:gridCol w:w="109"/>
        <w:gridCol w:w="109"/>
        <w:gridCol w:w="109"/>
        <w:gridCol w:w="211"/>
        <w:gridCol w:w="676"/>
        <w:gridCol w:w="158"/>
      </w:tblGrid>
      <w:tr>
        <w:trPr/>
        <w:tc>
          <w:tcPr>
            <w:tcW w:w="185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(see Note 1)</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reclassified from accumulated other comprehensive loss </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14. Share-Based Compensation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$86 million and $93 million of share-based compensation expense during the three months ended March 31, 2024 and 2023, respectively. The Company’s share-based compensation awards are typically granted in the first quarter of the year, and may also occur throughout the year in conjunction with acquisitions of businesses. At March 31, 2024, the total remaining unrecognized compensation cost for restricted stock units and awards, performance share units, and unvested stock options, net of estimated forfeitures, of $558 million is expected to be recognized over a weighted-average period of 2.2 years.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unit, restricted stock award and performance share unit activity during the three months ended March 31, 2024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740"/>
        <w:gridCol w:w="650"/>
        <w:gridCol w:w="653"/>
        <w:gridCol w:w="358"/>
        <w:gridCol w:w="357"/>
        <w:gridCol w:w="359"/>
        <w:gridCol w:w="140"/>
        <w:gridCol w:w="140"/>
        <w:gridCol w:w="140"/>
        <w:gridCol w:w="509"/>
        <w:gridCol w:w="1706"/>
        <w:gridCol w:w="210"/>
        <w:gridCol w:w="109"/>
        <w:gridCol w:w="109"/>
        <w:gridCol w:w="109"/>
        <w:gridCol w:w="357"/>
        <w:gridCol w:w="357"/>
        <w:gridCol w:w="359"/>
        <w:gridCol w:w="121"/>
        <w:gridCol w:w="121"/>
        <w:gridCol w:w="121"/>
        <w:gridCol w:w="479"/>
        <w:gridCol w:w="1640"/>
        <w:gridCol w:w="361"/>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 and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Share Units</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Shares </w:t>
              <w:br/>
              <w:t>(In thousands)</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Shares </w:t>
              <w:br/>
              <w:t>(In thousands)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Units and awards - December 31, 2023</w:t>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Units and awards - March 31, 2024</w:t>
            </w:r>
          </w:p>
        </w:tc>
        <w:tc>
          <w:tcPr>
            <w:tcW w:w="7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107.97 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during the three months ended March 31, 2024 is as follows:</w:t>
      </w:r>
    </w:p>
    <w:tbl>
      <w:tblPr>
        <w:tblW w:w="10205" w:type="dxa"/>
        <w:jc w:val="center"/>
        <w:tblInd w:w="0" w:type="dxa"/>
        <w:tblLayout w:type="fixed"/>
        <w:tblCellMar>
          <w:top w:w="28" w:type="dxa"/>
          <w:left w:w="28" w:type="dxa"/>
          <w:bottom w:w="28" w:type="dxa"/>
          <w:right w:w="28" w:type="dxa"/>
        </w:tblCellMar>
      </w:tblPr>
      <w:tblGrid>
        <w:gridCol w:w="682"/>
        <w:gridCol w:w="599"/>
        <w:gridCol w:w="601"/>
        <w:gridCol w:w="346"/>
        <w:gridCol w:w="346"/>
        <w:gridCol w:w="347"/>
        <w:gridCol w:w="109"/>
        <w:gridCol w:w="109"/>
        <w:gridCol w:w="109"/>
        <w:gridCol w:w="460"/>
        <w:gridCol w:w="1344"/>
        <w:gridCol w:w="238"/>
        <w:gridCol w:w="109"/>
        <w:gridCol w:w="109"/>
        <w:gridCol w:w="109"/>
        <w:gridCol w:w="857"/>
        <w:gridCol w:w="857"/>
        <w:gridCol w:w="858"/>
        <w:gridCol w:w="109"/>
        <w:gridCol w:w="109"/>
        <w:gridCol w:w="109"/>
        <w:gridCol w:w="427"/>
        <w:gridCol w:w="943"/>
        <w:gridCol w:w="319"/>
      </w:tblGrid>
      <w:tr>
        <w:trPr/>
        <w:tc>
          <w:tcPr>
            <w:tcW w:w="6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(In millions)</w:t>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 - December 31, 2023</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 - March 31, 2024</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exercisable - March 31, 2024</w:t>
            </w:r>
          </w:p>
        </w:tc>
        <w:tc>
          <w:tcPr>
            <w:tcW w:w="69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3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85.70 </w:t>
            </w:r>
          </w:p>
        </w:tc>
        <w:tc>
          <w:tcPr>
            <w:tcW w:w="23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income tax provision and effective income tax rate were as follows:</w:t>
      </w:r>
    </w:p>
    <w:tbl>
      <w:tblPr>
        <w:tblW w:w="4957" w:type="dxa"/>
        <w:jc w:val="center"/>
        <w:tblInd w:w="0" w:type="dxa"/>
        <w:tblLayout w:type="fixed"/>
        <w:tblCellMar>
          <w:top w:w="28" w:type="dxa"/>
          <w:left w:w="28" w:type="dxa"/>
          <w:bottom w:w="28" w:type="dxa"/>
          <w:right w:w="28" w:type="dxa"/>
        </w:tblCellMar>
      </w:tblPr>
      <w:tblGrid>
        <w:gridCol w:w="775"/>
        <w:gridCol w:w="682"/>
        <w:gridCol w:w="687"/>
        <w:gridCol w:w="109"/>
        <w:gridCol w:w="211"/>
        <w:gridCol w:w="466"/>
        <w:gridCol w:w="271"/>
        <w:gridCol w:w="109"/>
        <w:gridCol w:w="109"/>
        <w:gridCol w:w="109"/>
        <w:gridCol w:w="211"/>
        <w:gridCol w:w="466"/>
        <w:gridCol w:w="271"/>
        <w:gridCol w:w="109"/>
        <w:gridCol w:w="109"/>
        <w:gridCol w:w="109"/>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as a percentage of income before income taxes and loss from investments in unconsolidated affiliates was 16.7% and 17.4% for the three months ended March 31, 2024 and 2023, respectively. The effective income tax rate for both the three months ended March 31, 2024 and 2023 included discrete tax benefits from equity compensation.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provisions under the Inflation Reduction Act, the Company has purchased transferable federal tax credits from various counterparties. Such federal tax credits were purchased at negotiated discounts, resulting in an income tax benefit. Receivables associated with transferable federal tax credits are recorded within prepaid expenses and other current assets, and amounts owed to counterparties for the purchased credits are recorded within accounts payable and accrued expenses within the consolidated balance sheet at March 31, 2024 and December 31,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potential liability for unrecognized tax benefits before interest and penalties was approximately $88 million at March 31, 2024. The Company believes it is reasonably possible that the liability for unrecognized tax benefits may decrease by up to $5 million over the next twelve months as a result of possible closure of tax audits, audit settlements, and the lapse of the statutes of limitations in various jurisdictions.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Company’s U.S. federal income tax return for 2023, and tax returns in certain states and foreign jurisdictions for 2017 through 2023, remain subject to examination by taxing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16. Shares Used in Computing Net Income Per Share Attributable to Fiserv,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shares used in calculating basic and diluted net income per share is as follows:</w:t>
      </w:r>
    </w:p>
    <w:tbl>
      <w:tblPr>
        <w:tblW w:w="10205" w:type="dxa"/>
        <w:jc w:val="center"/>
        <w:tblInd w:w="0" w:type="dxa"/>
        <w:tblLayout w:type="fixed"/>
        <w:tblCellMar>
          <w:top w:w="28" w:type="dxa"/>
          <w:left w:w="28" w:type="dxa"/>
          <w:bottom w:w="28" w:type="dxa"/>
          <w:right w:w="28" w:type="dxa"/>
        </w:tblCellMar>
      </w:tblPr>
      <w:tblGrid>
        <w:gridCol w:w="2755"/>
        <w:gridCol w:w="2413"/>
        <w:gridCol w:w="2445"/>
        <w:gridCol w:w="308"/>
        <w:gridCol w:w="308"/>
        <w:gridCol w:w="175"/>
        <w:gridCol w:w="175"/>
        <w:gridCol w:w="175"/>
        <w:gridCol w:w="175"/>
        <w:gridCol w:w="308"/>
        <w:gridCol w:w="308"/>
        <w:gridCol w:w="175"/>
        <w:gridCol w:w="109"/>
        <w:gridCol w:w="109"/>
        <w:gridCol w:w="109"/>
        <w:gridCol w:w="158"/>
      </w:tblGrid>
      <w:tr>
        <w:trPr/>
        <w:tc>
          <w:tcPr>
            <w:tcW w:w="2755"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for the calculation of net income attributable to Fiserv, Inc. per share - basic</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equivalents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for the calculation of net income attributable to Fiserv, Inc. per share - diluted</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stock options for 38 thousand and 2.2 million shares, respectively, were excluded from the calculation of weighted-average outstanding shares - diluted because their impact was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17. Cash Flow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consisted of the following:</w:t>
      </w:r>
    </w:p>
    <w:tbl>
      <w:tblPr>
        <w:tblW w:w="8393" w:type="dxa"/>
        <w:jc w:val="center"/>
        <w:tblInd w:w="0" w:type="dxa"/>
        <w:tblLayout w:type="fixed"/>
        <w:tblCellMar>
          <w:top w:w="28" w:type="dxa"/>
          <w:left w:w="28" w:type="dxa"/>
          <w:bottom w:w="28" w:type="dxa"/>
          <w:right w:w="28" w:type="dxa"/>
        </w:tblCellMar>
      </w:tblPr>
      <w:tblGrid>
        <w:gridCol w:w="2337"/>
        <w:gridCol w:w="2048"/>
        <w:gridCol w:w="2064"/>
        <w:gridCol w:w="211"/>
        <w:gridCol w:w="466"/>
        <w:gridCol w:w="109"/>
        <w:gridCol w:w="109"/>
        <w:gridCol w:w="109"/>
        <w:gridCol w:w="109"/>
        <w:gridCol w:w="211"/>
        <w:gridCol w:w="466"/>
        <w:gridCol w:w="154"/>
      </w:tblGrid>
      <w:tr>
        <w:trPr/>
        <w:tc>
          <w:tcPr>
            <w:tcW w:w="2337"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purchases settled after the balance sheet date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obtained under financing arrangements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liabilities - operating leases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liabilities - finance leases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and Legislative Matters</w:t>
      </w:r>
    </w:p>
    <w:p>
      <w:pPr>
        <w:pStyle w:val="TextBody"/>
        <w:bidi w:val="0"/>
        <w:spacing w:lineRule="auto" w:line="288" w:before="0" w:after="180"/>
        <w:jc w:val="left"/>
        <w:rPr/>
      </w:pPr>
      <w:r>
        <w:rPr>
          <w:rFonts w:ascii="Times New Roman;sans-serif" w:hAnsi="Times New Roman;sans-serif"/>
          <w:b w:val="false"/>
          <w:color w:val="000000"/>
          <w:sz w:val="20"/>
        </w:rPr>
        <w:t>In the normal course of business, the Company or its subsidiaries are named as defendants in lawsuits in which claims are asserted against the Company. The Company maintained an accrual of $34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$32 million </w:t>
      </w:r>
      <w:r>
        <w:rPr>
          <w:rFonts w:ascii="Times New Roman;sans-serif" w:hAnsi="Times New Roman;sans-serif"/>
          <w:b w:val="false"/>
          <w:color w:val="000000"/>
          <w:sz w:val="20"/>
          <w:shd w:fill="FFFFFF" w:val="clear"/>
        </w:rPr>
        <w:t>at</w:t>
      </w:r>
      <w:r>
        <w:rPr>
          <w:color w:val="000000"/>
        </w:rPr>
        <w:t xml:space="preserve"> </w:t>
      </w:r>
      <w:r>
        <w:rPr>
          <w:rFonts w:ascii="Times New Roman;sans-serif" w:hAnsi="Times New Roman;sans-serif"/>
          <w:b w:val="false"/>
          <w:color w:val="000000"/>
          <w:sz w:val="20"/>
        </w:rPr>
        <w:t>March 31, 2024 and December 31, 2023, respectively, related to its various legal proceedings, primarily associated with the Company’s merchant acquiring business and certain tax matters. The Company’s estimate of the possible range of exposure for various legal proceedings in excess of amounts accrued is $0 million to approximately $100 million. In the opinion of management, the liabilities, if any, which may ultimately result from such legal proceedings are not expected to have a material adverse effect on the Company’s consolidated financial statements.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Electronic Payments Transactions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$1.0 billion and $3.5 billion at March 31, 2024 and December 31, 2023, respectively.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Indemnifications and Warranties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19. Related Party Transactions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Company’s business is conducted through merchant alliances between the Company and financial institutions.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$40 million and $46 million for the three months ended March 31, 2024 and 2023,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$38 million of amounts due from unconsolidated merchant alliances included within trade accounts receivable, net in the Company’s consolidated balance sheets at both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20. Business Segment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Segment Realignment (see Note 1), the Company’s operations are comprised of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businesses within the Merchant segment consist of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Small Business –</w:t>
      </w:r>
      <w:r>
        <w:rPr>
          <w:color w:val="000000"/>
        </w:rPr>
        <w:t xml:space="preserve"> </w:t>
      </w:r>
      <w:r>
        <w:rPr>
          <w:rFonts w:ascii="Times New Roman;sans-serif" w:hAnsi="Times New Roman;sans-serif"/>
          <w:b w:val="false"/>
          <w:color w:val="000000"/>
          <w:sz w:val="20"/>
        </w:rPr>
        <w:t>provides products and services to small businesses and independent software vendors, including Clover</w:t>
      </w:r>
      <w:r>
        <w:rPr>
          <w:rFonts w:ascii="Times New Roman;sans-serif" w:hAnsi="Times New Roman;sans-serif"/>
          <w:b w:val="false"/>
          <w:color w:val="000000"/>
          <w:sz w:val="13"/>
        </w:rPr>
        <w:t>®</w:t>
      </w:r>
      <w:r>
        <w:rPr>
          <w:rFonts w:ascii="Times New Roman;sans-serif" w:hAnsi="Times New Roman;sans-serif"/>
          <w:b w:val="false"/>
          <w:color w:val="000000"/>
          <w:sz w:val="20"/>
        </w:rPr>
        <w:t>, the Company's point-of-sale integrated commerce operating system for small business clients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Enterprise –</w:t>
      </w:r>
      <w:r>
        <w:rPr>
          <w:color w:val="000000"/>
        </w:rPr>
        <w:t xml:space="preserve"> </w:t>
      </w:r>
      <w:r>
        <w:rPr>
          <w:rFonts w:ascii="Times New Roman;sans-serif" w:hAnsi="Times New Roman;sans-serif"/>
          <w:b w:val="false"/>
          <w:color w:val="000000"/>
          <w:sz w:val="20"/>
        </w:rPr>
        <w:t>provides products and services to large businesses, including Carat</w:t>
      </w:r>
      <w:r>
        <w:rPr>
          <w:rFonts w:ascii="Times New Roman;sans-serif" w:hAnsi="Times New Roman;sans-serif"/>
          <w:b w:val="false"/>
          <w:color w:val="000000"/>
          <w:sz w:val="13"/>
        </w:rPr>
        <w:t>SM</w:t>
      </w:r>
      <w:r>
        <w:rPr>
          <w:rFonts w:ascii="Times New Roman;sans-serif" w:hAnsi="Times New Roman;sans-serif"/>
          <w:b w:val="false"/>
          <w:color w:val="000000"/>
          <w:sz w:val="20"/>
        </w:rPr>
        <w:t>, the Company's integrated commerce operating system for enterprise clients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Processing – </w:t>
      </w:r>
      <w:r>
        <w:rPr>
          <w:rFonts w:ascii="Times New Roman;sans-serif" w:hAnsi="Times New Roman;sans-serif"/>
          <w:b w:val="false"/>
          <w:color w:val="000000"/>
          <w:sz w:val="20"/>
        </w:rPr>
        <w:t>provides products and services to financial institutions, joint ventures, and other third party resellers which have direct relationships with merchants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businesses in the Financial segment provide products and services to financial institution, corporate and public sector clients across the world, enabling the processing of customer loan and deposit accounts, digital payments and card transactions. The businesses within the Financial segment consist of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Digital Payments</w:t>
      </w:r>
      <w:r>
        <w:rPr>
          <w:color w:val="000000"/>
        </w:rPr>
        <w:t xml:space="preserve"> – </w:t>
      </w:r>
      <w:r>
        <w:rPr>
          <w:rFonts w:ascii="Times New Roman;sans-serif" w:hAnsi="Times New Roman;sans-serif"/>
          <w:b w:val="false"/>
          <w:color w:val="000000"/>
          <w:sz w:val="20"/>
        </w:rPr>
        <w:t>provides debit card processing services; debit network services; security and fraud protection products; bill payment; person-to-person payments; and account-to-account transfers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Issuing</w:t>
      </w:r>
      <w:r>
        <w:rPr>
          <w:color w:val="000000"/>
        </w:rPr>
        <w:t xml:space="preserve"> – </w:t>
      </w:r>
      <w:r>
        <w:rPr>
          <w:rFonts w:ascii="Times New Roman;sans-serif" w:hAnsi="Times New Roman;sans-serif"/>
          <w:b w:val="false"/>
          <w:color w:val="000000"/>
          <w:sz w:val="20"/>
        </w:rPr>
        <w:t>provides credit card processing services; prepaid card processing services; card production services; print services; government payment processing; and student loan processing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Banking</w:t>
      </w:r>
      <w:r>
        <w:rPr>
          <w:color w:val="000000"/>
        </w:rPr>
        <w:t xml:space="preserve"> – </w:t>
      </w:r>
      <w:r>
        <w:rPr>
          <w:rFonts w:ascii="Times New Roman;sans-serif" w:hAnsi="Times New Roman;sans-serif"/>
          <w:b w:val="false"/>
          <w:color w:val="000000"/>
          <w:sz w:val="20"/>
        </w:rPr>
        <w:t>provides customer loan and deposit account processing; digital banking; financial and risk management; professional services and consulting; and check processing</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services revenue associated with various dispositions; and postage reimbursements.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for each segment were as follows:</w:t>
      </w:r>
    </w:p>
    <w:tbl>
      <w:tblPr>
        <w:tblW w:w="8313" w:type="dxa"/>
        <w:jc w:val="center"/>
        <w:tblInd w:w="0" w:type="dxa"/>
        <w:tblLayout w:type="fixed"/>
        <w:tblCellMar>
          <w:top w:w="28" w:type="dxa"/>
          <w:left w:w="28" w:type="dxa"/>
          <w:bottom w:w="28" w:type="dxa"/>
          <w:right w:w="28" w:type="dxa"/>
        </w:tblCellMar>
      </w:tblPr>
      <w:tblGrid>
        <w:gridCol w:w="1183"/>
        <w:gridCol w:w="1039"/>
        <w:gridCol w:w="1048"/>
        <w:gridCol w:w="211"/>
        <w:gridCol w:w="616"/>
        <w:gridCol w:w="109"/>
        <w:gridCol w:w="109"/>
        <w:gridCol w:w="109"/>
        <w:gridCol w:w="109"/>
        <w:gridCol w:w="211"/>
        <w:gridCol w:w="616"/>
        <w:gridCol w:w="109"/>
        <w:gridCol w:w="109"/>
        <w:gridCol w:w="109"/>
        <w:gridCol w:w="109"/>
        <w:gridCol w:w="109"/>
        <w:gridCol w:w="109"/>
        <w:gridCol w:w="261"/>
        <w:gridCol w:w="595"/>
        <w:gridCol w:w="135"/>
        <w:gridCol w:w="109"/>
        <w:gridCol w:w="109"/>
        <w:gridCol w:w="109"/>
        <w:gridCol w:w="211"/>
        <w:gridCol w:w="61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services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services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bookmarkStart w:id="0" w:name="ie05c6a5213f8458abf341221740f6d1c_11-1-2"/>
            <w:bookmarkEnd w:id="0"/>
            <w:r>
              <w:rPr>
                <w:rFonts w:ascii="Times New Roman;sans-serif" w:hAnsi="Times New Roman;sans-serif"/>
                <w:b w:val="false"/>
                <w:color w:val="000000"/>
                <w:sz w:val="20"/>
              </w:rPr>
              <w:t>1,996 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in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identified in "Risk Factors” in our Annual Report on Form 10-K for the year ended December 31, 2023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This section contains background information on our company and the products and services that we provide, acquisitions and dispositions, and the trends affecting our industry in order to provide context for management’s discussion and analysis of our financial condition and results of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Changes in critical accounting policies and estimates.</w:t>
      </w:r>
      <w:r>
        <w:rPr>
          <w:color w:val="000000"/>
        </w:rPr>
        <w:t xml:space="preserve"> </w:t>
      </w:r>
      <w:r>
        <w:rPr>
          <w:rFonts w:ascii="Times New Roman;sans-serif" w:hAnsi="Times New Roman;sans-serif"/>
          <w:b w:val="false"/>
          <w:color w:val="000000"/>
          <w:sz w:val="20"/>
        </w:rPr>
        <w:t>This section contains a discussion of changes since our Annual Report on Form 10-K for the year ended December 31, 2023 in the accounting policies that we believe are important to our financial condition and results of operations and that require judgment and estimates on the part of management in their application.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This section contains an analysis of our results of operations presented in the accompanying unaudited consolidated statements of income by comparing the results for the three months ended March 31, 2024 to the comparable period in 2023.</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provides an analysis of our cash flows and a discussion of our outstanding debt at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Company Background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global provider of payments and financial services technology solutions. We serve clients around the globe, including merchants, banks, credit unions, other financial institutions, corporate and public sector clients. We help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pPr>
      <w:r>
        <w:rPr>
          <w:rFonts w:ascii="Times New Roman;sans-serif" w:hAnsi="Times New Roman;sans-serif"/>
          <w:b w:val="false"/>
          <w:color w:val="000000"/>
          <w:sz w:val="20"/>
        </w:rPr>
        <w:t>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 Our long-term focus is to meet our financial commitments; continue to build high-quality revenue; deepen client relationships with an emphasis on digital solutions and value-added services; deliver innovation and integration enabling differentiated value for our clients; and generate integration value, including cost and revenue synergies from acquisitions.</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Effective for the three months ended March 31, 2024, we realigned our reportable segments to correspond with changes in our business designed to further enhance operational performance in the delivery of our integrated portfolio of products and solutions to our financial institution clients (the “Segment Realignment”). Our new reportable segments are the Merchant Solutions (“Merchant”) segment and the Financial Solutions (“Financial”) segment. Segment results for the three months ended March 31, 2023 have been recast to reflect the Segment Realignment.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businesses within the Merchant segment consist of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Small Business –</w:t>
      </w:r>
      <w:r>
        <w:rPr>
          <w:color w:val="000000"/>
        </w:rPr>
        <w:t xml:space="preserve"> </w:t>
      </w:r>
      <w:r>
        <w:rPr>
          <w:rFonts w:ascii="Times New Roman;sans-serif" w:hAnsi="Times New Roman;sans-serif"/>
          <w:b w:val="false"/>
          <w:color w:val="000000"/>
          <w:sz w:val="20"/>
        </w:rPr>
        <w:t>provides products and services to small businesses and independent software vendors, including Clover</w:t>
      </w:r>
      <w:r>
        <w:rPr>
          <w:rFonts w:ascii="Times New Roman;sans-serif" w:hAnsi="Times New Roman;sans-serif"/>
          <w:b w:val="false"/>
          <w:color w:val="000000"/>
          <w:sz w:val="13"/>
        </w:rPr>
        <w:t>®</w:t>
      </w:r>
      <w:r>
        <w:rPr>
          <w:rFonts w:ascii="Times New Roman;sans-serif" w:hAnsi="Times New Roman;sans-serif"/>
          <w:b w:val="false"/>
          <w:color w:val="000000"/>
          <w:sz w:val="20"/>
        </w:rPr>
        <w:t>, our point-of-sale integrated commerce operating system for small business clients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Enterprise –</w:t>
      </w:r>
      <w:r>
        <w:rPr>
          <w:color w:val="000000"/>
        </w:rPr>
        <w:t xml:space="preserve"> </w:t>
      </w:r>
      <w:r>
        <w:rPr>
          <w:rFonts w:ascii="Times New Roman;sans-serif" w:hAnsi="Times New Roman;sans-serif"/>
          <w:b w:val="false"/>
          <w:color w:val="000000"/>
          <w:sz w:val="20"/>
        </w:rPr>
        <w:t>provides products and services to large businesses, including Carat</w:t>
      </w:r>
      <w:r>
        <w:rPr>
          <w:rFonts w:ascii="Times New Roman;sans-serif" w:hAnsi="Times New Roman;sans-serif"/>
          <w:b w:val="false"/>
          <w:color w:val="000000"/>
          <w:sz w:val="13"/>
        </w:rPr>
        <w:t>SM</w:t>
      </w:r>
      <w:r>
        <w:rPr>
          <w:rFonts w:ascii="Times New Roman;sans-serif" w:hAnsi="Times New Roman;sans-serif"/>
          <w:b w:val="false"/>
          <w:color w:val="000000"/>
          <w:sz w:val="20"/>
        </w:rPr>
        <w:t>, our integrated commerce operating system for enterprise clients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Processing – </w:t>
      </w:r>
      <w:r>
        <w:rPr>
          <w:rFonts w:ascii="Times New Roman;sans-serif" w:hAnsi="Times New Roman;sans-serif"/>
          <w:b w:val="false"/>
          <w:color w:val="000000"/>
          <w:sz w:val="20"/>
        </w:rPr>
        <w:t>provides products and services to financial institutions, joint ventures, and other third party resellers which have direct relationships with merchants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distribute the products and services in the Merchant segment businesses through a variety of channels, including direct sales teams, strategic partnerships with agent sales forces, independent software vendors (“ISV”), financial institutions and other strategic partners in the form of joint venture alliances, revenue sharing alliances and referral agreements.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businesses in the Financial segment provide products and services to financial institution, corporate and public sector clients across the world, enabling the processing of customer loan and deposit accounts, digital payments and card transactions. The businesses within the Financial segment consist of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Digital Payments</w:t>
      </w:r>
      <w:r>
        <w:rPr>
          <w:color w:val="000000"/>
        </w:rPr>
        <w:t xml:space="preserve"> – </w:t>
      </w:r>
      <w:r>
        <w:rPr>
          <w:rFonts w:ascii="Times New Roman;sans-serif" w:hAnsi="Times New Roman;sans-serif"/>
          <w:b w:val="false"/>
          <w:color w:val="000000"/>
          <w:sz w:val="20"/>
        </w:rPr>
        <w:t>provides debit card processing services; debit network services; security and fraud protection products; bill payment; person-to-person payments; and account-to-account transfers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Issuing</w:t>
      </w:r>
      <w:r>
        <w:rPr>
          <w:color w:val="000000"/>
        </w:rPr>
        <w:t xml:space="preserve"> – </w:t>
      </w:r>
      <w:r>
        <w:rPr>
          <w:rFonts w:ascii="Times New Roman;sans-serif" w:hAnsi="Times New Roman;sans-serif"/>
          <w:b w:val="false"/>
          <w:color w:val="000000"/>
          <w:sz w:val="20"/>
        </w:rPr>
        <w:t>provides credit card processing services; prepaid card processing services; card production services; print services; government payment processing; and student loan processing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Banking</w:t>
      </w:r>
      <w:r>
        <w:rPr>
          <w:color w:val="000000"/>
        </w:rPr>
        <w:t xml:space="preserve"> – </w:t>
      </w:r>
      <w:r>
        <w:rPr>
          <w:rFonts w:ascii="Times New Roman;sans-serif" w:hAnsi="Times New Roman;sans-serif"/>
          <w:b w:val="false"/>
          <w:color w:val="000000"/>
          <w:sz w:val="20"/>
        </w:rPr>
        <w:t>provides customer loan and deposit account processing; digital banking; financial and risk management; professional services and consulting; and check processing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and postage reimbursements.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 and Dispositions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frequently review our businesses to ensure we have the necessary assets to execute our strategy. We expect to acquire businesses when we identify: a compelling strategic need, such as a product, service or technology that helps meet client demand; an opportunity to change industry dynamics; a way to achieve business scale that enables competition and operational efficiency; or similar considerations. We expect to divest businesses that are not in line with our market, product or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strategies. The results of operations for the following acquired and divested businesses are included in our consolidated results from the respective dates of acquisition and through the respective dates of disposition.</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Acquisitions of Businesses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9, 2023, we acquired Skytef Solucões em Captura de Transações Ltda (“Skytef”), a distributor for ISV partners and merchants of our Electronic Funds Transfer payments software. Skytef is included within the Merchant segment and expands our distribution network and POS applications. On November 1, 2023, we acquired Sled S.A. (“Sled”), a provider of instant payment solutions. Sled is included within the Merchant segment and expands our direct payment service capabilities. We acquired these businesses in Latin America for an aggregate purchase price, including hold-backs, of $17 million. </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Dispositions of Businesses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2023, we sold our financial reconciliation business, which was reported within the Financial segment, for cash proceeds of $235 million, and recognized a pre-tax gain of $172 million on the sale in the third quarter of 2023. </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Transactions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25, 2023, we acquired the remaining 49% ownership interest in European Merchant Services B.V., a Netherlands-based merchant acceptance business, for $56 million. We previously held a majority controlling financial interest in this subsidiary, which continues to be consolidated and reported within the Merchant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Industry Trends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Merchants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are numerous software-as-a-service (“SaaS”) solution providers in the industry, many of which have chosen to integrate merchant acquiring into their software as a way to generate revenue from existing client relationships. Such providers are independent software vendors, typically referred to as ISVs, and we believe there are numerous potential distribution partnership opportunities to cross-sell multiple value-added solutions available to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Institutions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online engagement, by both financial institutions and their customers, as well as the growing volume and types of payment transactions in the marketplace, continues to elevate the data and transaction processing needs of financial institutions.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must now be able to serve their customers with tailored solutions, delivered how and when those customers want. This requires financial institutions to not only process their transactions, but to integrate their products and services to give customers easy access to such integrated solutions, when they need it. Financial institutions are striving for this single, integrated view of a customer’s activity.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focus on long-term client relationships and recurring, transaction-oriented products and services has reduced the impact that consolidation in the financial services industry has had on us.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We believe that our sizable and diverse client base, combined with our value-added software and services-led model, and our position as a leading provider of non-discretionary, recurring revenue-based products and services, gives us a solid foundation for growth.</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 Market Conditions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Global macroeconomic conditions, including rising interest rates, inflation, bank failures, disruptions in the global supply chain, changes in consumer spending, the effects of international hostilities and regulations restricting trade or impacting our ability to offer products or services, could have a material adverse effect on our business, results of operations and financial condition. In recent years, we have observed increased shortages and delays in the global supply chain for components and inputs necessary to our businesses, such as point-of-sale devices, semiconductors, paper and plastic, and may experience difficulty procuring those components and inputs in the future on a timely basis or at historical prices. Personal consumption and consumer savings growth in the U.S. may also negatively impact our business and financial results. We actively monitor and manage our business in response to these unpredictable geopolitical and market conditions, as they may adversely impact our operations and financial results.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operating results in certain foreign countries in which we operate may be adversely impacted by fluctuations in exchange rates for currencies other than the U.S. dollar, including the Euro, British Pound Sterling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domestically, we actively monitor the foreign exchange rate environment in an effort to manage these risks.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operations of our Argentina subsidiary are experiencing higher interest rates and higher inflation as compared to historical averages. The anticipated benefits of higher transitory revenue from above-average interest and inflation may be offset in whole or in part by, or may be less than, foreign currency exchange losses related to a significant devaluation of the Argentine Peso.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Critical Accounting Policies and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In our Annual Report on Form 10-K for the year ended December 31, 2023,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and may record purchase accounting adjustments during the measurement period, which may be up to one year from the acquisition date. Additionally,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review the carrying value of goodwill for impairment by comparing the estimated fair value of our reporting units to their carrying values. Determining the fair value of a reporting unit involves judgement and the use of significant estimates and assumptions, which include assumptions regarding the revenue growth rates and operating margins used to calculate estimated future cash flows, risk-adjusted discount rates, and future economic and market conditions. There have been no material changes to our critical accounting policies and estimates from those disclosed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and foreign currency fluctuations. Segment results for the three months ended March 31, 2023 have been recast to reflect the Segment Realignment.</w:t>
      </w:r>
    </w:p>
    <w:tbl>
      <w:tblPr>
        <w:tblW w:w="10205" w:type="dxa"/>
        <w:jc w:val="left"/>
        <w:tblInd w:w="0" w:type="dxa"/>
        <w:tblLayout w:type="fixed"/>
        <w:tblCellMar>
          <w:top w:w="28" w:type="dxa"/>
          <w:left w:w="28" w:type="dxa"/>
          <w:bottom w:w="28" w:type="dxa"/>
          <w:right w:w="28" w:type="dxa"/>
        </w:tblCellMar>
      </w:tblPr>
      <w:tblGrid>
        <w:gridCol w:w="1379"/>
        <w:gridCol w:w="967"/>
        <w:gridCol w:w="923"/>
        <w:gridCol w:w="211"/>
        <w:gridCol w:w="616"/>
        <w:gridCol w:w="109"/>
        <w:gridCol w:w="109"/>
        <w:gridCol w:w="109"/>
        <w:gridCol w:w="109"/>
        <w:gridCol w:w="211"/>
        <w:gridCol w:w="616"/>
        <w:gridCol w:w="109"/>
        <w:gridCol w:w="109"/>
        <w:gridCol w:w="109"/>
        <w:gridCol w:w="109"/>
        <w:gridCol w:w="307"/>
        <w:gridCol w:w="309"/>
        <w:gridCol w:w="292"/>
        <w:gridCol w:w="109"/>
        <w:gridCol w:w="109"/>
        <w:gridCol w:w="109"/>
        <w:gridCol w:w="307"/>
        <w:gridCol w:w="309"/>
        <w:gridCol w:w="292"/>
        <w:gridCol w:w="109"/>
        <w:gridCol w:w="109"/>
        <w:gridCol w:w="109"/>
        <w:gridCol w:w="225"/>
        <w:gridCol w:w="496"/>
        <w:gridCol w:w="115"/>
        <w:gridCol w:w="115"/>
        <w:gridCol w:w="115"/>
        <w:gridCol w:w="115"/>
        <w:gridCol w:w="206"/>
        <w:gridCol w:w="208"/>
        <w:gridCol w:w="345"/>
      </w:tblGrid>
      <w:tr>
        <w:trPr/>
        <w:tc>
          <w:tcPr>
            <w:tcW w:w="13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rFonts w:ascii="Times New Roman;sans-serif" w:hAnsi="Times New Roman;sans-serif"/>
                <w:b/>
                <w:color w:val="000000"/>
                <w:sz w:val="20"/>
              </w:rPr>
            </w:pPr>
            <w:r>
              <w:rPr>
                <w:rFonts w:ascii="Times New Roman;sans-serif" w:hAnsi="Times New Roman;sans-serif"/>
                <w:b/>
                <w:color w:val="000000"/>
                <w:sz w:val="20"/>
              </w:rPr>
              <w:t>Percentage of</w:t>
            </w:r>
          </w:p>
          <w:p>
            <w:pPr>
              <w:pStyle w:val="TableContents"/>
              <w:bidi w:val="0"/>
              <w:spacing w:lineRule="auto" w:line="240" w:before="0" w:after="60"/>
              <w:jc w:val="center"/>
              <w:rPr/>
            </w:pPr>
            <w:r>
              <w:rPr>
                <w:rFonts w:ascii="Times New Roman;sans-serif" w:hAnsi="Times New Roman;sans-serif"/>
                <w:b/>
                <w:color w:val="000000"/>
                <w:sz w:val="20"/>
              </w:rPr>
              <w:t xml:space="preserve">Revenue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processing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sale of businesses and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and loss from investments in unconsolidated affiliates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investments in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 and redeemable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Fiserv,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Percentage of revenue is calculated as the relevant revenue, expense or income amount divided by total revenue, except for cost of processing and services and cost of product amounts, which are divided by the related component of revenue.</w:t>
      </w:r>
    </w:p>
    <w:p>
      <w:pPr>
        <w:pStyle w:val="TextBody"/>
        <w:bidi w:val="0"/>
        <w:spacing w:before="18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tbl>
      <w:tblPr>
        <w:tblW w:w="9224" w:type="dxa"/>
        <w:jc w:val="left"/>
        <w:tblInd w:w="0" w:type="dxa"/>
        <w:tblLayout w:type="fixed"/>
        <w:tblCellMar>
          <w:top w:w="28" w:type="dxa"/>
          <w:left w:w="28" w:type="dxa"/>
          <w:bottom w:w="28" w:type="dxa"/>
          <w:right w:w="28" w:type="dxa"/>
        </w:tblCellMar>
      </w:tblPr>
      <w:tblGrid>
        <w:gridCol w:w="1130"/>
        <w:gridCol w:w="990"/>
        <w:gridCol w:w="999"/>
        <w:gridCol w:w="211"/>
        <w:gridCol w:w="616"/>
        <w:gridCol w:w="451"/>
        <w:gridCol w:w="109"/>
        <w:gridCol w:w="109"/>
        <w:gridCol w:w="109"/>
        <w:gridCol w:w="211"/>
        <w:gridCol w:w="616"/>
        <w:gridCol w:w="451"/>
        <w:gridCol w:w="109"/>
        <w:gridCol w:w="109"/>
        <w:gridCol w:w="109"/>
        <w:gridCol w:w="109"/>
        <w:gridCol w:w="109"/>
        <w:gridCol w:w="487"/>
        <w:gridCol w:w="269"/>
        <w:gridCol w:w="271"/>
        <w:gridCol w:w="109"/>
        <w:gridCol w:w="109"/>
        <w:gridCol w:w="109"/>
        <w:gridCol w:w="211"/>
        <w:gridCol w:w="616"/>
        <w:gridCol w:w="496"/>
      </w:tblGrid>
      <w:tr>
        <w:trPr/>
        <w:tc>
          <w:tcPr>
            <w:tcW w:w="113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650" w:type="dxa"/>
            <w:gridSpan w:val="6"/>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 percentage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growth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growth percentage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Operating margin growth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the basis point growth in operating margin.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 percentages are calculated using actual, unrounded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Total Revenue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increased $336 million, or 7%, in the first quarter of 2024 compared to 2023. The revenue increase was driven by higher global processing revenue, partially offset by an 11% decrease due to foreign currency exchange rate fluctuations in the first quarter of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in our Merchant segment increased $257 million, or 13%, in the first quarter of 2024 compared to 2023. In the first quarter of 2024, Small Business contributed 10% to segment revenue growth, driven by an increase in payment and transaction volume, partially offset by foreign currency exchange rate fluctuations. Small Business revenue growth also includes contributions from our Clover operating system and the expansion of our merchant relationships through value-added services. Additionally, Enterprise and Processing each contributed 1% to Merchant segment revenue growth.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in our Financial segment increased $62 million, or 3%, in the first quarter of 2024 compared to 2023. In the first quarter of 2024, Digital Payments contributed 2% to segment revenue growth, primarily driven by an increase in transaction volume, while Issuing contributed 1% to segment growth, primarily driven by an increase in active accounts. Banking partially offset Financial segment revenue growth by 1% due to a decrease in license and termination fee revenue in the first quarter of 2024 compared to the first quarter of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at Corporate and Other increased $17 million, or 5%, in the first quarter of 2024 compared to 2023, primarily due to increased postage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 increased $89 million, or 2%, in the first quarter of 2024 compared to 2023. Total expenses as a percentage of total revenue decreased 370 basis points to 75.8% in the first quarter of 2024 compared to 2023. Total expenses as a percentage of total revenue were favorably impacted by operating leverage across our various businesses, as well as a reduction in amortization of acquisition-related intangible assets and acquisition and integration related expenses of approximately 120 basis points and 20 basis points,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processing and services as a percentage of processing and services revenue decreased to 33.9% in the first quarter of 2024 compared to 38.3% in the first quarter of 2023. Cost of processing and services as a percentage of processing and services revenue was favorably impacted by strong operating leverage accompanying scalable revenue growth.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as a percentage of product revenue increased to 73.7% in the first quarter of 2024 compared to 68.6% in the first quarter of 2023. The cost of product as a percentage of product revenue in the first quarter of 2024 was impacted by revenue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as a percentage of total revenue decreased to 34.8% in the first quarter of 2024 compared to 35.3% in the first quarter of 2023. Selling, general and administrative expenses as a percentage of total revenue was favorably impacted by a reduction in amortization of acquisition-related intangible assets and acquisition and integration related expenses of approximately 90 basis points and 40 basis points, respectively, partially offset by an increase in payments to our distribution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Income and Operating Margin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 increased $247 million, or 26%, in the first quarter of 2024 compared to 2023. Total operating margin increased 370 basis points to 24.2% in the first quarter of 2024 compared to 2023. Total operating income and total operating margin benefited from scalable revenue growth, along with a reduction in amortization of acquisition-related intangible assets.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 our Merchant segment increased $177 million, or 30%, in the first quarter of 2024 compared to 2023. Operating margin increased 440 basis points to 34.1% in the first quarter of 2024 compared to 2023. Operating income and operating margin growth in our Merchant segment was primarily due to operating leverage and productivity.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 our Financial segment increased $65 million, or 7%, in the first quarter of 2024 compared to 2023. Operating margin increased 170 basis points to 44.1% in the first quarter of 2024 compared to 2023. Operating income and operating margin growth in our Financial segment was primarily due to operating leverage and scalable revenue growth, partially offset by a decrease in license and termination fee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loss in Corporate and Other was relatively consistent in the first quarter of 2024 compared to 2023. The operating loss in the first quarter of 2024 was favorably impacted by a reduction of $58 million in amortization of acquisition-related intangible assets, partially offset by an $18 million increase in severance costs, a $12 million facility impairment, and higher variable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Net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$59 million, or 29%, in the first quarter of 2024 compared to the first quarter of 2023 due to higher outstanding borrowings, including as a result of our public offering and issuance of $2.0 billion of senior notes in March 2024, as well as increased variable rate borrowings associated with our settlement advance cash program in Latin America in the first quarter of 2024 compared to the first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decreased $13 million in the first quarter of 2024 compared to 2023. Other expense, net includes foreign currency transaction gains and losses, gains or losses from a sale or change in fair value of investments in certain equity securities, and amounts related to debt guarantee arrangements of certain joint ventures. Other expense, net in the first quarter of 2024 included $21 million related to a gain on the remeasurement of certain equity securities. Net foreign currency transaction losses increased $9 million in the first quarter of 2024, primarily related to our Argentina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as a percentage of income before income taxes and loss from investments in unconsolidated affiliates was 16.7% and 17.4% for the three months ended March 31, 2024 and 2023, respectively. The effective income tax rate for both the three months ended March 31, 2024 and 2023 included discrete tax benefits from equity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from Investments in Unconsolidated Affiliates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share of net losses from unconsolidated affiliates accounted for using the equity method is reported as loss from investments in unconsolidated affiliates, and the related tax benefit is reported within the income tax provision in the consolidated statements of income. Loss from investments in unconsolidated affiliates, including acquired intangible asset amortization from valuations in purchase accounting, was $(8) million and $(12) million in the first quarter of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Noncontrolling Interests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 and redeemable noncontrolling interest relates to the minority partners’ share of the net income in our consolidated subsidiaries. Net income attributable to noncontrolling interests, including acquired intangible asset amortization from valuations in purchase accounting, was $17 million and $13 million in the first quarter of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Net Income Per Share – Diluted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Fiserv, Inc. per share-diluted was $1.24 and $0.89 in the first quarter of 2024 and 2023, respectively. In addition to the favorable impacts to net income attributable to Fiserv, Inc. described above, our diluted weighted average outstanding shares were reduced by 6% in the first quarter of 2024 compared to the first quarter of 2023, due to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$1.2 billion, proceeds from the issuance of U.S. dollar and Euro commercial paper, and available capacity under our revolving credit facility of $2.7 billion (net of $3.3 billion of capacity designated for outstanding borrowings under our commercial paper programs, senior notes due in 2024 and letters of credit) at March 31,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net cash provided by operating activities, or operating cash flow, and capital expenditures:</w:t>
      </w:r>
    </w:p>
    <w:tbl>
      <w:tblPr>
        <w:tblW w:w="10205" w:type="dxa"/>
        <w:jc w:val="left"/>
        <w:tblInd w:w="0" w:type="dxa"/>
        <w:tblLayout w:type="fixed"/>
        <w:tblCellMar>
          <w:top w:w="28" w:type="dxa"/>
          <w:left w:w="28" w:type="dxa"/>
          <w:bottom w:w="28" w:type="dxa"/>
          <w:right w:w="28" w:type="dxa"/>
        </w:tblCellMar>
      </w:tblPr>
      <w:tblGrid>
        <w:gridCol w:w="2115"/>
        <w:gridCol w:w="1844"/>
        <w:gridCol w:w="1873"/>
        <w:gridCol w:w="211"/>
        <w:gridCol w:w="466"/>
        <w:gridCol w:w="109"/>
        <w:gridCol w:w="109"/>
        <w:gridCol w:w="109"/>
        <w:gridCol w:w="109"/>
        <w:gridCol w:w="211"/>
        <w:gridCol w:w="616"/>
        <w:gridCol w:w="109"/>
        <w:gridCol w:w="109"/>
        <w:gridCol w:w="109"/>
        <w:gridCol w:w="109"/>
        <w:gridCol w:w="222"/>
        <w:gridCol w:w="544"/>
        <w:gridCol w:w="114"/>
        <w:gridCol w:w="114"/>
        <w:gridCol w:w="114"/>
        <w:gridCol w:w="114"/>
        <w:gridCol w:w="216"/>
        <w:gridCol w:w="216"/>
        <w:gridCol w:w="343"/>
      </w:tblGrid>
      <w:tr>
        <w:trPr/>
        <w:tc>
          <w:tcPr>
            <w:tcW w:w="211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5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r>
      <w:tr>
        <w:trPr/>
        <w:tc>
          <w:tcPr>
            <w:tcW w:w="5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sale of businesses and other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investments in unconsolidated affiliates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impairment charges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working capital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including capitalized software and other intangibles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cash flow was $831 million in the first three months of 2024, a decrease of 26% compared with $1.1 billion in the first three months of 2023. This decrease was primarily attributable to higher working capital use compared to the prior period, including as a result of higher income taxes paid of $409 million in the first three months of 2024 compared to the first three months of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investments in various affiliates that are accounted for as equity method investments. Total distributions from unconsolidated affiliates, including those classified as cash flows from investing activities, were $30 million and $45 million in the first three months of 2024 and 2023,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policy is to use our operating cash flow primarily to fund capital expenditures, share repurchases, acquisitions and to repay debt rather than to pay dividends. Our capital expenditures were approximately 9% and 7% of our total revenue for the first three months of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$1.5 billion of our common stock during both the first three months of 2024 and 2023. On February 22, 2023, our board of directors approved a repurchase authorization for up to 75.0 million shares of our common stock. As of March 31, 2024, we had approximately 41.7 million shares remaining under our existing repurchase authorization. Shares repurchased are generally held for issuance in connection with our equity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 and Dispositions</w:t>
      </w:r>
    </w:p>
    <w:p>
      <w:pPr>
        <w:pStyle w:val="TextBody"/>
        <w:bidi w:val="0"/>
        <w:spacing w:lineRule="auto" w:line="288" w:before="0" w:after="180"/>
        <w:jc w:val="left"/>
        <w:rPr/>
      </w:pPr>
      <w:r>
        <w:rPr>
          <w:rFonts w:ascii="Times New Roman;sans-serif" w:hAnsi="Times New Roman;sans-serif"/>
          <w:b w:val="false"/>
          <w:color w:val="000000"/>
          <w:sz w:val="20"/>
          <w:u w:val="single"/>
        </w:rPr>
        <w:t>Acquisitions of Businesses</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acquired Skytef in October 2023 and Sled in November 2023 for an aggregate purchase price, including hold-backs, of $17 million. We funded these acquisitions by utilizing available cash. The results of operations for these acquired businesses are included in our consolidated results from the respective dates of acquisition.</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Dispositions of Businesses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sold our financial reconciliation business in July 2023 for cash proceeds of $235 million. Net proceeds from the sale were primarily used to pay down indebtedness and repurchase shares of our common stock. </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Transactions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we acquired the remaining 49% ownership interest in European Merchant Services B.V., in which we previously held a majority controlling financial interest in this consolidated subsidiary, for $56 million. We funded this transaction by utilizing a combination of available cash and proceeds from the issuance of commercial paper.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Indebtedness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debt consisted of the following at:</w:t>
      </w:r>
    </w:p>
    <w:tbl>
      <w:tblPr>
        <w:tblW w:w="9101" w:type="dxa"/>
        <w:jc w:val="left"/>
        <w:tblInd w:w="0" w:type="dxa"/>
        <w:tblLayout w:type="fixed"/>
        <w:tblCellMar>
          <w:top w:w="28" w:type="dxa"/>
          <w:left w:w="28" w:type="dxa"/>
          <w:bottom w:w="28" w:type="dxa"/>
          <w:right w:w="28" w:type="dxa"/>
        </w:tblCellMar>
      </w:tblPr>
      <w:tblGrid>
        <w:gridCol w:w="2014"/>
        <w:gridCol w:w="1767"/>
        <w:gridCol w:w="1783"/>
        <w:gridCol w:w="292"/>
        <w:gridCol w:w="998"/>
        <w:gridCol w:w="150"/>
        <w:gridCol w:w="109"/>
        <w:gridCol w:w="109"/>
        <w:gridCol w:w="109"/>
        <w:gridCol w:w="344"/>
        <w:gridCol w:w="1175"/>
        <w:gridCol w:w="251"/>
      </w:tblGrid>
      <w:tr>
        <w:trPr/>
        <w:tc>
          <w:tcPr>
            <w:tcW w:w="2014"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and current maturities of long-term debt:</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lines of credit</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Finance lease and other financing obligations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and current maturities of long-term debt</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2.750% senior notes due July 2024</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3.850% senior notes due June 2025</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2.250% senior notes due July 2025 (British Pound-denominated)</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3.200% senior notes due July 2026</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5.150% senior notes due March 2027</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2.250% senior notes due June 2027</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1.125% senior notes due July 2027 (Euro-denominated)</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5.450% senior notes due March 2028</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senior notes due August 2028</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4.200% senior notes due October 2028</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3.500% senior notes due July 2029</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2.650% senior notes due June 2030</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1.625% senior notes due July 2030 (Euro-denominated)</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5.350% senior notes due March 2031</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senior notes due May 2031 (Euro-denominated)</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3.000% senior notes due July 2031 (British Pound-denominated)</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5.600% senior notes due March 2033</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senior notes due August 2033</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5.450% senior notes due March 2034</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4.400% senior notes due July 2049</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 dollar commercial paper notes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Euro commercial paper notes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Revolving credit facility</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Unamortized discount and deferred financing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Finance lease and other financing obligations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We used the net proceeds from this senior notes offering for general corporate purposes, including the repayment of a portion of our commercial paper notes and for share repurchases, and expect to use a portion of the net proceeds from this senior notes offering to repay a portion of our 2.750% senior notes upon maturity in July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our debt consisted primarily of $22.0 billion of fixed-rate senior notes and $1.3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 2.750% senior notes due in July 2024 were classified in the consolidated balance sheet as long-term, as we have the intent to refinance this debt on a long-term basis, and the ability to do so under our revolving credit facility and through use of a portion of the net proceeds from the March 2024 issuance of the senior notes as described above.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Variable Rate Debt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variable rate debt consisted of the following at March 31, 2024:</w:t>
      </w:r>
    </w:p>
    <w:tbl>
      <w:tblPr>
        <w:tblW w:w="9052" w:type="dxa"/>
        <w:jc w:val="left"/>
        <w:tblInd w:w="0" w:type="dxa"/>
        <w:tblLayout w:type="fixed"/>
        <w:tblCellMar>
          <w:top w:w="28" w:type="dxa"/>
          <w:left w:w="28" w:type="dxa"/>
          <w:bottom w:w="28" w:type="dxa"/>
          <w:right w:w="28" w:type="dxa"/>
        </w:tblCellMar>
      </w:tblPr>
      <w:tblGrid>
        <w:gridCol w:w="895"/>
        <w:gridCol w:w="786"/>
        <w:gridCol w:w="793"/>
        <w:gridCol w:w="290"/>
        <w:gridCol w:w="290"/>
        <w:gridCol w:w="291"/>
        <w:gridCol w:w="109"/>
        <w:gridCol w:w="109"/>
        <w:gridCol w:w="109"/>
        <w:gridCol w:w="939"/>
        <w:gridCol w:w="939"/>
        <w:gridCol w:w="941"/>
        <w:gridCol w:w="109"/>
        <w:gridCol w:w="109"/>
        <w:gridCol w:w="109"/>
        <w:gridCol w:w="480"/>
        <w:gridCol w:w="1402"/>
        <w:gridCol w:w="352"/>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Borrowings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lines of credit</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commercial paper notes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variable rate debt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certain short-term lines of credit and other borrowing arrangements with foreign banks and alliance partners primarily to fund settlement activity associated with operations in Latin America. We entered into an annually renewable term loan facility, which was fully funded in April 2023, to fund settlement advance cash payments in Brazil. This term loan has a notional value of 514 million Brazilian real ($103 million USD equivalent) at March 31, 2024 and bears interest at a variable Certificado de Depósito Interbancário (CDI) Rate, plus a specified margin per annum. In February 2024, this term loan facility was amended, which amendment extended its maturity date to April 2025 and decreased the specified margin to 1.25% per annum.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outstanding borrowings and weighted average interest rates of our foreign lines of credit and other borrowing arrangements by country at March 31, 2024:</w:t>
      </w:r>
    </w:p>
    <w:tbl>
      <w:tblPr>
        <w:tblW w:w="7677" w:type="dxa"/>
        <w:jc w:val="left"/>
        <w:tblInd w:w="0" w:type="dxa"/>
        <w:tblLayout w:type="fixed"/>
        <w:tblCellMar>
          <w:top w:w="28" w:type="dxa"/>
          <w:left w:w="28" w:type="dxa"/>
          <w:bottom w:w="28" w:type="dxa"/>
          <w:right w:w="28" w:type="dxa"/>
        </w:tblCellMar>
      </w:tblPr>
      <w:tblGrid>
        <w:gridCol w:w="337"/>
        <w:gridCol w:w="296"/>
        <w:gridCol w:w="298"/>
        <w:gridCol w:w="599"/>
        <w:gridCol w:w="1324"/>
        <w:gridCol w:w="311"/>
        <w:gridCol w:w="109"/>
        <w:gridCol w:w="2821"/>
        <w:gridCol w:w="109"/>
        <w:gridCol w:w="109"/>
        <w:gridCol w:w="109"/>
        <w:gridCol w:w="360"/>
        <w:gridCol w:w="361"/>
        <w:gridCol w:w="271"/>
        <w:gridCol w:w="109"/>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Outstanding Borrowings </w:t>
              <w:b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Interest Rate</w:t>
            </w:r>
          </w:p>
        </w:tc>
        <w:tc>
          <w:tcPr>
            <w:tcW w:w="1582" w:type="dxa"/>
            <w:gridSpan w:val="8"/>
            <w:tcBorders/>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Uruguay</w:t>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unsecured U.S. dollar and Euro commercial paper programs with various maturities generally ranging from one day to four months. Outstanding borrowings under our commercial paper programs bear interest based on the prevailing rates at the time of issuance.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maintain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our long-term debt rating. There were no outstanding borrowings under the revolving credit facility at March 31, 2024. We are required to pay a facility fee based on the aggregate commitments in effect under the credit agreement from time to time.</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Covenants and Compliance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contains various restrictions and covenants that require us to, among other things, limit our consolidated indebtedness as of the end of each fiscal quarter to no more than 3.75 times our consolidated net income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taxes, depreciation, amortization, non-cash charges and expenses and certain other adjustments during the period of four fiscal quarters then ended, subject to certain exceptions.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2024,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Guarantees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noncontrolling ownership interests in Sagent M&amp;C, LLC and defi SOLUTIONS Group, LLC (collectively, the “Lending Joint Ventures”). The Lending Joint Ventures maintain variable-rate term loan facilities with aggregate outstanding borrowings of $437 million in senior unsecured debt at March 31, 2024 and variable-rate revolving credit facilities with an aggregate borrowing capacity of $83 million with a syndicate of banks, which mature in April 2027. There were $52 million of aggregate outstanding borrowings on the revolving credit facilities at March 31, 2024. We have guaranteed the debt of the Lending Joint Ventures. We maintained a liability of $28 million at March 31, 2024 for the estimated fair value of our non-contingent obligations to stand ready to perform over the term of the guarantee arrangements. Such guarantees will be amortized in future periods over the contractual term of the debt. In addition, we maintained a contingent liability of $22 million at March 31, 2024,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and Cash Equivalents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exclusive of settlement assets, with original maturities of 90 days or less that are readily convertible to cash are considered to be cash equivalents as reflected within our consolidated balance sheets.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details our cash and cash equivalents held at:</w:t>
      </w:r>
    </w:p>
    <w:tbl>
      <w:tblPr>
        <w:tblW w:w="5727" w:type="dxa"/>
        <w:jc w:val="center"/>
        <w:tblInd w:w="0" w:type="dxa"/>
        <w:tblLayout w:type="fixed"/>
        <w:tblCellMar>
          <w:top w:w="28" w:type="dxa"/>
          <w:left w:w="28" w:type="dxa"/>
          <w:bottom w:w="28" w:type="dxa"/>
          <w:right w:w="28" w:type="dxa"/>
        </w:tblCellMar>
      </w:tblPr>
      <w:tblGrid>
        <w:gridCol w:w="526"/>
        <w:gridCol w:w="409"/>
        <w:gridCol w:w="385"/>
        <w:gridCol w:w="324"/>
        <w:gridCol w:w="948"/>
        <w:gridCol w:w="167"/>
        <w:gridCol w:w="109"/>
        <w:gridCol w:w="109"/>
        <w:gridCol w:w="109"/>
        <w:gridCol w:w="387"/>
        <w:gridCol w:w="1135"/>
        <w:gridCol w:w="202"/>
        <w:gridCol w:w="109"/>
        <w:gridCol w:w="109"/>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Unavailable </w:t>
            </w:r>
            <w:r>
              <w:rPr>
                <w:rFonts w:ascii="Times New Roman;sans-serif" w:hAnsi="Times New Roman;sans-serif"/>
                <w:b w:val="false"/>
                <w:color w:val="000000"/>
                <w:sz w:val="13"/>
              </w:rPr>
              <w:t>(1)</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 to foreign currency exchange risks generally arises from our international operations to the extent they are conducted in local currency. The major currencies to which our operations are exposed are the Argentine Peso, Brazilian Real, British Pound, Euro and Indian Rupee. Changes in the value of underlying monetary assets and liabilities of our non-U.S. dollar-denominated foreign investments and foreign currency transactions in highly inflationary economies, primarily Argentina, may result in foreign currency exchange losses. We also have exposure to risks related to currency devaluation in certain countries, including Argentina, which may negatively impact our international operating results if there is a prolonged devaluation of local currencies relative to the U.S. dollar or if the economic conditions in these countries decline.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market risks to which we are exposed is included within Item 7A of our Annual Report on Form 10-K for the year ended December 31, 2023. There were no significant changes to our quantitative and qualitative analyses about market risk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31, 2024.</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internal control over financial reporting that occurred during the three months ended March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information with respect to purchases made by or on behalf of us or any “affiliated purchaser” (as defined in Rule 10b-18(a)(3) under the Exchange Act) of shares of our common stock during the three months ended March 31, 2024: </w:t>
      </w:r>
    </w:p>
    <w:tbl>
      <w:tblPr>
        <w:tblW w:w="8769" w:type="dxa"/>
        <w:jc w:val="left"/>
        <w:tblInd w:w="0" w:type="dxa"/>
        <w:tblLayout w:type="fixed"/>
        <w:tblCellMar>
          <w:top w:w="28" w:type="dxa"/>
          <w:left w:w="28" w:type="dxa"/>
          <w:bottom w:w="28" w:type="dxa"/>
          <w:right w:w="28" w:type="dxa"/>
        </w:tblCellMar>
      </w:tblPr>
      <w:tblGrid>
        <w:gridCol w:w="639"/>
        <w:gridCol w:w="561"/>
        <w:gridCol w:w="570"/>
        <w:gridCol w:w="540"/>
        <w:gridCol w:w="541"/>
        <w:gridCol w:w="461"/>
        <w:gridCol w:w="109"/>
        <w:gridCol w:w="109"/>
        <w:gridCol w:w="109"/>
        <w:gridCol w:w="240"/>
        <w:gridCol w:w="821"/>
        <w:gridCol w:w="125"/>
        <w:gridCol w:w="109"/>
        <w:gridCol w:w="109"/>
        <w:gridCol w:w="109"/>
        <w:gridCol w:w="540"/>
        <w:gridCol w:w="541"/>
        <w:gridCol w:w="486"/>
        <w:gridCol w:w="109"/>
        <w:gridCol w:w="109"/>
        <w:gridCol w:w="109"/>
        <w:gridCol w:w="540"/>
        <w:gridCol w:w="541"/>
        <w:gridCol w:w="642"/>
      </w:tblGrid>
      <w:tr>
        <w:trPr/>
        <w:tc>
          <w:tcPr>
            <w:tcW w:w="6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w:t>
            </w:r>
          </w:p>
          <w:p>
            <w:pPr>
              <w:pStyle w:val="TableContents"/>
              <w:bidi w:val="0"/>
              <w:spacing w:lineRule="auto" w:line="240" w:before="0" w:after="0"/>
              <w:jc w:val="center"/>
              <w:rPr/>
            </w:pPr>
            <w:r>
              <w:rPr>
                <w:rFonts w:ascii="Times New Roman;sans-serif" w:hAnsi="Times New Roman;sans-serif"/>
                <w:b/>
                <w:color w:val="000000"/>
                <w:sz w:val="16"/>
              </w:rPr>
              <w:t>or Programs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Number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 that May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Yet Be 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Under the Plans or</w:t>
            </w:r>
          </w:p>
          <w:p>
            <w:pPr>
              <w:pStyle w:val="TableContents"/>
              <w:bidi w:val="0"/>
              <w:spacing w:lineRule="auto" w:line="240" w:before="0" w:after="0"/>
              <w:jc w:val="center"/>
              <w:rPr/>
            </w:pPr>
            <w:r>
              <w:rPr>
                <w:rFonts w:ascii="Times New Roman;sans-serif" w:hAnsi="Times New Roman;sans-serif"/>
                <w:b/>
                <w:color w:val="000000"/>
                <w:sz w:val="16"/>
              </w:rPr>
              <w:t>Programs </w:t>
            </w:r>
            <w:r>
              <w:rPr>
                <w:rFonts w:ascii="Times New Roman;sans-serif" w:hAnsi="Times New Roman;sans-serif"/>
                <w:b/>
                <w:color w:val="000000"/>
                <w:sz w:val="10"/>
              </w:rPr>
              <w:t>(1)</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3,095,000 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3,095,000 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48,884,234 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1-29, 2024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2,831,280 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2,831,280 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46,052,954 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1-31,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4,316,788 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4,316,788 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41,736,166 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10,243,068 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10,243,068 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On February 22, 2023, our board of directors authorized the purchase of up to 75.0 million shares of our common stock. This authorization does not expire.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 During the three months ended March 31, 2024, none of the Company’s directors or Section 16 officers adopted or terminated a Rule 10b5-1 Trading Plan or “non-Rule 10b5-1 trading arrangement,”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accompanying exhibit index are filed as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6"/>
        <w:gridCol w:w="270"/>
        <w:gridCol w:w="271"/>
        <w:gridCol w:w="109"/>
        <w:gridCol w:w="109"/>
        <w:gridCol w:w="109"/>
        <w:gridCol w:w="2741"/>
        <w:gridCol w:w="2634"/>
        <w:gridCol w:w="3656"/>
      </w:tblGrid>
      <w:tr>
        <w:trPr/>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bidi w:val="0"/>
              <w:spacing w:lineRule="auto" w:line="240"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Exhibit Description</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Thirty-Second Supplemental Indenture, dated as of March 4, 2024, between Fiserv, Inc. and U.S. Bank Trust Company, National Association (incorporated by reference to Exhibit 4.1 to the Current Report on Form 8-K of Fiserv, Inc. filed March 4, 2024)</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Thirty-Third Supplemental Indenture, dated as of March 4, 2024, between Fiserv, Inc. and U.S. Bank Trust Company, National Association (incorporated by reference to Exhibit 4.2 to the Current Report on Form 8-K of Fiserv, Inc. filed March 4, 2024)</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Thirty-Fourth Supplemental Indenture, dated as of March 4, 2024, between Fiserv, Inc. and U.S. Bank Trust Company, National Association (incorporated by reference to Exhibit 4.3 to the Current Report on Form 8-K of Fiserv, Inc. filed March 4, 2024)</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3312024.htm">
              <w:r>
                <w:rPr>
                  <w:rStyle w:val="InternetLink"/>
                  <w:rFonts w:ascii="Times New Roman;sans-serif" w:hAnsi="Times New Roman;sans-serif"/>
                  <w:b w:val="false"/>
                  <w:color w:val="0000FF"/>
                  <w:sz w:val="20"/>
                  <w:u w:val="single"/>
                </w:rPr>
                <w:t>Certification of the Chief Executive Officer pursuant to Section 302 of the Sarbanes-Oxley Act of 2002</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3312024.htm">
              <w:r>
                <w:rPr>
                  <w:rStyle w:val="InternetLink"/>
                  <w:rFonts w:ascii="Times New Roman;sans-serif" w:hAnsi="Times New Roman;sans-serif"/>
                  <w:b w:val="false"/>
                  <w:color w:val="0000FF"/>
                  <w:sz w:val="20"/>
                  <w:u w:val="single"/>
                </w:rPr>
                <w:t>Certification of the Chief Financial Officer pursuant to Section 302 of the Sarbanes-Oxley Act of 2002</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3312024.htm">
              <w:r>
                <w:rPr>
                  <w:rStyle w:val="InternetLink"/>
                  <w:rFonts w:ascii="Times New Roman;sans-serif" w:hAnsi="Times New Roman;sans-serif"/>
                  <w:b w:val="false"/>
                  <w:color w:val="0000FF"/>
                  <w:sz w:val="20"/>
                  <w:u w:val="single"/>
                </w:rPr>
                <w:t>Certification of the Chief Executive Officer and Chief Financial Officer pursuant to Section 906 of the Sarbanes-Oxley Act of 2002</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XBRL Instance Document does not appear in the interactive data file because its XBRL tags are embedded within the Inline XBRL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with this quarterly report on Form 10-Q are the following documents formatted in iXBRL (Inline Extensible Business Reporting Language): (i) the Consolidated Statements of Income for the three months ended March 31, 2024 and 2023, (ii) the Consolidated Statements of Comprehensive Income for the three months ended March 31, 2024 and 2023, (iii) the Consolidated Balance Sheets at March 31, 2024 and December 31, 2023, (iv) the Consolidated Statements of Cash Flows for the three months ended March 31, 2024 and 2023, (v) Notes to Consolidated Financial Statements, and (vi) the information included in Part II, Item 5(c).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756ee6770b5410fa939ab705ffe501e_7">
        <w:r>
          <w:rPr>
            <w:rStyle w:val="InternetLink"/>
          </w:rPr>
          <w:t xml:space="preserve">Table of </w:t>
        </w:r>
      </w:hyperlink>
      <w:hyperlink w:anchor="i0756ee6770b5410fa939ab705ffe501e_7">
        <w:r>
          <w:rPr>
            <w:rStyle w:val="InternetLink"/>
          </w:rPr>
          <w:t>Contents</w:t>
        </w:r>
      </w:hyperlink>
      <w:r>
        <w:rPr>
          <w:color w:val="000000"/>
        </w:rPr>
        <w:t xml:space="preserve">                                 </w:t>
      </w:r>
      <w:r>
        <w:rPr>
          <w:color w:val="EE2724"/>
        </w:rPr>
        <w:t xml:space="preserve">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895"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41"/>
        <w:gridCol w:w="141"/>
        <w:gridCol w:w="141"/>
        <w:gridCol w:w="141"/>
        <w:gridCol w:w="141"/>
        <w:gridCol w:w="141"/>
        <w:gridCol w:w="645"/>
        <w:gridCol w:w="645"/>
        <w:gridCol w:w="9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FISERV,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W. Hau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 Hau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F. Best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F. Best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bl>
    <w:p>
      <w:pPr>
        <w:pStyle w:val="TextBody"/>
        <w:bidi w:val="0"/>
        <w:spacing w:before="0" w:after="18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Frank J. Bisignano,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Fiserv,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99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34"/>
        <w:gridCol w:w="134"/>
        <w:gridCol w:w="136"/>
        <w:gridCol w:w="109"/>
        <w:gridCol w:w="109"/>
        <w:gridCol w:w="109"/>
        <w:gridCol w:w="1198"/>
        <w:gridCol w:w="1198"/>
        <w:gridCol w:w="169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J. Bisignano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J. Bisignano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PURSUANT TO SECTION 302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W. Hau,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Fiserv,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1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34"/>
        <w:gridCol w:w="134"/>
        <w:gridCol w:w="136"/>
        <w:gridCol w:w="109"/>
        <w:gridCol w:w="109"/>
        <w:gridCol w:w="109"/>
        <w:gridCol w:w="585"/>
        <w:gridCol w:w="585"/>
        <w:gridCol w:w="8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W. Hau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 Hau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Fiserv, Inc. (the “Company”) for the quarter ended March 31, 2024 as filed with the Securities and Exchange Commission on the date hereof (the “Report”), Frank J. Bisignano, as Chairman, President and Chief Executive Officer of the Company, and Robert W. Hau, as Chief Financial Officer of the Company, each hereby certify, pursuant to 18 U.S.C. § 1350, as adopted pursuant to § 906 of the Sarbanes-Oxley Act of 2002,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right"/>
        <w:rPr/>
      </w:pPr>
      <w:r>
        <w:rPr/>
      </w:r>
    </w:p>
    <w:tbl>
      <w:tblPr>
        <w:tblW w:w="4841"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1136"/>
        <w:gridCol w:w="1136"/>
        <w:gridCol w:w="1140"/>
        <w:gridCol w:w="200"/>
        <w:gridCol w:w="200"/>
        <w:gridCol w:w="28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J. Bisignano</w:t>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J. Bisignano</w:t>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tbl>
      <w:tblPr>
        <w:tblW w:w="2756"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585"/>
        <w:gridCol w:w="585"/>
        <w:gridCol w:w="83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W. Hau</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 Hau</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8354/000119312524058013/d20683dex41.htm" TargetMode="External"/><Relationship Id="rId3" Type="http://schemas.openxmlformats.org/officeDocument/2006/relationships/hyperlink" Target="https://www.sec.gov/Archives/edgar/data/798354/000119312524058013/d20683dex42.htm" TargetMode="External"/><Relationship Id="rId4" Type="http://schemas.openxmlformats.org/officeDocument/2006/relationships/hyperlink" Target="https://www.sec.gov/Archives/edgar/data/798354/000119312524058013/d20683dex4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21596</Words>
  <Characters>121680</Characters>
  <CharactersWithSpaces>143297</CharactersWithSpaces>
  <Paragraphs>2380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