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167005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100965</wp:posOffset>
            </wp:positionV>
            <wp:extent cx="216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20"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October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199390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184785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940" w:type="dxa"/>
        <w:tblCellMar>
          <w:top w:w="0" w:type="dxa"/>
          <w:left w:w="0" w:type="dxa"/>
          <w:bottom w:w="0" w:type="dxa"/>
          <w:right w:w="0" w:type="dxa"/>
        </w:tblCellMar>
      </w:tblPr>
      <w:tr>
        <w:trPr>
          <w:trHeight w:val="225"/>
        </w:trPr>
        <w:tc>
          <w:tcPr>
            <w:tcW w:w="2260" w:type="dxa"/>
            <w:vAlign w:val="bottom"/>
          </w:tcPr>
          <w:p>
            <w:pPr>
              <w:jc w:val="center"/>
              <w:ind w:right="482"/>
              <w:spacing w:after="0"/>
              <w:rPr>
                <w:sz w:val="20"/>
                <w:szCs w:val="20"/>
                <w:color w:val="auto"/>
              </w:rPr>
            </w:pPr>
            <w:r>
              <w:rPr>
                <w:rFonts w:ascii="Arial" w:cs="Arial" w:eastAsia="Arial" w:hAnsi="Arial"/>
                <w:sz w:val="18"/>
                <w:szCs w:val="18"/>
                <w:b w:val="1"/>
                <w:bCs w:val="1"/>
                <w:color w:val="auto"/>
                <w:w w:val="86"/>
              </w:rPr>
              <w:t>Wisconsin</w:t>
            </w:r>
          </w:p>
        </w:tc>
        <w:tc>
          <w:tcPr>
            <w:tcW w:w="498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1-38962</w:t>
            </w:r>
          </w:p>
        </w:tc>
        <w:tc>
          <w:tcPr>
            <w:tcW w:w="1820" w:type="dxa"/>
            <w:vAlign w:val="bottom"/>
          </w:tcPr>
          <w:p>
            <w:pPr>
              <w:jc w:val="center"/>
              <w:ind w:left="622"/>
              <w:spacing w:after="0"/>
              <w:rPr>
                <w:sz w:val="20"/>
                <w:szCs w:val="20"/>
                <w:color w:val="auto"/>
              </w:rPr>
            </w:pPr>
            <w:r>
              <w:rPr>
                <w:rFonts w:ascii="Arial" w:cs="Arial" w:eastAsia="Arial" w:hAnsi="Arial"/>
                <w:sz w:val="18"/>
                <w:szCs w:val="18"/>
                <w:b w:val="1"/>
                <w:bCs w:val="1"/>
                <w:color w:val="auto"/>
                <w:w w:val="91"/>
              </w:rPr>
              <w:t>39-1506125</w:t>
            </w:r>
          </w:p>
        </w:tc>
      </w:tr>
      <w:tr>
        <w:trPr>
          <w:trHeight w:val="144"/>
        </w:trPr>
        <w:tc>
          <w:tcPr>
            <w:tcW w:w="2260" w:type="dxa"/>
            <w:vAlign w:val="bottom"/>
          </w:tcPr>
          <w:p>
            <w:pPr>
              <w:jc w:val="center"/>
              <w:ind w:right="4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9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(Commission</w:t>
            </w:r>
          </w:p>
        </w:tc>
        <w:tc>
          <w:tcPr>
            <w:tcW w:w="1820" w:type="dxa"/>
            <w:vAlign w:val="bottom"/>
          </w:tcPr>
          <w:p>
            <w:pPr>
              <w:jc w:val="center"/>
              <w:ind w:left="642"/>
              <w:spacing w:after="0" w:line="145"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260" w:type="dxa"/>
            <w:vAlign w:val="bottom"/>
          </w:tcPr>
          <w:p>
            <w:pPr>
              <w:jc w:val="center"/>
              <w:ind w:right="482"/>
              <w:spacing w:after="0"/>
              <w:rPr>
                <w:sz w:val="20"/>
                <w:szCs w:val="20"/>
                <w:color w:val="auto"/>
              </w:rPr>
            </w:pPr>
            <w:r>
              <w:rPr>
                <w:rFonts w:ascii="Arial" w:cs="Arial" w:eastAsia="Arial" w:hAnsi="Arial"/>
                <w:sz w:val="14"/>
                <w:szCs w:val="14"/>
                <w:b w:val="1"/>
                <w:bCs w:val="1"/>
                <w:color w:val="auto"/>
                <w:w w:val="94"/>
              </w:rPr>
              <w:t>of Incorporation)</w:t>
            </w:r>
          </w:p>
        </w:tc>
        <w:tc>
          <w:tcPr>
            <w:tcW w:w="49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File Number)</w:t>
            </w:r>
          </w:p>
        </w:tc>
        <w:tc>
          <w:tcPr>
            <w:tcW w:w="1820" w:type="dxa"/>
            <w:vAlign w:val="bottom"/>
          </w:tcPr>
          <w:p>
            <w:pPr>
              <w:jc w:val="center"/>
              <w:ind w:left="622"/>
              <w:spacing w:after="0"/>
              <w:rPr>
                <w:sz w:val="20"/>
                <w:szCs w:val="20"/>
                <w:color w:val="auto"/>
              </w:rPr>
            </w:pPr>
            <w:r>
              <w:rPr>
                <w:rFonts w:ascii="Arial" w:cs="Arial" w:eastAsia="Arial" w:hAnsi="Arial"/>
                <w:sz w:val="14"/>
                <w:szCs w:val="14"/>
                <w:b w:val="1"/>
                <w:bCs w:val="1"/>
                <w:color w:val="auto"/>
                <w:w w:val="94"/>
              </w:rPr>
              <w:t>Identification No.)</w:t>
            </w:r>
          </w:p>
        </w:tc>
      </w:tr>
      <w:tr>
        <w:trPr>
          <w:trHeight w:val="291"/>
        </w:trPr>
        <w:tc>
          <w:tcPr>
            <w:tcW w:w="2260" w:type="dxa"/>
            <w:vAlign w:val="bottom"/>
          </w:tcPr>
          <w:p>
            <w:pPr>
              <w:spacing w:after="0"/>
              <w:rPr>
                <w:sz w:val="24"/>
                <w:szCs w:val="24"/>
                <w:color w:val="auto"/>
              </w:rPr>
            </w:pPr>
          </w:p>
        </w:tc>
        <w:tc>
          <w:tcPr>
            <w:tcW w:w="498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255 Fiserv Drive, Brookfield, Wisconsin 53045</w:t>
            </w:r>
          </w:p>
        </w:tc>
        <w:tc>
          <w:tcPr>
            <w:tcW w:w="1820" w:type="dxa"/>
            <w:vAlign w:val="bottom"/>
          </w:tcPr>
          <w:p>
            <w:pPr>
              <w:spacing w:after="0"/>
              <w:rPr>
                <w:sz w:val="24"/>
                <w:szCs w:val="24"/>
                <w:color w:val="auto"/>
              </w:rPr>
            </w:pPr>
          </w:p>
        </w:tc>
      </w:tr>
      <w:tr>
        <w:trPr>
          <w:trHeight w:val="186"/>
        </w:trPr>
        <w:tc>
          <w:tcPr>
            <w:tcW w:w="2260" w:type="dxa"/>
            <w:vAlign w:val="bottom"/>
          </w:tcPr>
          <w:p>
            <w:pPr>
              <w:spacing w:after="0"/>
              <w:rPr>
                <w:sz w:val="16"/>
                <w:szCs w:val="16"/>
                <w:color w:val="auto"/>
              </w:rPr>
            </w:pPr>
          </w:p>
        </w:tc>
        <w:tc>
          <w:tcPr>
            <w:tcW w:w="498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820" w:type="dxa"/>
            <w:vAlign w:val="bottom"/>
          </w:tcPr>
          <w:p>
            <w:pPr>
              <w:spacing w:after="0"/>
              <w:rPr>
                <w:sz w:val="16"/>
                <w:szCs w:val="16"/>
                <w:color w:val="auto"/>
              </w:rPr>
            </w:pPr>
          </w:p>
        </w:tc>
      </w:tr>
      <w:tr>
        <w:trPr>
          <w:trHeight w:val="408"/>
        </w:trPr>
        <w:tc>
          <w:tcPr>
            <w:tcW w:w="2260" w:type="dxa"/>
            <w:vAlign w:val="bottom"/>
          </w:tcPr>
          <w:p>
            <w:pPr>
              <w:spacing w:after="0"/>
              <w:rPr>
                <w:sz w:val="24"/>
                <w:szCs w:val="24"/>
                <w:color w:val="auto"/>
              </w:rPr>
            </w:pPr>
          </w:p>
        </w:tc>
        <w:tc>
          <w:tcPr>
            <w:tcW w:w="498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(262) 879-5000</w:t>
            </w:r>
          </w:p>
        </w:tc>
        <w:tc>
          <w:tcPr>
            <w:tcW w:w="1820" w:type="dxa"/>
            <w:vAlign w:val="bottom"/>
          </w:tcPr>
          <w:p>
            <w:pPr>
              <w:spacing w:after="0"/>
              <w:rPr>
                <w:sz w:val="24"/>
                <w:szCs w:val="24"/>
                <w:color w:val="auto"/>
              </w:rPr>
            </w:pPr>
          </w:p>
        </w:tc>
      </w:tr>
      <w:tr>
        <w:trPr>
          <w:trHeight w:val="186"/>
        </w:trPr>
        <w:tc>
          <w:tcPr>
            <w:tcW w:w="2260" w:type="dxa"/>
            <w:vAlign w:val="bottom"/>
          </w:tcPr>
          <w:p>
            <w:pPr>
              <w:spacing w:after="0"/>
              <w:rPr>
                <w:sz w:val="16"/>
                <w:szCs w:val="16"/>
                <w:color w:val="auto"/>
              </w:rPr>
            </w:pPr>
          </w:p>
        </w:tc>
        <w:tc>
          <w:tcPr>
            <w:tcW w:w="498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161925</wp:posOffset>
            </wp:positionV>
            <wp:extent cx="2357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05"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0" w:lineRule="exact"/>
        <w:rPr>
          <w:sz w:val="20"/>
          <w:szCs w:val="20"/>
          <w:color w:val="auto"/>
        </w:rPr>
      </w:pP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64770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50" w:right="499" w:bottom="1440" w:gutter="0" w:footer="0" w:header="0"/>
        </w:sectPr>
      </w:pPr>
    </w:p>
    <w:bookmarkStart w:id="2" w:name="page3"/>
    <w:bookmarkEnd w:id="2"/>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October 27, 2021, Fiserv, Inc. issued a press release announcing its financial results for the quarter ended September 30, 2021. A copy of the press release is attached as Exhibit 99.1 to this Current Report on Form 8-K and is incorporated by reference herein.</w:t>
      </w:r>
    </w:p>
    <w:p>
      <w:pPr>
        <w:spacing w:after="0" w:line="23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89"/>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500" w:type="dxa"/>
            <w:vAlign w:val="bottom"/>
            <w:gridSpan w:val="2"/>
          </w:tcPr>
          <w:p>
            <w:pPr>
              <w:jc w:val="right"/>
              <w:ind w:right="11"/>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88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Press Release of Fiserv, Inc., dated October 27, 2021 (furnished pursuant to Item 2.02 of this Current Report on Form 8-K)</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1"/>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1"/>
                <w:szCs w:val="21"/>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Arial" w:cs="Arial" w:eastAsia="Arial" w:hAnsi="Arial"/>
                <w:sz w:val="18"/>
                <w:szCs w:val="18"/>
                <w:color w:val="auto"/>
              </w:rPr>
              <w:t>FISERV, INC.</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80"/>
              <w:spacing w:after="0"/>
              <w:rPr>
                <w:sz w:val="20"/>
                <w:szCs w:val="20"/>
                <w:color w:val="auto"/>
              </w:rPr>
            </w:pPr>
            <w:r>
              <w:rPr>
                <w:rFonts w:ascii="Arial" w:cs="Arial" w:eastAsia="Arial" w:hAnsi="Arial"/>
                <w:sz w:val="18"/>
                <w:szCs w:val="18"/>
                <w:color w:val="auto"/>
              </w:rPr>
              <w:t>October 27, 2021</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17145</wp:posOffset>
            </wp:positionV>
            <wp:extent cx="132016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392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5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7"/>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Britt Zarling</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Shub Mukherjee</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Corporate Communications</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Investor Relations</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Fiserv, Inc.</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414-378-4040</w:t>
            </w:r>
          </w:p>
        </w:tc>
        <w:tc>
          <w:tcPr>
            <w:tcW w:w="2060" w:type="dxa"/>
            <w:vAlign w:val="bottom"/>
          </w:tcPr>
          <w:p>
            <w:pPr>
              <w:spacing w:after="0"/>
              <w:rPr>
                <w:sz w:val="17"/>
                <w:szCs w:val="17"/>
                <w:color w:val="auto"/>
              </w:rPr>
            </w:pP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212-266-3565</w:t>
            </w:r>
          </w:p>
        </w:tc>
      </w:tr>
      <w:tr>
        <w:trPr>
          <w:trHeight w:val="176"/>
        </w:trPr>
        <w:tc>
          <w:tcPr>
            <w:tcW w:w="3920" w:type="dxa"/>
            <w:vAlign w:val="bottom"/>
            <w:gridSpan w:val="2"/>
          </w:tcPr>
          <w:p>
            <w:pPr>
              <w:spacing w:after="0" w:line="157" w:lineRule="exact"/>
              <w:rPr>
                <w:sz w:val="20"/>
                <w:szCs w:val="20"/>
                <w:color w:val="auto"/>
              </w:rPr>
            </w:pPr>
            <w:r>
              <w:rPr>
                <w:rFonts w:ascii="Arial" w:cs="Arial" w:eastAsia="Arial" w:hAnsi="Arial"/>
                <w:sz w:val="18"/>
                <w:szCs w:val="18"/>
                <w:color w:val="0000FF"/>
              </w:rPr>
              <w:t>britt.zarling@fiserv.com</w:t>
            </w:r>
          </w:p>
        </w:tc>
        <w:tc>
          <w:tcPr>
            <w:tcW w:w="3840" w:type="dxa"/>
            <w:vAlign w:val="bottom"/>
            <w:gridSpan w:val="2"/>
          </w:tcPr>
          <w:p>
            <w:pPr>
              <w:ind w:left="1560"/>
              <w:spacing w:after="0" w:line="157" w:lineRule="exact"/>
              <w:rPr>
                <w:sz w:val="20"/>
                <w:szCs w:val="20"/>
                <w:color w:val="auto"/>
              </w:rPr>
            </w:pPr>
            <w:r>
              <w:rPr>
                <w:rFonts w:ascii="Arial" w:cs="Arial" w:eastAsia="Arial" w:hAnsi="Arial"/>
                <w:sz w:val="18"/>
                <w:szCs w:val="18"/>
                <w:color w:val="0000FF"/>
                <w:w w:val="98"/>
              </w:rPr>
              <w:t>shub.mukherjee@fiserv.com</w:t>
            </w:r>
          </w:p>
        </w:tc>
      </w:tr>
      <w:tr>
        <w:trPr>
          <w:trHeight w:val="27"/>
        </w:trPr>
        <w:tc>
          <w:tcPr>
            <w:tcW w:w="1860" w:type="dxa"/>
            <w:vAlign w:val="bottom"/>
            <w:shd w:val="clear" w:color="auto" w:fill="0000FF"/>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Fiserv Reports Third Quarter 2021 Results</w:t>
      </w:r>
    </w:p>
    <w:p>
      <w:pPr>
        <w:spacing w:after="0" w:line="63" w:lineRule="exact"/>
        <w:rPr>
          <w:sz w:val="20"/>
          <w:szCs w:val="20"/>
          <w:color w:val="auto"/>
        </w:rPr>
      </w:pPr>
    </w:p>
    <w:p>
      <w:pPr>
        <w:jc w:val="center"/>
        <w:ind w:left="360" w:right="2400"/>
        <w:spacing w:after="0" w:line="269" w:lineRule="auto"/>
        <w:rPr>
          <w:sz w:val="20"/>
          <w:szCs w:val="20"/>
          <w:color w:val="auto"/>
        </w:rPr>
      </w:pPr>
      <w:r>
        <w:rPr>
          <w:rFonts w:ascii="Arial" w:cs="Arial" w:eastAsia="Arial" w:hAnsi="Arial"/>
          <w:sz w:val="20"/>
          <w:szCs w:val="20"/>
          <w:color w:val="auto"/>
        </w:rPr>
        <w:t>GAAP revenue increased 10% in the quarter and 9% year to date; GAAP EPS increased 64% in the quarter and 55% year to date; Internal revenue growth was 10% in the quarter and 11% year to date; Adjusted EPS increased 23% in the quarter and 29% year to date; Company now expects 2021 internal revenue growth outlook of 11% and improves adjusted EPS growth outlook to $5.55 to $5.60</w:t>
      </w:r>
    </w:p>
    <w:p>
      <w:pPr>
        <w:spacing w:after="0" w:line="198"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b w:val="1"/>
          <w:bCs w:val="1"/>
          <w:color w:val="auto"/>
        </w:rPr>
        <w:t xml:space="preserve">BROOKFIELD, Wis., October 27, 2021 </w:t>
      </w:r>
      <w:r>
        <w:rPr>
          <w:rFonts w:ascii="Arial" w:cs="Arial" w:eastAsia="Arial" w:hAnsi="Arial"/>
          <w:sz w:val="20"/>
          <w:szCs w:val="20"/>
          <w:color w:val="auto"/>
        </w:rPr>
        <w:t>– Fiserv, Inc. (NASDAQ: FISV), a leading global provider of payments and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technology solutions, today reported financial results for the third quarter of 2021.</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GAAP Results</w:t>
      </w:r>
    </w:p>
    <w:p>
      <w:pPr>
        <w:spacing w:after="0" w:line="37"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GAAP revenue for the company increased 10% to $4.16 billion in the third quarter of 2021 compared to the prior year period, with 18% growth in the Acceptance segment, 5% growth in the Fintech segment and 6% growth in the Payments segment. GAAP revenue for the company increased 9% to $11.97 billion in the first nine months of 2021 compared to the prior year period, with 17% growth in the Acceptance segment, 4% growth in the Fintech segment and 5% growth in the Payments segment.</w:t>
      </w:r>
    </w:p>
    <w:p>
      <w:pPr>
        <w:spacing w:after="0" w:line="155"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GAAP earnings per share was $0.64 in the third quarter and $1.49 in the first nine months of 2021, an increase of 64% and 55%, respectively, compared to the prior year periods. GAAP operating margin was 15.3% and 14.7% in the third quarter and first nine months of 2021, respectively, compared to 14.3% and 12.1% in the third quarter and first nine months of 2020, respectively. Net cash provided by operating activities was $2.69 billion in the first nine months of 2021 compared to $2.96 billion in the prior year period.</w:t>
      </w:r>
    </w:p>
    <w:p>
      <w:pPr>
        <w:spacing w:after="0" w:line="155"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"We posted another strong quarter of double-digit adjusted revenue and adjusted EPS growth as we continue to invest in organic and inorganic growth and demonstrate unmatched execution," said Frank Bisignano, President and Chief Executive Officer of Fiserv.</w:t>
      </w:r>
    </w:p>
    <w:p>
      <w:pPr>
        <w:sectPr>
          <w:pgSz w:w="11900" w:h="16838" w:orient="portrait"/>
          <w:cols w:equalWidth="0" w:num="1">
            <w:col w:w="11200"/>
          </w:cols>
          <w:pgMar w:left="320" w:top="16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00"/>
          </w:cols>
          <w:pgMar w:left="320" w:top="162" w:right="37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Non-GAAP Results and Additional Information</w:t>
      </w:r>
    </w:p>
    <w:p>
      <w:pPr>
        <w:spacing w:after="0" w:line="37" w:lineRule="exact"/>
        <w:rPr>
          <w:sz w:val="20"/>
          <w:szCs w:val="20"/>
          <w:color w:val="auto"/>
        </w:rPr>
      </w:pPr>
    </w:p>
    <w:p>
      <w:pPr>
        <w:ind w:left="340" w:right="420" w:hanging="332"/>
        <w:spacing w:after="0" w:line="25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revenue increased 10% to $3.96 billion in the third quarter and 11% to $11.37 billion in the first nine months of 2021 compared to the prior year periods.</w:t>
      </w:r>
    </w:p>
    <w:p>
      <w:pPr>
        <w:spacing w:after="0" w:line="20" w:lineRule="exact"/>
        <w:rPr>
          <w:rFonts w:ascii="Arial" w:cs="Arial" w:eastAsia="Arial" w:hAnsi="Arial"/>
          <w:sz w:val="20"/>
          <w:szCs w:val="20"/>
          <w:b w:val="1"/>
          <w:bCs w:val="1"/>
          <w:color w:val="auto"/>
        </w:rPr>
      </w:pPr>
    </w:p>
    <w:p>
      <w:pPr>
        <w:ind w:left="340" w:right="780" w:hanging="332"/>
        <w:spacing w:after="0" w:line="26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Internal revenue growth (organic, constant currency) was 10% in the third quarter of 2021, led by 18% growth in the Acceptance segment, 4% growth in the Fintech segment and 6% growth in the Payments segment.</w:t>
      </w:r>
    </w:p>
    <w:p>
      <w:pPr>
        <w:spacing w:after="0" w:line="1" w:lineRule="exact"/>
        <w:rPr>
          <w:rFonts w:ascii="Arial" w:cs="Arial" w:eastAsia="Arial" w:hAnsi="Arial"/>
          <w:sz w:val="20"/>
          <w:szCs w:val="20"/>
          <w:b w:val="1"/>
          <w:bCs w:val="1"/>
          <w:color w:val="auto"/>
        </w:rPr>
      </w:pPr>
    </w:p>
    <w:p>
      <w:pPr>
        <w:ind w:left="340" w:right="580" w:hanging="332"/>
        <w:spacing w:after="0" w:line="25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Internal revenue growth was 11% in the first nine months of 2021, led by 21% growth in the Acceptance segment, 4% growth in the Fintech segment and 5% growth in the Payments segment.</w:t>
      </w:r>
    </w:p>
    <w:p>
      <w:pPr>
        <w:spacing w:after="0" w:line="20" w:lineRule="exact"/>
        <w:rPr>
          <w:rFonts w:ascii="Arial" w:cs="Arial" w:eastAsia="Arial" w:hAnsi="Arial"/>
          <w:sz w:val="20"/>
          <w:szCs w:val="20"/>
          <w:color w:val="auto"/>
        </w:rPr>
      </w:pPr>
    </w:p>
    <w:p>
      <w:pPr>
        <w:ind w:left="340" w:right="220" w:hanging="332"/>
        <w:spacing w:after="0" w:line="25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earnings per share increased 23% to $1.47 in the third quarter and 29% to $4.01 in the first nine months of 2021 compared to the prior year periods.</w:t>
      </w:r>
    </w:p>
    <w:p>
      <w:pPr>
        <w:spacing w:after="0" w:line="20" w:lineRule="exact"/>
        <w:rPr>
          <w:rFonts w:ascii="Arial" w:cs="Arial" w:eastAsia="Arial" w:hAnsi="Arial"/>
          <w:sz w:val="20"/>
          <w:szCs w:val="20"/>
          <w:b w:val="1"/>
          <w:bCs w:val="1"/>
          <w:color w:val="auto"/>
        </w:rPr>
      </w:pPr>
    </w:p>
    <w:p>
      <w:pPr>
        <w:ind w:left="340" w:right="40" w:hanging="332"/>
        <w:spacing w:after="0" w:line="25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operating margin increased 130 basis points to 34.2% in the third quarter and 330 basis points to 33.2% in the first nine months of 2021 compared to the prior year periods.</w:t>
      </w:r>
    </w:p>
    <w:p>
      <w:pPr>
        <w:spacing w:after="0" w:line="20"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Free cash flow was $2.29 billion in the first nine months of 2021 compared to $2.59 billion in the prior year period.</w:t>
      </w:r>
    </w:p>
    <w:p>
      <w:pPr>
        <w:spacing w:after="0" w:line="26" w:lineRule="exact"/>
        <w:rPr>
          <w:rFonts w:ascii="Arial" w:cs="Arial" w:eastAsia="Arial" w:hAnsi="Arial"/>
          <w:sz w:val="20"/>
          <w:szCs w:val="20"/>
          <w:b w:val="1"/>
          <w:bCs w:val="1"/>
          <w:color w:val="auto"/>
        </w:rPr>
      </w:pPr>
    </w:p>
    <w:p>
      <w:pPr>
        <w:ind w:left="34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repurchased 3.2 million shares of common stock for $365 million in the third quarter and 13.4 million shares of common stock for $1.57 billion in the first nine months of 2021.</w:t>
      </w:r>
    </w:p>
    <w:p>
      <w:pPr>
        <w:spacing w:after="0" w:line="1" w:lineRule="exact"/>
        <w:rPr>
          <w:rFonts w:ascii="Arial" w:cs="Arial" w:eastAsia="Arial" w:hAnsi="Arial"/>
          <w:sz w:val="20"/>
          <w:szCs w:val="20"/>
          <w:color w:val="auto"/>
        </w:rPr>
      </w:pPr>
    </w:p>
    <w:p>
      <w:pPr>
        <w:jc w:val="both"/>
        <w:ind w:left="340" w:right="420" w:hanging="332"/>
        <w:spacing w:after="0" w:line="260" w:lineRule="auto"/>
        <w:tabs>
          <w:tab w:leader="none" w:pos="328"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October 2021, the company entered into a definitive merger agreement to acquire BentoBox, a digital marketing and commerce platform for restaurants, to accelerate the omni-commerce capabilities of Clover</w:t>
      </w:r>
      <w:r>
        <w:rPr>
          <w:rFonts w:ascii="Arial" w:cs="Arial" w:eastAsia="Arial" w:hAnsi="Arial"/>
          <w:sz w:val="24"/>
          <w:szCs w:val="24"/>
          <w:color w:val="auto"/>
          <w:vertAlign w:val="superscript"/>
        </w:rPr>
        <w:t>®</w:t>
      </w:r>
      <w:r>
        <w:rPr>
          <w:rFonts w:ascii="Arial" w:cs="Arial" w:eastAsia="Arial" w:hAnsi="Arial"/>
          <w:sz w:val="19"/>
          <w:szCs w:val="19"/>
          <w:color w:val="auto"/>
        </w:rPr>
        <w:t>. The company expects the transaction to close during the fourth quarter of 2021, subject to customary approvals and closing conditions.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2021</w:t>
      </w:r>
    </w:p>
    <w:p>
      <w:pPr>
        <w:spacing w:after="0" w:line="3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Fiserv tightens its full year outlook for internal revenue growth to 11% and improves its adjusted earnings per share outlook to a range of $5.55 to $5.60, representing growth of 26% to 27%, for 2021.</w:t>
      </w:r>
    </w:p>
    <w:p>
      <w:pPr>
        <w:spacing w:after="0" w:line="231" w:lineRule="exact"/>
        <w:rPr>
          <w:sz w:val="20"/>
          <w:szCs w:val="20"/>
          <w:color w:val="auto"/>
        </w:rPr>
      </w:pPr>
    </w:p>
    <w:p>
      <w:pPr>
        <w:ind w:right="480"/>
        <w:spacing w:after="0" w:line="243" w:lineRule="auto"/>
        <w:rPr>
          <w:sz w:val="20"/>
          <w:szCs w:val="20"/>
          <w:color w:val="auto"/>
        </w:rPr>
      </w:pPr>
      <w:r>
        <w:rPr>
          <w:rFonts w:ascii="Arial" w:cs="Arial" w:eastAsia="Arial" w:hAnsi="Arial"/>
          <w:sz w:val="20"/>
          <w:szCs w:val="20"/>
          <w:color w:val="auto"/>
        </w:rPr>
        <w:t>"Given our strong financial results year to date and increased visibility into the fourth quarter, we are tightening our internal revenue growth and adjusted EPS outlook," said Bisignano. "The strength of our assets, our agility and our new product launches continue to accelerate our growth."</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51"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 xml:space="preserve">The company will discuss its third quarter 2021 results in a live webcast at 7 a.m. CT on Wednesday, October 27, 2021. The webcast, along with supplemental financial information, can be accessed on the investor relations section of the Fiserv website at </w:t>
      </w:r>
      <w:r>
        <w:rPr>
          <w:rFonts w:ascii="Arial" w:cs="Arial" w:eastAsia="Arial" w:hAnsi="Arial"/>
          <w:sz w:val="20"/>
          <w:szCs w:val="20"/>
          <w:u w:val="single" w:color="auto"/>
          <w:color w:val="0000FF"/>
        </w:rPr>
        <w:t>investors.fiserv.com</w:t>
      </w:r>
      <w:r>
        <w:rPr>
          <w:rFonts w:ascii="Arial" w:cs="Arial" w:eastAsia="Arial" w:hAnsi="Arial"/>
          <w:sz w:val="20"/>
          <w:szCs w:val="20"/>
          <w:color w:val="auto"/>
        </w:rPr>
        <w:t>. A replay will be available approximately one hour after the conclusion of the live webcast.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51"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1225" w:right="399" w:bottom="1440" w:gutter="0" w:footer="0" w:header="0"/>
        </w:sectPr>
      </w:pPr>
    </w:p>
    <w:bookmarkStart w:id="6" w:name="page7"/>
    <w:bookmarkEnd w:id="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60"/>
        <w:spacing w:after="0" w:line="233" w:lineRule="auto"/>
        <w:rPr>
          <w:sz w:val="20"/>
          <w:szCs w:val="20"/>
          <w:color w:val="auto"/>
        </w:rPr>
      </w:pPr>
      <w:r>
        <w:rPr>
          <w:rFonts w:ascii="Arial" w:cs="Arial" w:eastAsia="Arial" w:hAnsi="Arial"/>
          <w:sz w:val="20"/>
          <w:szCs w:val="20"/>
          <w:color w:val="auto"/>
        </w:rPr>
        <w:t>account processing and digital banking solutions; card issuer processing and network services; payments; e-commerce; merchant acquiring and processing; and the Clover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cloud-based point-of-sale solution.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the FORTUNE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500, and is among FORTUNE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Visit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follow on social media for more information and the latest company news.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In this news release, the company supplements its reporting of information determined in accordance with generally accepted accounting principles ("GAAP"), such as revenue, operating income, operating margin, net income attributable to Fiserv, earnings per share and net cash provided by operating activities, with "adjusted revenue," "internal revenue," "internal revenue growth," "organic revenue" (which is calculated in the same manner as internal revenue; see page 4 of this release), "organic revenue growth," "adjusted operating income," "adjusted operating margin," "adjusted net income," "adjusted earnings per share," "adjusted earnings per share growth,"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15 for additional information regarding the company's forward-looking non-GAAP financial measures.</w:t>
      </w:r>
    </w:p>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color w:val="auto"/>
        </w:rPr>
        <w:t>Examples of non-cash or other items may include, but are not limited to, non-cash deferred revenue adjustments arising from acquisitions; non-cash intangible asset amortization expense associated with acquisitions; non-cash impairment charges; restructuring costs; severance costs; net charges associated with debt financing activities; merger and integration costs; gains or losses from the sale of businesses or investments;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60"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225" w:right="359" w:bottom="1440" w:gutter="0" w:footer="0" w:header="0"/>
        </w:sectPr>
      </w:pPr>
    </w:p>
    <w:bookmarkStart w:id="7" w:name="page8"/>
    <w:bookmarkEnd w:id="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80"/>
        <w:spacing w:after="0" w:line="269" w:lineRule="auto"/>
        <w:rPr>
          <w:sz w:val="20"/>
          <w:szCs w:val="20"/>
          <w:color w:val="auto"/>
        </w:rPr>
      </w:pPr>
      <w:r>
        <w:rPr>
          <w:rFonts w:ascii="Arial" w:cs="Arial" w:eastAsia="Arial" w:hAnsi="Arial"/>
          <w:sz w:val="20"/>
          <w:szCs w:val="20"/>
          <w:color w:val="auto"/>
        </w:rPr>
        <w:t>Management believes internal revenue growth, also referred to as organic revenue growth, is useful because it presents adjusted revenue growth including deferred revenue purchase accounting adjustments and excluding the impact of foreign currency fluctuations, acquisitions, dispositions and the company's Output Solutions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54" w:lineRule="exact"/>
        <w:rPr>
          <w:sz w:val="20"/>
          <w:szCs w:val="20"/>
          <w:color w:val="auto"/>
        </w:rPr>
      </w:pPr>
    </w:p>
    <w:p>
      <w:pPr>
        <w:ind w:right="340"/>
        <w:spacing w:after="0" w:line="270" w:lineRule="auto"/>
        <w:rPr>
          <w:sz w:val="20"/>
          <w:szCs w:val="20"/>
          <w:color w:val="auto"/>
        </w:rPr>
      </w:pPr>
      <w:r>
        <w:rPr>
          <w:rFonts w:ascii="Arial" w:cs="Arial" w:eastAsia="Arial" w:hAnsi="Arial"/>
          <w:sz w:val="20"/>
          <w:szCs w:val="20"/>
          <w:color w:val="auto"/>
        </w:rPr>
        <w:t>These unaudited non-GAAP measures may not be comparable to similarly titled measures reported by other companies and should be considered in addition to, and not as a substitute for, revenue, operating income, operating margin, net income attributable to Fiserv, earnings per share and net cash provided by operating activities or any other amount determined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1" w:lineRule="exact"/>
        <w:rPr>
          <w:sz w:val="20"/>
          <w:szCs w:val="20"/>
          <w:color w:val="auto"/>
        </w:rPr>
      </w:pPr>
    </w:p>
    <w:p>
      <w:pPr>
        <w:ind w:right="260"/>
        <w:spacing w:after="0" w:line="258"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internal revenue growth, adjusted earnings per share, adjusted earnings per share growth and other statements regarding our future financial performance.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9"/>
          <w:szCs w:val="19"/>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many of which are, and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the company; the impact of the COVID-19 pandemic on the company's employees, clients, vendors, supply chain, operations and sales; the possibility that the company may be unable to achieve expected synergies and operating efficiencies from the acquisition of First Data within the expected time frames or that the integration of First Data may be more difficult, time-consuming or costly than expected;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successful management of the company's merchant alliance program which involves several alliances not under its sole control; the impact of a security breach or operational failure on the company's business including disruptions caused by other participants in the global financial system; the failure of the company's vendors and merchants to satisfy their obligations; the successful management of credit and fraud risks in the company's business and merchant alliances; changes in local, regional, national and international economic or political conditions and the impact they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25" w:right="359" w:bottom="1440" w:gutter="0" w:footer="0" w:header="0"/>
        </w:sectPr>
      </w:pPr>
    </w:p>
    <w:bookmarkStart w:id="8" w:name="page9"/>
    <w:bookmarkEnd w:id="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on the company and its customers;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strategic initiatives; the company's ability to attract and retain key personnel; volatility and disruptions in financial markets that may impact the company's ability to access preferred sources of financing and the terms on which the company is able to obtain financing or increase its costs of borrowing; adverse impacts from currency exchange rates or currency controls; changes in corporate tax and interest rates; and other factors included in “Risk Factors” in the company's Annual Report on Form 10-K for the year ended December 31, 2020, and in other documents that the company files with the Securities and Exchange Commission,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00"/>
          </w:cols>
          <w:pgMar w:left="320" w:top="1225" w:right="379" w:bottom="1440" w:gutter="0" w:footer="0" w:header="0"/>
        </w:sectPr>
      </w:pPr>
    </w:p>
    <w:bookmarkStart w:id="9" w:name="page10"/>
    <w:bookmarkEnd w:id="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2"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(In millions, except per share amounts, 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43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5"/>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6"/>
                <w:szCs w:val="16"/>
                <w:color w:val="auto"/>
              </w:rPr>
            </w:pPr>
          </w:p>
        </w:tc>
        <w:tc>
          <w:tcPr>
            <w:tcW w:w="2180" w:type="dxa"/>
            <w:vAlign w:val="bottom"/>
            <w:gridSpan w:val="4"/>
          </w:tcPr>
          <w:p>
            <w:pPr>
              <w:jc w:val="right"/>
              <w:ind w:right="61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3,407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9,822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3,153</w:t>
            </w: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9,118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4"/>
        </w:trPr>
        <w:tc>
          <w:tcPr>
            <w:tcW w:w="62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11,969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w:t>
            </w:r>
          </w:p>
        </w:tc>
        <w:tc>
          <w:tcPr>
            <w:tcW w:w="0" w:type="dxa"/>
            <w:vAlign w:val="bottom"/>
          </w:tcPr>
          <w:p>
            <w:pPr>
              <w:spacing w:after="0"/>
              <w:rPr>
                <w:sz w:val="1"/>
                <w:szCs w:val="1"/>
                <w:color w:val="auto"/>
              </w:rPr>
            </w:pPr>
          </w:p>
        </w:tc>
      </w:tr>
      <w:tr>
        <w:trPr>
          <w:trHeight w:val="353"/>
        </w:trPr>
        <w:tc>
          <w:tcPr>
            <w:tcW w:w="62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Cost of product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4,289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Gain on sale of businesses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0" w:type="dxa"/>
            <w:vAlign w:val="bottom"/>
          </w:tcPr>
          <w:p>
            <w:pPr>
              <w:spacing w:after="0"/>
              <w:rPr>
                <w:sz w:val="1"/>
                <w:szCs w:val="1"/>
                <w:color w:val="auto"/>
              </w:rPr>
            </w:pPr>
          </w:p>
        </w:tc>
      </w:tr>
      <w:tr>
        <w:trPr>
          <w:trHeight w:val="353"/>
        </w:trPr>
        <w:tc>
          <w:tcPr>
            <w:tcW w:w="62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1,755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Other income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10"/>
        </w:trPr>
        <w:tc>
          <w:tcPr>
            <w:tcW w:w="622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from investments in unconsolidated</w:t>
            </w:r>
          </w:p>
        </w:tc>
        <w:tc>
          <w:tcPr>
            <w:tcW w:w="2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20" w:type="dxa"/>
            <w:vAlign w:val="bottom"/>
          </w:tcPr>
          <w:p>
            <w:pPr>
              <w:spacing w:after="0"/>
              <w:rPr>
                <w:sz w:val="20"/>
                <w:szCs w:val="20"/>
                <w:color w:val="auto"/>
              </w:rPr>
            </w:pPr>
            <w:r>
              <w:rPr>
                <w:rFonts w:ascii="Arial" w:cs="Arial" w:eastAsia="Arial" w:hAnsi="Arial"/>
                <w:sz w:val="16"/>
                <w:szCs w:val="16"/>
                <w:b w:val="1"/>
                <w:bCs w:val="1"/>
                <w:color w:val="auto"/>
              </w:rPr>
              <w:t>affiliates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6220" w:type="dxa"/>
            <w:vAlign w:val="bottom"/>
          </w:tcPr>
          <w:p>
            <w:pPr>
              <w:spacing w:after="0"/>
              <w:rPr>
                <w:sz w:val="20"/>
                <w:szCs w:val="20"/>
                <w:color w:val="auto"/>
              </w:rPr>
            </w:pPr>
            <w:r>
              <w:rPr>
                <w:rFonts w:ascii="Arial" w:cs="Arial" w:eastAsia="Arial" w:hAnsi="Arial"/>
                <w:sz w:val="16"/>
                <w:szCs w:val="16"/>
                <w:color w:val="auto"/>
              </w:rPr>
              <w:t>Income from investments in unconsolidated affiliates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55"/>
        </w:trPr>
        <w:tc>
          <w:tcPr>
            <w:tcW w:w="622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9"/>
        </w:trPr>
        <w:tc>
          <w:tcPr>
            <w:tcW w:w="622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61"/>
        </w:trPr>
        <w:tc>
          <w:tcPr>
            <w:tcW w:w="622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622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0.64</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378"/>
        </w:trPr>
        <w:tc>
          <w:tcPr>
            <w:tcW w:w="622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669.7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680.3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25" w:right="339" w:bottom="1440" w:gutter="0" w:footer="0" w:header="0"/>
        </w:sectPr>
      </w:pPr>
    </w:p>
    <w:bookmarkStart w:id="10" w:name="page11"/>
    <w:bookmarkEnd w:id="10"/>
    <w:p>
      <w:pPr>
        <w:ind w:left="1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5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(In millions, except per share amounts, unaudited)</w:t>
      </w:r>
    </w:p>
    <w:p>
      <w:pPr>
        <w:sectPr>
          <w:pgSz w:w="11900" w:h="16838" w:orient="portrait"/>
          <w:cols w:equalWidth="0" w:num="1">
            <w:col w:w="11100"/>
          </w:cols>
          <w:pgMar w:left="220" w:top="1225"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AAP net income attributable to Fiserv</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justments: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p>
      <w:pPr>
        <w:ind w:left="60"/>
        <w:spacing w:after="0" w:line="212" w:lineRule="auto"/>
        <w:rPr>
          <w:sz w:val="20"/>
          <w:szCs w:val="20"/>
          <w:color w:val="auto"/>
        </w:rPr>
      </w:pPr>
      <w:r>
        <w:rPr>
          <w:rFonts w:ascii="Arial" w:cs="Arial" w:eastAsia="Arial" w:hAnsi="Arial"/>
          <w:sz w:val="16"/>
          <w:szCs w:val="16"/>
          <w:color w:val="auto"/>
        </w:rPr>
        <w:t xml:space="preserve">everance costs </w:t>
      </w:r>
      <w:r>
        <w:rPr>
          <w:rFonts w:ascii="Arial" w:cs="Arial" w:eastAsia="Arial" w:hAnsi="Arial"/>
          <w:sz w:val="21"/>
          <w:szCs w:val="21"/>
          <w:color w:val="auto"/>
          <w:vertAlign w:val="superscript"/>
        </w:rPr>
        <w:t>2</w:t>
      </w:r>
    </w:p>
    <w:p>
      <w:pPr>
        <w:ind w:right="1440" w:firstLine="52"/>
        <w:spacing w:after="0" w:line="215" w:lineRule="auto"/>
        <w:rPr>
          <w:sz w:val="20"/>
          <w:szCs w:val="20"/>
          <w:color w:val="auto"/>
        </w:rPr>
      </w:pPr>
      <w:r>
        <w:rPr>
          <w:rFonts w:ascii="Arial" w:cs="Arial" w:eastAsia="Arial" w:hAnsi="Arial"/>
          <w:sz w:val="16"/>
          <w:szCs w:val="16"/>
          <w:color w:val="auto"/>
        </w:rPr>
        <w:t xml:space="preserve">mortization of acquisition-related intangible assets </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Non wholly-owned entity activities </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ax impact of adjustments </w:t>
      </w:r>
      <w:r>
        <w:rPr>
          <w:rFonts w:ascii="Arial" w:cs="Arial" w:eastAsia="Arial" w:hAnsi="Arial"/>
          <w:sz w:val="21"/>
          <w:szCs w:val="21"/>
          <w:color w:val="auto"/>
          <w:vertAlign w:val="superscript"/>
        </w:rPr>
        <w:t>5</w:t>
      </w:r>
    </w:p>
    <w:p>
      <w:pPr>
        <w:spacing w:after="0" w:line="213" w:lineRule="auto"/>
        <w:rPr>
          <w:sz w:val="20"/>
          <w:szCs w:val="20"/>
          <w:color w:val="auto"/>
        </w:rPr>
      </w:pPr>
      <w:r>
        <w:rPr>
          <w:rFonts w:ascii="Arial" w:cs="Arial" w:eastAsia="Arial" w:hAnsi="Arial"/>
          <w:sz w:val="16"/>
          <w:szCs w:val="16"/>
          <w:color w:val="auto"/>
        </w:rPr>
        <w:t xml:space="preserve">Gain on sale of businesses </w:t>
      </w:r>
      <w:r>
        <w:rPr>
          <w:rFonts w:ascii="Arial" w:cs="Arial" w:eastAsia="Arial" w:hAnsi="Arial"/>
          <w:sz w:val="21"/>
          <w:szCs w:val="21"/>
          <w:color w:val="auto"/>
          <w:vertAlign w:val="superscript"/>
        </w:rPr>
        <w:t>6</w:t>
      </w:r>
    </w:p>
    <w:p>
      <w:pPr>
        <w:spacing w:after="0" w:line="1" w:lineRule="exact"/>
        <w:rPr>
          <w:sz w:val="20"/>
          <w:szCs w:val="20"/>
          <w:color w:val="auto"/>
        </w:rPr>
      </w:pPr>
    </w:p>
    <w:p>
      <w:pPr>
        <w:ind w:right="2200" w:firstLine="25"/>
        <w:spacing w:after="0" w:line="236" w:lineRule="auto"/>
        <w:rPr>
          <w:sz w:val="20"/>
          <w:szCs w:val="20"/>
          <w:color w:val="auto"/>
        </w:rPr>
      </w:pPr>
      <w:r>
        <w:rPr>
          <w:rFonts w:ascii="Arial" w:cs="Arial" w:eastAsia="Arial" w:hAnsi="Arial"/>
          <w:sz w:val="16"/>
          <w:szCs w:val="16"/>
          <w:color w:val="auto"/>
        </w:rPr>
        <w:t xml:space="preserve">ax impact of gain on sale of businesses </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Discrete tax items </w:t>
      </w:r>
      <w:r>
        <w:rPr>
          <w:rFonts w:ascii="Arial" w:cs="Arial" w:eastAsia="Arial" w:hAnsi="Arial"/>
          <w:sz w:val="21"/>
          <w:szCs w:val="21"/>
          <w:color w:val="auto"/>
          <w:vertAlign w:val="superscript"/>
        </w:rPr>
        <w:t>7</w:t>
      </w:r>
    </w:p>
    <w:p>
      <w:pPr>
        <w:ind w:left="40"/>
        <w:spacing w:after="0"/>
        <w:rPr>
          <w:sz w:val="20"/>
          <w:szCs w:val="20"/>
          <w:color w:val="auto"/>
        </w:rPr>
      </w:pPr>
      <w:r>
        <w:rPr>
          <w:rFonts w:ascii="Arial" w:cs="Arial" w:eastAsia="Arial" w:hAnsi="Arial"/>
          <w:sz w:val="16"/>
          <w:szCs w:val="16"/>
          <w:b w:val="1"/>
          <w:bCs w:val="1"/>
          <w:color w:val="auto"/>
        </w:rPr>
        <w:t>justed net income</w:t>
      </w:r>
    </w:p>
    <w:p>
      <w:pPr>
        <w:spacing w:after="0" w:line="120" w:lineRule="exact"/>
        <w:rPr>
          <w:sz w:val="20"/>
          <w:szCs w:val="20"/>
          <w:color w:val="auto"/>
        </w:rPr>
      </w:pPr>
    </w:p>
    <w:p>
      <w:pPr>
        <w:ind w:right="1720"/>
        <w:spacing w:after="0" w:line="263" w:lineRule="auto"/>
        <w:rPr>
          <w:sz w:val="20"/>
          <w:szCs w:val="20"/>
          <w:color w:val="auto"/>
        </w:rPr>
      </w:pPr>
      <w:r>
        <w:rPr>
          <w:rFonts w:ascii="Arial" w:cs="Arial" w:eastAsia="Arial" w:hAnsi="Arial"/>
          <w:sz w:val="16"/>
          <w:szCs w:val="16"/>
          <w:b w:val="1"/>
          <w:bCs w:val="1"/>
          <w:color w:val="auto"/>
        </w:rPr>
        <w:t xml:space="preserve">AAP earnings per share attributable to Fiserv </w:t>
      </w:r>
      <w:r>
        <w:rPr>
          <w:rFonts w:ascii="Arial" w:cs="Arial" w:eastAsia="Arial" w:hAnsi="Arial"/>
          <w:sz w:val="16"/>
          <w:szCs w:val="16"/>
          <w:color w:val="auto"/>
        </w:rPr>
        <w:t xml:space="preserve">justments - net of income taxes: Merger and integration costs </w:t>
      </w:r>
      <w:r>
        <w:rPr>
          <w:rFonts w:ascii="Arial" w:cs="Arial" w:eastAsia="Arial" w:hAnsi="Arial"/>
          <w:sz w:val="21"/>
          <w:szCs w:val="21"/>
          <w:color w:val="auto"/>
          <w:vertAlign w:val="superscript"/>
        </w:rPr>
        <w:t>1</w:t>
      </w:r>
    </w:p>
    <w:p>
      <w:pPr>
        <w:ind w:left="60"/>
        <w:spacing w:after="0" w:line="212" w:lineRule="auto"/>
        <w:rPr>
          <w:sz w:val="20"/>
          <w:szCs w:val="20"/>
          <w:color w:val="auto"/>
        </w:rPr>
      </w:pPr>
      <w:r>
        <w:rPr>
          <w:rFonts w:ascii="Arial" w:cs="Arial" w:eastAsia="Arial" w:hAnsi="Arial"/>
          <w:sz w:val="16"/>
          <w:szCs w:val="16"/>
          <w:color w:val="auto"/>
        </w:rPr>
        <w:t xml:space="preserve">everance costs </w:t>
      </w:r>
      <w:r>
        <w:rPr>
          <w:rFonts w:ascii="Arial" w:cs="Arial" w:eastAsia="Arial" w:hAnsi="Arial"/>
          <w:sz w:val="21"/>
          <w:szCs w:val="21"/>
          <w:color w:val="auto"/>
          <w:vertAlign w:val="superscript"/>
        </w:rPr>
        <w:t>2</w:t>
      </w:r>
    </w:p>
    <w:p>
      <w:pPr>
        <w:ind w:right="1440" w:firstLine="52"/>
        <w:spacing w:after="0" w:line="215" w:lineRule="auto"/>
        <w:rPr>
          <w:sz w:val="20"/>
          <w:szCs w:val="20"/>
          <w:color w:val="auto"/>
        </w:rPr>
      </w:pPr>
      <w:r>
        <w:rPr>
          <w:rFonts w:ascii="Arial" w:cs="Arial" w:eastAsia="Arial" w:hAnsi="Arial"/>
          <w:sz w:val="16"/>
          <w:szCs w:val="16"/>
          <w:color w:val="auto"/>
        </w:rPr>
        <w:t xml:space="preserve">mortization of acquisition-related intangible assets </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Non wholly-owned entity activities </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Gain on sale of businesses </w:t>
      </w:r>
      <w:r>
        <w:rPr>
          <w:rFonts w:ascii="Arial" w:cs="Arial" w:eastAsia="Arial" w:hAnsi="Arial"/>
          <w:sz w:val="21"/>
          <w:szCs w:val="21"/>
          <w:color w:val="auto"/>
          <w:vertAlign w:val="superscript"/>
        </w:rPr>
        <w:t>6</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7</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justed earnings per share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6"/>
                <w:szCs w:val="16"/>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6"/>
                <w:szCs w:val="16"/>
                <w:color w:val="auto"/>
              </w:rPr>
              <w:t>Nine Months Ended</w:t>
            </w:r>
          </w:p>
        </w:tc>
        <w:tc>
          <w:tcPr>
            <w:tcW w:w="520" w:type="dxa"/>
            <w:vAlign w:val="bottom"/>
          </w:tcPr>
          <w:p>
            <w:pPr>
              <w:spacing w:after="0"/>
              <w:rPr>
                <w:sz w:val="16"/>
                <w:szCs w:val="16"/>
                <w:color w:val="auto"/>
              </w:rPr>
            </w:pPr>
          </w:p>
        </w:tc>
      </w:tr>
      <w:tr>
        <w:trPr>
          <w:trHeight w:val="195"/>
        </w:trPr>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September 30,</w:t>
            </w:r>
          </w:p>
        </w:tc>
        <w:tc>
          <w:tcPr>
            <w:tcW w:w="520" w:type="dxa"/>
            <w:vAlign w:val="bottom"/>
          </w:tcPr>
          <w:p>
            <w:pPr>
              <w:spacing w:after="0"/>
              <w:rPr>
                <w:sz w:val="16"/>
                <w:szCs w:val="16"/>
                <w:color w:val="auto"/>
              </w:rPr>
            </w:pPr>
          </w:p>
        </w:tc>
      </w:tr>
      <w:tr>
        <w:trPr>
          <w:trHeight w:val="219"/>
        </w:trPr>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2020</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gridSpan w:val="3"/>
          </w:tcPr>
          <w:p>
            <w:pPr>
              <w:jc w:val="right"/>
              <w:ind w:righ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9"/>
                <w:szCs w:val="19"/>
                <w:color w:val="auto"/>
              </w:rPr>
            </w:pPr>
          </w:p>
        </w:tc>
      </w:tr>
      <w:tr>
        <w:trPr>
          <w:trHeight w:val="409"/>
        </w:trPr>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1,001</w:t>
            </w:r>
            <w:r>
              <w:rPr>
                <w:rFonts w:ascii="Arial" w:cs="Arial" w:eastAsia="Arial" w:hAnsi="Arial"/>
                <w:sz w:val="16"/>
                <w:szCs w:val="16"/>
                <w:color w:val="auto"/>
                <w:w w:val="85"/>
              </w:rPr>
              <w:t>$</w:t>
            </w: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432"/>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490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1,509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1,523</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(476)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987</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2,705</w:t>
            </w:r>
            <w:r>
              <w:rPr>
                <w:rFonts w:ascii="Arial" w:cs="Arial" w:eastAsia="Arial" w:hAnsi="Arial"/>
                <w:sz w:val="16"/>
                <w:szCs w:val="16"/>
                <w:color w:val="auto"/>
                <w:w w:val="85"/>
              </w:rPr>
              <w:t>$</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w:t>
            </w:r>
          </w:p>
        </w:tc>
      </w:tr>
      <w:tr>
        <w:trPr>
          <w:trHeight w:val="21"/>
        </w:trPr>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84"/>
        </w:trPr>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0.64</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0.39</w:t>
            </w: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1.49</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0.96</w:t>
            </w:r>
          </w:p>
        </w:tc>
      </w:tr>
      <w:tr>
        <w:trPr>
          <w:trHeight w:val="432"/>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0.24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0.55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0.73</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0.56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16"/>
        </w:trPr>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16"/>
        </w:trPr>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(0.04)</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0.16</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15"/>
        </w:trPr>
        <w:tc>
          <w:tcPr>
            <w:tcW w:w="300" w:type="dxa"/>
            <w:vAlign w:val="bottom"/>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r>
      <w:tr>
        <w:trPr>
          <w:trHeight w:val="21"/>
        </w:trPr>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60" w:space="720"/>
            <w:col w:w="5220"/>
          </w:cols>
          <w:pgMar w:left="220" w:top="1225" w:right="579" w:bottom="1440" w:gutter="0" w:footer="0" w:header="0"/>
          <w:type w:val="continuous"/>
        </w:sectPr>
      </w:pPr>
    </w:p>
    <w:p>
      <w:pPr>
        <w:spacing w:after="0" w:line="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75" w:lineRule="exact"/>
        <w:rPr>
          <w:sz w:val="20"/>
          <w:szCs w:val="20"/>
          <w:color w:val="auto"/>
        </w:rPr>
      </w:pPr>
    </w:p>
    <w:p>
      <w:pPr>
        <w:ind w:left="440" w:hanging="332"/>
        <w:spacing w:after="0"/>
        <w:tabs>
          <w:tab w:leader="none" w:pos="438"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Represents acquisition and related integration costs incurred in connection with various acquisitions, primarily related to the First Data acquisition. First Data integration costs in the third quarter and first nine months of 2021 primarily include $95 million and $210 million, respectively, of third party professional service fees associated with integration activities; $13 million and $41 million, respectively, of incremental share-based compensation, including the fair value of stock awards assumed by Fiserv; and $60 million and $153 million, respectively, of other integration-related compensation costs. First Data integration costs in the third quarter and first nine months of 2020 primarily include $51 million and $154 million, respectively, of third party professional services fees associated with integration activities; $34 million and $126 million, respectively, of incremental share-based compensation, including the fair value of stock awards assumed by Fiserv; $27 million and $105 million, respectively, of other integration-related compensation costs; $35 million and $115 million, respectively, of accelerated depreciation and amortization associated with the termination of certain vendor contracts; and $4 million and $44 million, respectively, of non-cash impairment charges associated with the early exit of certain leased facilities. The company expects to complete the integration activities associated with the achievement of cost synergies related to the First Data acquisition by the end of 2021.</w:t>
      </w:r>
    </w:p>
    <w:p>
      <w:pPr>
        <w:spacing w:after="0" w:line="175" w:lineRule="exact"/>
        <w:rPr>
          <w:sz w:val="20"/>
          <w:szCs w:val="20"/>
          <w:color w:val="auto"/>
        </w:rPr>
      </w:pPr>
    </w:p>
    <w:p>
      <w:pPr>
        <w:ind w:left="420" w:hanging="312"/>
        <w:spacing w:after="0"/>
        <w:tabs>
          <w:tab w:leader="none" w:pos="4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severance costs associated with the achievement of expense management initiatives, primarily related to the First Data acquisition.</w:t>
      </w:r>
    </w:p>
    <w:p>
      <w:pPr>
        <w:spacing w:after="0" w:line="98" w:lineRule="exact"/>
        <w:rPr>
          <w:sz w:val="20"/>
          <w:szCs w:val="20"/>
          <w:color w:val="auto"/>
        </w:rPr>
      </w:pPr>
    </w:p>
    <w:p>
      <w:pPr>
        <w:ind w:left="440" w:right="320" w:hanging="332"/>
        <w:spacing w:after="0" w:line="220" w:lineRule="auto"/>
        <w:tabs>
          <w:tab w:leader="none" w:pos="438"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and financing costs and debt discounts. See additional information on page 14 for an analysis of the company's amortization expense.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00"/>
          </w:cols>
          <w:pgMar w:left="220" w:top="1225" w:right="579" w:bottom="1440" w:gutter="0" w:footer="0" w:header="0"/>
          <w:type w:val="continuous"/>
        </w:sectPr>
      </w:pPr>
    </w:p>
    <w:bookmarkStart w:id="11" w:name="page12"/>
    <w:bookmarkEnd w:id="11"/>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2" w:hanging="332"/>
        <w:spacing w:after="0"/>
        <w:tabs>
          <w:tab w:leader="none" w:pos="33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 This adjustment during the third quarter and first nine months of 2021 also includes net gains totaling $2 million and $75 million, respectively, related to the fair value remeasurement and sale of certain equity investments.</w:t>
      </w:r>
    </w:p>
    <w:p>
      <w:pPr>
        <w:spacing w:after="0" w:line="216" w:lineRule="exact"/>
        <w:rPr>
          <w:sz w:val="20"/>
          <w:szCs w:val="20"/>
          <w:color w:val="auto"/>
        </w:rPr>
      </w:pPr>
    </w:p>
    <w:p>
      <w:pPr>
        <w:ind w:left="332" w:right="40" w:hanging="332"/>
        <w:spacing w:after="0" w:line="211" w:lineRule="auto"/>
        <w:tabs>
          <w:tab w:leader="none" w:pos="33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tax impact of adjustments is calculated using a tax rate of 23%, which approximates the company's anticipated annual effective tax rate, exclusive of the actual tax impacts associated with the gain on the sale of businesses.</w:t>
      </w:r>
    </w:p>
    <w:p>
      <w:pPr>
        <w:spacing w:after="0" w:line="98" w:lineRule="exact"/>
        <w:rPr>
          <w:sz w:val="20"/>
          <w:szCs w:val="20"/>
          <w:color w:val="auto"/>
        </w:rPr>
      </w:pPr>
    </w:p>
    <w:p>
      <w:pPr>
        <w:ind w:left="332" w:right="480" w:hanging="332"/>
        <w:spacing w:after="0" w:line="211" w:lineRule="auto"/>
        <w:tabs>
          <w:tab w:leader="none" w:pos="33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the gain associated with the sale of a 60% interest in the Investment Services business in February 2020 and the dissolution of the Banc of America Merchant Services joint venture in July 2020.</w:t>
      </w:r>
    </w:p>
    <w:p>
      <w:pPr>
        <w:spacing w:after="0" w:line="98" w:lineRule="exact"/>
        <w:rPr>
          <w:sz w:val="20"/>
          <w:szCs w:val="20"/>
          <w:color w:val="auto"/>
        </w:rPr>
      </w:pPr>
    </w:p>
    <w:p>
      <w:pPr>
        <w:ind w:left="332" w:right="140" w:hanging="332"/>
        <w:spacing w:after="0" w:line="211" w:lineRule="auto"/>
        <w:tabs>
          <w:tab w:leader="none" w:pos="33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certain discrete tax items, such as foreign derived intangible income tax benefits from a subsidiary restructuring and the revaluation of deferred taxes due to a change in the respective statutory tax rates in the United Kingdom and Argentina.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7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72"/>
          </w:cols>
          <w:pgMar w:left="328" w:top="1225" w:right="599" w:bottom="1440" w:gutter="0" w:footer="0" w:header="0"/>
        </w:sectPr>
      </w:pPr>
    </w:p>
    <w:bookmarkStart w:id="12" w:name="page13"/>
    <w:bookmarkEnd w:id="12"/>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1040"/>
          </w:cols>
          <w:pgMar w:left="380" w:top="12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Financial Results by Segment</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 millions, unaudited)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2400" w:type="dxa"/>
            <w:vAlign w:val="bottom"/>
            <w:gridSpan w:val="4"/>
          </w:tcPr>
          <w:p>
            <w:pPr>
              <w:jc w:val="right"/>
              <w:ind w:right="55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6"/>
                <w:szCs w:val="16"/>
                <w:color w:val="auto"/>
              </w:rPr>
            </w:pPr>
          </w:p>
        </w:tc>
        <w:tc>
          <w:tcPr>
            <w:tcW w:w="2400" w:type="dxa"/>
            <w:vAlign w:val="bottom"/>
            <w:gridSpan w:val="4"/>
          </w:tcPr>
          <w:p>
            <w:pPr>
              <w:jc w:val="right"/>
              <w:ind w:right="7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b w:val="1"/>
                <w:bCs w:val="1"/>
                <w:color w:val="auto"/>
              </w:rPr>
              <w:t>Total Company</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4,163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11,969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3,786</w:t>
            </w: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11,020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2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(616)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2"/>
        </w:trPr>
        <w:tc>
          <w:tcPr>
            <w:tcW w:w="550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Adjusted revenue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3,962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11,374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10,288</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636</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1,755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479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1,509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7"/>
        </w:trPr>
        <w:tc>
          <w:tcPr>
            <w:tcW w:w="550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8"/>
        </w:trPr>
        <w:tc>
          <w:tcPr>
            <w:tcW w:w="5500" w:type="dxa"/>
            <w:vAlign w:val="bottom"/>
          </w:tcPr>
          <w:p>
            <w:pPr>
              <w:ind w:left="120"/>
              <w:spacing w:after="0"/>
              <w:rPr>
                <w:sz w:val="20"/>
                <w:szCs w:val="20"/>
                <w:color w:val="auto"/>
              </w:rPr>
            </w:pPr>
            <w:r>
              <w:rPr>
                <w:rFonts w:ascii="Arial" w:cs="Arial" w:eastAsia="Arial" w:hAnsi="Arial"/>
                <w:sz w:val="16"/>
                <w:szCs w:val="16"/>
                <w:color w:val="auto"/>
              </w:rPr>
              <w:t>Gain on sale of businesses</w:t>
            </w: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1,356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1,181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3,781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500" w:type="dxa"/>
            <w:vAlign w:val="bottom"/>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15.3 %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14.7 %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29.9 %</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6"/>
                <w:szCs w:val="16"/>
                <w:b w:val="1"/>
                <w:bCs w:val="1"/>
                <w:color w:val="auto"/>
              </w:rPr>
              <w:t>Merchant Acceptance ("Acceptance")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1,716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4,779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4,078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2"/>
        </w:trPr>
        <w:tc>
          <w:tcPr>
            <w:tcW w:w="550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revenue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1,716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4,779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3,958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552</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1,463</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2"/>
        </w:trPr>
        <w:tc>
          <w:tcPr>
            <w:tcW w:w="550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552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1,463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32.2 %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30.6 %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24.1 %</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325"/>
        </w:trPr>
        <w:tc>
          <w:tcPr>
            <w:tcW w:w="5500" w:type="dxa"/>
            <w:vAlign w:val="bottom"/>
          </w:tcPr>
          <w:p>
            <w:pPr>
              <w:spacing w:after="0"/>
              <w:rPr>
                <w:sz w:val="20"/>
                <w:szCs w:val="20"/>
                <w:color w:val="auto"/>
              </w:rPr>
            </w:pPr>
            <w:r>
              <w:rPr>
                <w:rFonts w:ascii="Arial" w:cs="Arial" w:eastAsia="Arial" w:hAnsi="Arial"/>
                <w:sz w:val="16"/>
                <w:szCs w:val="16"/>
                <w:b w:val="1"/>
                <w:bCs w:val="1"/>
                <w:color w:val="auto"/>
              </w:rPr>
              <w:t xml:space="preserve">Financial Technology ("Fintech") </w:t>
            </w:r>
            <w:r>
              <w:rPr>
                <w:rFonts w:ascii="Arial" w:cs="Arial" w:eastAsia="Arial" w:hAnsi="Arial"/>
                <w:sz w:val="21"/>
                <w:szCs w:val="21"/>
                <w:b w:val="1"/>
                <w:bCs w:val="1"/>
                <w:color w:val="auto"/>
                <w:vertAlign w:val="superscript"/>
              </w:rPr>
              <w:t>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5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2,251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50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275</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794</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36.0 %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35.3 %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80" w:top="122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40"/>
          </w:cols>
          <w:pgMar w:left="380" w:top="1225" w:right="47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Financial Results by Segment (cont.)</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(In millions, unaudited)</w:t>
      </w:r>
    </w:p>
    <w:p>
      <w:pPr>
        <w:spacing w:after="0" w:line="22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2400" w:type="dxa"/>
            <w:vAlign w:val="bottom"/>
            <w:gridSpan w:val="4"/>
          </w:tcPr>
          <w:p>
            <w:pPr>
              <w:jc w:val="right"/>
              <w:ind w:right="55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6"/>
                <w:szCs w:val="16"/>
                <w:color w:val="auto"/>
              </w:rPr>
              <w:t>September 30,</w:t>
            </w:r>
          </w:p>
        </w:tc>
        <w:tc>
          <w:tcPr>
            <w:tcW w:w="260" w:type="dxa"/>
            <w:vAlign w:val="bottom"/>
          </w:tcPr>
          <w:p>
            <w:pPr>
              <w:spacing w:after="0"/>
              <w:rPr>
                <w:sz w:val="16"/>
                <w:szCs w:val="16"/>
                <w:color w:val="auto"/>
              </w:rPr>
            </w:pPr>
          </w:p>
        </w:tc>
        <w:tc>
          <w:tcPr>
            <w:tcW w:w="2400" w:type="dxa"/>
            <w:vAlign w:val="bottom"/>
            <w:gridSpan w:val="4"/>
          </w:tcPr>
          <w:p>
            <w:pPr>
              <w:jc w:val="right"/>
              <w:ind w:right="7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6"/>
                <w:szCs w:val="16"/>
                <w:b w:val="1"/>
                <w:bCs w:val="1"/>
                <w:color w:val="auto"/>
              </w:rPr>
              <w:t>Payments and Network ("Payments")</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1,471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4,297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1,387</w:t>
            </w: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20"/>
                <w:szCs w:val="20"/>
                <w:color w:val="auto"/>
              </w:rPr>
            </w:pPr>
            <w:r>
              <w:rPr>
                <w:rFonts w:ascii="Arial" w:cs="Arial" w:eastAsia="Arial" w:hAnsi="Arial"/>
                <w:sz w:val="16"/>
                <w:szCs w:val="16"/>
                <w:color w:val="auto"/>
              </w:rPr>
              <w:t>Adjusted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1,479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4,318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50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643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1,850</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650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1,871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0"/>
                <w:szCs w:val="20"/>
                <w:color w:val="auto"/>
              </w:rPr>
            </w:pPr>
            <w:r>
              <w:rPr>
                <w:rFonts w:ascii="Arial" w:cs="Arial" w:eastAsia="Arial" w:hAnsi="Arial"/>
                <w:sz w:val="16"/>
                <w:szCs w:val="16"/>
                <w:color w:val="auto"/>
              </w:rPr>
              <w:t>Operating margin</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43.7 %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43.2 %</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43.1 %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41.8 %</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42.3 %</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215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642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0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Adjusted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500" w:type="dxa"/>
            <w:vAlign w:val="bottom"/>
          </w:tcPr>
          <w:p>
            <w:pPr>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(834)</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(2,352)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458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1,509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9"/>
        </w:trPr>
        <w:tc>
          <w:tcPr>
            <w:tcW w:w="5500" w:type="dxa"/>
            <w:vAlign w:val="bottom"/>
          </w:tcPr>
          <w:p>
            <w:pPr>
              <w:ind w:left="120"/>
              <w:spacing w:after="0"/>
              <w:rPr>
                <w:sz w:val="20"/>
                <w:szCs w:val="20"/>
                <w:color w:val="auto"/>
              </w:rPr>
            </w:pPr>
            <w:r>
              <w:rPr>
                <w:rFonts w:ascii="Arial" w:cs="Arial" w:eastAsia="Arial" w:hAnsi="Arial"/>
                <w:sz w:val="16"/>
                <w:szCs w:val="16"/>
                <w:color w:val="auto"/>
              </w:rPr>
              <w:t>Gain on sale of businesses</w:t>
            </w: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(121)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170" w:lineRule="exact"/>
        <w:rPr>
          <w:sz w:val="20"/>
          <w:szCs w:val="20"/>
          <w:color w:val="auto"/>
        </w:rPr>
      </w:pPr>
    </w:p>
    <w:p>
      <w:pPr>
        <w:ind w:left="340" w:right="160" w:hanging="332"/>
        <w:spacing w:after="0" w:line="244" w:lineRule="auto"/>
        <w:tabs>
          <w:tab w:leader="none" w:pos="338"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an adjustment primarily related to the company's joint venture with Bank of America. The Banc of America Merchant Services joint venture (BAMS) was dissolved effective July 1, 2020. The company owned 51% of BAMS and, through June 30, 2020, BAMS' financial results were 100% consolidated into the company's financial statements for GAAP reporting purposes. In connection with the dissolution of the joint venture, the company received a 51% share of the joint venture's value via an agreed upon contractual separation. In addition, the company will continue providing merchant processing and related services to Bank of America for its merchant clients. This non-GAAP adjustment reduces adjusted revenue and adjusted operating income by the joint venture revenue and expense that was not expected to be retained by the company upon dissolution and is partially offset by an increase to processing and services revenue.</w:t>
      </w:r>
    </w:p>
    <w:p>
      <w:pPr>
        <w:spacing w:after="0" w:line="98" w:lineRule="exact"/>
        <w:rPr>
          <w:sz w:val="20"/>
          <w:szCs w:val="20"/>
          <w:color w:val="auto"/>
        </w:rPr>
      </w:pPr>
    </w:p>
    <w:p>
      <w:pPr>
        <w:ind w:left="340" w:right="400" w:hanging="332"/>
        <w:spacing w:after="0" w:line="258" w:lineRule="auto"/>
        <w:tabs>
          <w:tab w:leader="none" w:pos="338"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all periods presented in the Fintech segment,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00"/>
          </w:cols>
          <w:pgMar w:left="320" w:top="1225" w:right="479" w:bottom="1440" w:gutter="0" w:footer="0" w:header="0"/>
        </w:sectPr>
      </w:pPr>
    </w:p>
    <w:bookmarkStart w:id="14" w:name="page15"/>
    <w:bookmarkEnd w:id="14"/>
    <w:p>
      <w:pPr>
        <w:ind w:left="1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jc w:val="center"/>
              <w:ind w:left="3228"/>
              <w:spacing w:after="0"/>
              <w:rPr>
                <w:sz w:val="20"/>
                <w:szCs w:val="20"/>
                <w:color w:val="auto"/>
              </w:rPr>
            </w:pPr>
            <w:r>
              <w:rPr>
                <w:rFonts w:ascii="Arial" w:cs="Arial" w:eastAsia="Arial" w:hAnsi="Arial"/>
                <w:sz w:val="14"/>
                <w:szCs w:val="14"/>
                <w:b w:val="1"/>
                <w:bCs w:val="1"/>
                <w:color w:val="auto"/>
              </w:rPr>
              <w:t>Fiserv, Inc.</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60" w:type="dxa"/>
            <w:vAlign w:val="bottom"/>
          </w:tcPr>
          <w:p>
            <w:pPr>
              <w:jc w:val="center"/>
              <w:ind w:left="320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jc w:val="center"/>
              <w:ind w:left="3208"/>
              <w:spacing w:after="0"/>
              <w:rPr>
                <w:sz w:val="20"/>
                <w:szCs w:val="20"/>
                <w:color w:val="auto"/>
              </w:rPr>
            </w:pPr>
            <w:r>
              <w:rPr>
                <w:rFonts w:ascii="Arial" w:cs="Arial" w:eastAsia="Arial" w:hAnsi="Arial"/>
                <w:sz w:val="14"/>
                <w:szCs w:val="14"/>
                <w:color w:val="auto"/>
              </w:rPr>
              <w:t>(In millions, unaudited)</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40" w:type="dxa"/>
            <w:vAlign w:val="bottom"/>
            <w:gridSpan w:val="4"/>
          </w:tcPr>
          <w:p>
            <w:pPr>
              <w:jc w:val="right"/>
              <w:ind w:right="280"/>
              <w:spacing w:after="0" w:line="152" w:lineRule="exact"/>
              <w:rPr>
                <w:sz w:val="20"/>
                <w:szCs w:val="20"/>
                <w:color w:val="auto"/>
              </w:rPr>
            </w:pPr>
            <w:r>
              <w:rPr>
                <w:rFonts w:ascii="Arial" w:cs="Arial" w:eastAsia="Arial" w:hAnsi="Arial"/>
                <w:sz w:val="14"/>
                <w:szCs w:val="14"/>
                <w:color w:val="auto"/>
              </w:rPr>
              <w:t>Nine Months Ended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76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340"/>
              <w:spacing w:after="0"/>
              <w:rPr>
                <w:sz w:val="20"/>
                <w:szCs w:val="20"/>
                <w:color w:val="auto"/>
              </w:rPr>
            </w:pPr>
            <w:r>
              <w:rPr>
                <w:rFonts w:ascii="Arial" w:cs="Arial" w:eastAsia="Arial" w:hAnsi="Arial"/>
                <w:sz w:val="14"/>
                <w:szCs w:val="14"/>
                <w:color w:val="auto"/>
              </w:rPr>
              <w:t>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00" w:type="dxa"/>
            <w:vAlign w:val="bottom"/>
            <w:gridSpan w:val="2"/>
            <w:vMerge w:val="continue"/>
          </w:tcPr>
          <w:p>
            <w:pPr>
              <w:spacing w:after="0"/>
              <w:rPr>
                <w:sz w:val="16"/>
                <w:szCs w:val="16"/>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color w:val="auto"/>
              </w:rPr>
              <w:t>2020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1,048</w:t>
            </w: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Net income</w:t>
            </w:r>
          </w:p>
        </w:tc>
        <w:tc>
          <w:tcPr>
            <w:tcW w:w="6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60" w:type="dxa"/>
            <w:vAlign w:val="bottom"/>
          </w:tcPr>
          <w:p>
            <w:pPr>
              <w:ind w:left="160"/>
              <w:spacing w:after="0"/>
              <w:rPr>
                <w:sz w:val="20"/>
                <w:szCs w:val="20"/>
                <w:color w:val="auto"/>
              </w:rPr>
            </w:pPr>
            <w:r>
              <w:rPr>
                <w:rFonts w:ascii="Arial" w:cs="Arial" w:eastAsia="Arial" w:hAnsi="Arial"/>
                <w:sz w:val="14"/>
                <w:szCs w:val="14"/>
                <w:color w:val="auto"/>
              </w:rPr>
              <w:t>Depreciation and other amortization</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Amortization of acquisition-related intangible assets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1,554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Amortization of financing costs and debt discounts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Share-based compensation</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Gain on sale of businesses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Income from investments in unconsolidated affiliates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Distributions from unconsolidated affiliates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Non-cash impairment charges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0"/>
        </w:trPr>
        <w:tc>
          <w:tcPr>
            <w:tcW w:w="7760" w:type="dxa"/>
            <w:vAlign w:val="bottom"/>
          </w:tcPr>
          <w:p>
            <w:pPr>
              <w:ind w:left="160"/>
              <w:spacing w:after="0"/>
              <w:rPr>
                <w:sz w:val="20"/>
                <w:szCs w:val="20"/>
                <w:color w:val="auto"/>
              </w:rPr>
            </w:pPr>
            <w:r>
              <w:rPr>
                <w:rFonts w:ascii="Arial" w:cs="Arial" w:eastAsia="Arial" w:hAnsi="Arial"/>
                <w:sz w:val="14"/>
                <w:szCs w:val="14"/>
                <w:color w:val="auto"/>
              </w:rPr>
              <w:t>Other operating activities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Changes in assets and liabilities, net of effects from acquisitions and dispositions: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60" w:type="dxa"/>
            <w:vAlign w:val="bottom"/>
          </w:tcPr>
          <w:p>
            <w:pPr>
              <w:ind w:left="400"/>
              <w:spacing w:after="0"/>
              <w:rPr>
                <w:sz w:val="20"/>
                <w:szCs w:val="20"/>
                <w:color w:val="auto"/>
              </w:rPr>
            </w:pPr>
            <w:r>
              <w:rPr>
                <w:rFonts w:ascii="Arial" w:cs="Arial" w:eastAsia="Arial" w:hAnsi="Arial"/>
                <w:sz w:val="14"/>
                <w:szCs w:val="14"/>
                <w:color w:val="auto"/>
              </w:rPr>
              <w:t>Trade accounts receivable</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9"/>
        </w:trPr>
        <w:tc>
          <w:tcPr>
            <w:tcW w:w="7760" w:type="dxa"/>
            <w:vAlign w:val="bottom"/>
          </w:tcPr>
          <w:p>
            <w:pPr>
              <w:ind w:left="400"/>
              <w:spacing w:after="0"/>
              <w:rPr>
                <w:sz w:val="20"/>
                <w:szCs w:val="20"/>
                <w:color w:val="auto"/>
              </w:rPr>
            </w:pPr>
            <w:r>
              <w:rPr>
                <w:rFonts w:ascii="Arial" w:cs="Arial" w:eastAsia="Arial" w:hAnsi="Arial"/>
                <w:sz w:val="14"/>
                <w:szCs w:val="14"/>
                <w:color w:val="auto"/>
              </w:rPr>
              <w:t>Prepaid expenses and other assets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9"/>
        </w:trPr>
        <w:tc>
          <w:tcPr>
            <w:tcW w:w="7760" w:type="dxa"/>
            <w:vAlign w:val="bottom"/>
          </w:tcPr>
          <w:p>
            <w:pPr>
              <w:ind w:left="400"/>
              <w:spacing w:after="0"/>
              <w:rPr>
                <w:sz w:val="20"/>
                <w:szCs w:val="20"/>
                <w:color w:val="auto"/>
              </w:rPr>
            </w:pPr>
            <w:r>
              <w:rPr>
                <w:rFonts w:ascii="Arial" w:cs="Arial" w:eastAsia="Arial" w:hAnsi="Arial"/>
                <w:sz w:val="14"/>
                <w:szCs w:val="14"/>
                <w:color w:val="auto"/>
              </w:rPr>
              <w:t>Contract costs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9"/>
        </w:trPr>
        <w:tc>
          <w:tcPr>
            <w:tcW w:w="7760" w:type="dxa"/>
            <w:vAlign w:val="bottom"/>
          </w:tcPr>
          <w:p>
            <w:pPr>
              <w:ind w:left="400"/>
              <w:spacing w:after="0"/>
              <w:rPr>
                <w:sz w:val="20"/>
                <w:szCs w:val="20"/>
                <w:color w:val="auto"/>
              </w:rPr>
            </w:pPr>
            <w:r>
              <w:rPr>
                <w:rFonts w:ascii="Arial" w:cs="Arial" w:eastAsia="Arial" w:hAnsi="Arial"/>
                <w:sz w:val="14"/>
                <w:szCs w:val="14"/>
                <w:color w:val="auto"/>
              </w:rPr>
              <w:t>Accounts payable and other liabilities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7760" w:type="dxa"/>
            <w:vAlign w:val="bottom"/>
          </w:tcPr>
          <w:p>
            <w:pPr>
              <w:ind w:left="400"/>
              <w:spacing w:after="0"/>
              <w:rPr>
                <w:sz w:val="20"/>
                <w:szCs w:val="20"/>
                <w:color w:val="auto"/>
              </w:rPr>
            </w:pPr>
            <w:r>
              <w:rPr>
                <w:rFonts w:ascii="Arial" w:cs="Arial" w:eastAsia="Arial" w:hAnsi="Arial"/>
                <w:sz w:val="14"/>
                <w:szCs w:val="14"/>
                <w:color w:val="auto"/>
              </w:rPr>
              <w:t>Contract liabilities</w:t>
            </w:r>
          </w:p>
        </w:tc>
        <w:tc>
          <w:tcPr>
            <w:tcW w:w="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2,691</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2,961</w:t>
            </w:r>
          </w:p>
        </w:tc>
        <w:tc>
          <w:tcPr>
            <w:tcW w:w="0" w:type="dxa"/>
            <w:vAlign w:val="bottom"/>
          </w:tcPr>
          <w:p>
            <w:pPr>
              <w:spacing w:after="0"/>
              <w:rPr>
                <w:sz w:val="1"/>
                <w:szCs w:val="1"/>
                <w:color w:val="auto"/>
              </w:rPr>
            </w:pPr>
          </w:p>
        </w:tc>
      </w:tr>
      <w:tr>
        <w:trPr>
          <w:trHeight w:val="279"/>
        </w:trPr>
        <w:tc>
          <w:tcPr>
            <w:tcW w:w="776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Proceeds from sale of business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Payments for acquisition of businesses, net of cash acquired</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503</w:t>
            </w: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(965)</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79"/>
        </w:trPr>
        <w:tc>
          <w:tcPr>
            <w:tcW w:w="77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5,177</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4"/>
                <w:szCs w:val="14"/>
                <w:color w:val="auto"/>
              </w:rPr>
              <w:t>Debt proceeds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8,125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Debt repayments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(6,515)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(9,307)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Net proceeds from (repayments of) commercial paper and short-term borrowings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1,388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Payments of debt financing costs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(1,768)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89"/>
        </w:trPr>
        <w:tc>
          <w:tcPr>
            <w:tcW w:w="7760" w:type="dxa"/>
            <w:vAlign w:val="bottom"/>
          </w:tcPr>
          <w:p>
            <w:pPr>
              <w:ind w:left="160"/>
              <w:spacing w:after="0"/>
              <w:rPr>
                <w:sz w:val="20"/>
                <w:szCs w:val="20"/>
                <w:color w:val="auto"/>
              </w:rPr>
            </w:pPr>
            <w:r>
              <w:rPr>
                <w:rFonts w:ascii="Arial" w:cs="Arial" w:eastAsia="Arial" w:hAnsi="Arial"/>
                <w:sz w:val="14"/>
                <w:szCs w:val="14"/>
                <w:color w:val="auto"/>
              </w:rPr>
              <w:t>Distributions paid to noncontrolling interests and redeemable noncontrolling interests</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Payments of acquisition-related contingent consideration</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(1,692)</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color w:val="auto"/>
              </w:rPr>
              <w:t>Net change in cash, cash equivalents and restricted cash</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Cash, cash equivalents and restricted cash, beginning balance</w:t>
            </w:r>
          </w:p>
        </w:tc>
        <w:tc>
          <w:tcPr>
            <w:tcW w:w="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919</w:t>
            </w: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ending balance</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942</w:t>
            </w: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220" w:top="1225" w:right="559" w:bottom="1440" w:gutter="0" w:footer="0" w:header="0"/>
        </w:sectPr>
      </w:pPr>
    </w:p>
    <w:bookmarkStart w:id="15" w:name="page16"/>
    <w:bookmarkEnd w:id="15"/>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760"/>
          </w:cols>
          <w:pgMar w:left="380" w:top="122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(In millions, unaudited)</w:t>
      </w:r>
    </w:p>
    <w:p>
      <w:pPr>
        <w:spacing w:after="0" w:line="228"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2,793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1,455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Settlement assets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13,244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18,425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16,219</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3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1,717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10,347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11,603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3,921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36,303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36,322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Contract costs – net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782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2,602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9"/>
        </w:trPr>
        <w:tc>
          <w:tcPr>
            <w:tcW w:w="5900" w:type="dxa"/>
            <w:vAlign w:val="bottom"/>
          </w:tcPr>
          <w:p>
            <w:pPr>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12"/>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75,767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1"/>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5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3,340</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449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Contract liabilities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529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Settlement obligations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13,244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17,562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15,637</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20,540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20,300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4,113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4,389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43,183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41,290</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78"/>
        </w:trPr>
        <w:tc>
          <w:tcPr>
            <w:tcW w:w="590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3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31,596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32,330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33,070</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75,767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760"/>
          </w:cols>
          <w:pgMar w:left="380" w:top="1225" w:right="759"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 unaudited)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4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6"/>
          </w:tcPr>
          <w:p>
            <w:pPr>
              <w:jc w:val="center"/>
              <w:ind w:left="479"/>
              <w:spacing w:after="0"/>
              <w:rPr>
                <w:sz w:val="20"/>
                <w:szCs w:val="20"/>
                <w:color w:val="auto"/>
              </w:rPr>
            </w:pPr>
            <w:r>
              <w:rPr>
                <w:rFonts w:ascii="Arial" w:cs="Arial" w:eastAsia="Arial" w:hAnsi="Arial"/>
                <w:sz w:val="16"/>
                <w:szCs w:val="16"/>
                <w:color w:val="auto"/>
              </w:rPr>
              <w:t>Three Months Ended</w:t>
            </w: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6"/>
          </w:tcPr>
          <w:p>
            <w:pPr>
              <w:jc w:val="center"/>
              <w:ind w:left="539"/>
              <w:spacing w:after="0"/>
              <w:rPr>
                <w:sz w:val="20"/>
                <w:szCs w:val="20"/>
                <w:color w:val="auto"/>
              </w:rPr>
            </w:pPr>
            <w:r>
              <w:rPr>
                <w:rFonts w:ascii="Arial" w:cs="Arial" w:eastAsia="Arial" w:hAnsi="Arial"/>
                <w:sz w:val="16"/>
                <w:szCs w:val="16"/>
                <w:color w:val="auto"/>
              </w:rPr>
              <w:t>Nine Months Ended</w:t>
            </w: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ind w:left="40"/>
              <w:spacing w:after="0" w:line="230" w:lineRule="exact"/>
              <w:rPr>
                <w:sz w:val="20"/>
                <w:szCs w:val="20"/>
                <w:color w:val="auto"/>
              </w:rPr>
            </w:pPr>
            <w:r>
              <w:rPr>
                <w:rFonts w:ascii="Arial" w:cs="Arial" w:eastAsia="Arial" w:hAnsi="Arial"/>
                <w:sz w:val="16"/>
                <w:szCs w:val="16"/>
                <w:b w:val="1"/>
                <w:bCs w:val="1"/>
                <w:color w:val="auto"/>
              </w:rPr>
              <w:t xml:space="preserve">Internal Revenue Growth </w:t>
            </w:r>
            <w:r>
              <w:rPr>
                <w:rFonts w:ascii="Arial" w:cs="Arial" w:eastAsia="Arial" w:hAnsi="Arial"/>
                <w:sz w:val="21"/>
                <w:szCs w:val="21"/>
                <w:b w:val="1"/>
                <w:bCs w:val="1"/>
                <w:color w:val="auto"/>
                <w:vertAlign w:val="superscript"/>
              </w:rPr>
              <w:t>1</w:t>
            </w:r>
          </w:p>
        </w:tc>
        <w:tc>
          <w:tcPr>
            <w:tcW w:w="200" w:type="dxa"/>
            <w:vAlign w:val="bottom"/>
          </w:tcPr>
          <w:p>
            <w:pPr>
              <w:spacing w:after="0"/>
              <w:rPr>
                <w:sz w:val="19"/>
                <w:szCs w:val="19"/>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380" w:type="dxa"/>
            <w:vAlign w:val="bottom"/>
            <w:gridSpan w:val="5"/>
          </w:tcPr>
          <w:p>
            <w:pPr>
              <w:jc w:val="center"/>
              <w:ind w:right="200"/>
              <w:spacing w:after="0"/>
              <w:rPr>
                <w:sz w:val="20"/>
                <w:szCs w:val="20"/>
                <w:color w:val="auto"/>
              </w:rPr>
            </w:pPr>
            <w:r>
              <w:rPr>
                <w:rFonts w:ascii="Arial" w:cs="Arial" w:eastAsia="Arial" w:hAnsi="Arial"/>
                <w:sz w:val="16"/>
                <w:szCs w:val="16"/>
                <w:color w:val="auto"/>
              </w:rPr>
              <w:t>September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400" w:type="dxa"/>
            <w:vAlign w:val="bottom"/>
            <w:gridSpan w:val="5"/>
          </w:tcPr>
          <w:p>
            <w:pPr>
              <w:jc w:val="center"/>
              <w:ind w:right="160"/>
              <w:spacing w:after="0"/>
              <w:rPr>
                <w:sz w:val="20"/>
                <w:szCs w:val="20"/>
                <w:color w:val="auto"/>
              </w:rPr>
            </w:pPr>
            <w:r>
              <w:rPr>
                <w:rFonts w:ascii="Arial" w:cs="Arial" w:eastAsia="Arial" w:hAnsi="Arial"/>
                <w:sz w:val="16"/>
                <w:szCs w:val="16"/>
                <w:color w:val="auto"/>
              </w:rPr>
              <w:t>September 30,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Growth</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right="139"/>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33"/>
        </w:trPr>
        <w:tc>
          <w:tcPr>
            <w:tcW w:w="4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gridSpan w:val="2"/>
          </w:tcPr>
          <w:p>
            <w:pPr>
              <w:spacing w:after="0"/>
              <w:rPr>
                <w:sz w:val="20"/>
                <w:szCs w:val="20"/>
                <w:color w:val="auto"/>
              </w:rPr>
            </w:pPr>
            <w:r>
              <w:rPr>
                <w:rFonts w:ascii="Arial" w:cs="Arial" w:eastAsia="Arial" w:hAnsi="Arial"/>
                <w:sz w:val="16"/>
                <w:szCs w:val="16"/>
                <w:b w:val="1"/>
                <w:bCs w:val="1"/>
                <w:color w:val="auto"/>
              </w:rPr>
              <w:t>Total Company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3,962</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11,374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3,947</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11,058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10,001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59"/>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Acceptance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4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1,716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4,779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1,715</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4,526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59"/>
              <w:spacing w:after="0"/>
              <w:rPr>
                <w:sz w:val="20"/>
                <w:szCs w:val="20"/>
                <w:color w:val="auto"/>
              </w:rPr>
            </w:pP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Fintech</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4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761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2,251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2"/>
          </w:tcPr>
          <w:p>
            <w:pPr>
              <w:ind w:left="200"/>
              <w:spacing w:after="0" w:line="222"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760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2,242</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Payments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4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1,479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4,318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1,472</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9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4,290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4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gridSpan w:val="2"/>
          </w:tcPr>
          <w:p>
            <w:pPr>
              <w:ind w:left="200"/>
              <w:spacing w:after="0"/>
              <w:rPr>
                <w:sz w:val="20"/>
                <w:szCs w:val="20"/>
                <w:color w:val="auto"/>
              </w:rPr>
            </w:pPr>
            <w:r>
              <w:rPr>
                <w:rFonts w:ascii="Arial" w:cs="Arial" w:eastAsia="Arial" w:hAnsi="Arial"/>
                <w:sz w:val="16"/>
                <w:szCs w:val="16"/>
                <w:color w:val="auto"/>
              </w:rPr>
              <w:t>Internal revenue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See pages 3-4 for disclosures related to the use of non-GAAP financial measures.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Internal revenue growth is calculated using actual, unrounded amounts.</w:t>
      </w:r>
    </w:p>
    <w:p>
      <w:pPr>
        <w:spacing w:after="0" w:line="109" w:lineRule="exact"/>
        <w:rPr>
          <w:sz w:val="20"/>
          <w:szCs w:val="20"/>
          <w:color w:val="auto"/>
        </w:rPr>
      </w:pPr>
    </w:p>
    <w:p>
      <w:pPr>
        <w:ind w:left="340" w:right="60" w:hanging="332"/>
        <w:spacing w:after="0" w:line="247" w:lineRule="auto"/>
        <w:tabs>
          <w:tab w:leader="none" w:pos="338" w:val="left"/>
        </w:tabs>
        <w:numPr>
          <w:ilvl w:val="0"/>
          <w:numId w:val="12"/>
        </w:numPr>
        <w:rPr>
          <w:rFonts w:ascii="Arial" w:cs="Arial" w:eastAsia="Arial" w:hAnsi="Arial"/>
          <w:sz w:val="9"/>
          <w:szCs w:val="9"/>
          <w:color w:val="auto"/>
        </w:rPr>
      </w:pPr>
      <w:r>
        <w:rPr>
          <w:rFonts w:ascii="Arial" w:cs="Arial" w:eastAsia="Arial" w:hAnsi="Arial"/>
          <w:sz w:val="14"/>
          <w:szCs w:val="14"/>
          <w:color w:val="auto"/>
        </w:rPr>
        <w:t>Internal revenue growth is measured as the change in adjusted revenue (see pages 9-10) for the current period excluding the impact of foreign currency fluctuations and revenue attributable to acquisitions and dispositions, divided by adjusted revenue from the prior period excluding revenue attributable to dispositions. Revenue attributable to dispositions also includes current and prior period revenue associated with merchants retained by the company from the Banc of America Merchant Services joint venture through the one year period following the joint venture's July 1, 2020 dissolution date, and transition services revenue within Corporate and Other.</w:t>
      </w:r>
    </w:p>
    <w:p>
      <w:pPr>
        <w:spacing w:after="0" w:line="93" w:lineRule="exact"/>
        <w:rPr>
          <w:sz w:val="20"/>
          <w:szCs w:val="20"/>
          <w:color w:val="auto"/>
        </w:rPr>
      </w:pPr>
    </w:p>
    <w:p>
      <w:pPr>
        <w:ind w:left="340" w:right="100" w:hanging="332"/>
        <w:spacing w:after="0" w:line="258" w:lineRule="auto"/>
        <w:tabs>
          <w:tab w:leader="none" w:pos="338" w:val="left"/>
        </w:tabs>
        <w:numPr>
          <w:ilvl w:val="0"/>
          <w:numId w:val="13"/>
        </w:numPr>
        <w:rPr>
          <w:rFonts w:ascii="Arial" w:cs="Arial" w:eastAsia="Arial" w:hAnsi="Arial"/>
          <w:sz w:val="9"/>
          <w:szCs w:val="9"/>
          <w:color w:val="auto"/>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20" w:top="1225" w:right="359" w:bottom="1440" w:gutter="0" w:footer="0" w:header="0"/>
        </w:sectPr>
      </w:pPr>
    </w:p>
    <w:bookmarkStart w:id="17" w:name="page18"/>
    <w:bookmarkEnd w:id="1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 unaudited)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8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Nine Months Ended</w:t>
            </w: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Free Cash Flow</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1520" w:type="dxa"/>
            <w:vAlign w:val="bottom"/>
            <w:gridSpan w:val="3"/>
          </w:tcPr>
          <w:p>
            <w:pPr>
              <w:jc w:val="right"/>
              <w:ind w:right="339"/>
              <w:spacing w:after="0"/>
              <w:rPr>
                <w:sz w:val="20"/>
                <w:szCs w:val="20"/>
                <w:color w:val="auto"/>
              </w:rPr>
            </w:pPr>
            <w:r>
              <w:rPr>
                <w:rFonts w:ascii="Arial" w:cs="Arial" w:eastAsia="Arial" w:hAnsi="Arial"/>
                <w:sz w:val="16"/>
                <w:szCs w:val="16"/>
                <w:color w:val="auto"/>
              </w:rPr>
              <w:t>September 30,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34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2,691</w:t>
            </w:r>
          </w:p>
        </w:tc>
        <w:tc>
          <w:tcPr>
            <w:tcW w:w="160" w:type="dxa"/>
            <w:vAlign w:val="bottom"/>
          </w:tcPr>
          <w:p>
            <w:pPr>
              <w:spacing w:after="0"/>
              <w:rPr>
                <w:sz w:val="22"/>
                <w:szCs w:val="22"/>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2,961</w:t>
            </w:r>
          </w:p>
        </w:tc>
        <w:tc>
          <w:tcPr>
            <w:tcW w:w="0" w:type="dxa"/>
            <w:vAlign w:val="bottom"/>
          </w:tcPr>
          <w:p>
            <w:pPr>
              <w:spacing w:after="0"/>
              <w:rPr>
                <w:sz w:val="1"/>
                <w:szCs w:val="1"/>
                <w:color w:val="auto"/>
              </w:rPr>
            </w:pPr>
          </w:p>
        </w:tc>
      </w:tr>
      <w:tr>
        <w:trPr>
          <w:trHeight w:val="229"/>
        </w:trPr>
        <w:tc>
          <w:tcPr>
            <w:tcW w:w="834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(814)</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29"/>
        </w:trPr>
        <w:tc>
          <w:tcPr>
            <w:tcW w:w="834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20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9"/>
        </w:trPr>
        <w:tc>
          <w:tcPr>
            <w:tcW w:w="8340" w:type="dxa"/>
            <w:vAlign w:val="bottom"/>
            <w:gridSpan w:val="2"/>
          </w:tcPr>
          <w:p>
            <w:pPr>
              <w:ind w:left="200"/>
              <w:spacing w:after="0"/>
              <w:rPr>
                <w:sz w:val="20"/>
                <w:szCs w:val="20"/>
                <w:color w:val="auto"/>
              </w:rPr>
            </w:pPr>
            <w:r>
              <w:rPr>
                <w:rFonts w:ascii="Arial" w:cs="Arial" w:eastAsia="Arial" w:hAnsi="Arial"/>
                <w:sz w:val="16"/>
                <w:szCs w:val="16"/>
                <w:color w:val="auto"/>
              </w:rPr>
              <w:t>Distributions from unconsolidated affiliates included in cash flows from investing activities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0"/>
        </w:trPr>
        <w:tc>
          <w:tcPr>
            <w:tcW w:w="8340" w:type="dxa"/>
            <w:vAlign w:val="bottom"/>
            <w:gridSpan w:val="2"/>
          </w:tcPr>
          <w:p>
            <w:pPr>
              <w:ind w:left="200"/>
              <w:spacing w:after="0"/>
              <w:rPr>
                <w:sz w:val="20"/>
                <w:szCs w:val="20"/>
                <w:color w:val="auto"/>
              </w:rPr>
            </w:pPr>
            <w:r>
              <w:rPr>
                <w:rFonts w:ascii="Arial" w:cs="Arial" w:eastAsia="Arial" w:hAnsi="Arial"/>
                <w:sz w:val="16"/>
                <w:szCs w:val="16"/>
                <w:color w:val="auto"/>
              </w:rPr>
              <w:t>Severance, merger and integration payments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414</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6"/>
        </w:trPr>
        <w:tc>
          <w:tcPr>
            <w:tcW w:w="8340" w:type="dxa"/>
            <w:vAlign w:val="bottom"/>
            <w:gridSpan w:val="2"/>
          </w:tcPr>
          <w:p>
            <w:pPr>
              <w:ind w:left="200"/>
              <w:spacing w:after="0"/>
              <w:rPr>
                <w:sz w:val="20"/>
                <w:szCs w:val="20"/>
                <w:color w:val="auto"/>
              </w:rPr>
            </w:pPr>
            <w:r>
              <w:rPr>
                <w:rFonts w:ascii="Arial" w:cs="Arial" w:eastAsia="Arial" w:hAnsi="Arial"/>
                <w:sz w:val="16"/>
                <w:szCs w:val="16"/>
                <w:color w:val="auto"/>
              </w:rPr>
              <w:t>Tax payments on adjustments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0"/>
              <w:spacing w:after="0"/>
              <w:rPr>
                <w:sz w:val="20"/>
                <w:szCs w:val="20"/>
                <w:color w:val="auto"/>
              </w:rPr>
            </w:pPr>
            <w:r>
              <w:rPr>
                <w:rFonts w:ascii="Arial" w:cs="Arial" w:eastAsia="Arial" w:hAnsi="Arial"/>
                <w:sz w:val="16"/>
                <w:szCs w:val="16"/>
                <w:color w:val="auto"/>
              </w:rPr>
              <w:t>Tax payments on gain on sale of investments in unconsolidated affiliates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340" w:type="dxa"/>
            <w:vAlign w:val="bottom"/>
            <w:gridSpan w:val="2"/>
          </w:tcPr>
          <w:p>
            <w:pPr>
              <w:ind w:left="460"/>
              <w:spacing w:after="0"/>
              <w:rPr>
                <w:sz w:val="20"/>
                <w:szCs w:val="20"/>
                <w:color w:val="auto"/>
              </w:rPr>
            </w:pPr>
            <w:r>
              <w:rPr>
                <w:rFonts w:ascii="Arial" w:cs="Arial" w:eastAsia="Arial" w:hAnsi="Arial"/>
                <w:sz w:val="16"/>
                <w:szCs w:val="16"/>
                <w:color w:val="auto"/>
              </w:rPr>
              <w:t>Free cash flow</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2,290</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2,594</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471805</wp:posOffset>
            </wp:positionV>
            <wp:extent cx="7106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2360" w:type="dxa"/>
            <w:vAlign w:val="bottom"/>
            <w:gridSpan w:val="4"/>
          </w:tcPr>
          <w:p>
            <w:pPr>
              <w:jc w:val="right"/>
              <w:ind w:right="159"/>
              <w:spacing w:after="0"/>
              <w:rPr>
                <w:sz w:val="20"/>
                <w:szCs w:val="20"/>
                <w:color w:val="auto"/>
              </w:rPr>
            </w:pPr>
            <w:r>
              <w:rPr>
                <w:rFonts w:ascii="Arial" w:cs="Arial" w:eastAsia="Arial" w:hAnsi="Arial"/>
                <w:sz w:val="16"/>
                <w:szCs w:val="16"/>
                <w:color w:val="auto"/>
              </w:rPr>
              <w:t>Three Months Ended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59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36"/>
        </w:trPr>
        <w:tc>
          <w:tcPr>
            <w:tcW w:w="548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1540" w:type="dxa"/>
            <w:vAlign w:val="bottom"/>
            <w:gridSpan w:val="3"/>
          </w:tcPr>
          <w:p>
            <w:pPr>
              <w:jc w:val="right"/>
              <w:ind w:right="379"/>
              <w:spacing w:after="0"/>
              <w:rPr>
                <w:sz w:val="20"/>
                <w:szCs w:val="20"/>
                <w:color w:val="auto"/>
              </w:rPr>
            </w:pPr>
            <w:r>
              <w:rPr>
                <w:rFonts w:ascii="Arial" w:cs="Arial" w:eastAsia="Arial" w:hAnsi="Arial"/>
                <w:sz w:val="16"/>
                <w:szCs w:val="16"/>
                <w:color w:val="auto"/>
              </w:rPr>
              <w:t>September 30,</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September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47"/>
        </w:trPr>
        <w:tc>
          <w:tcPr>
            <w:tcW w:w="5480" w:type="dxa"/>
            <w:vAlign w:val="bottom"/>
            <w:gridSpan w:val="2"/>
          </w:tcPr>
          <w:p>
            <w:pPr>
              <w:spacing w:after="0"/>
              <w:rPr>
                <w:sz w:val="20"/>
                <w:szCs w:val="20"/>
                <w:color w:val="auto"/>
              </w:rPr>
            </w:pPr>
            <w:r>
              <w:rPr>
                <w:rFonts w:ascii="Arial" w:cs="Arial" w:eastAsia="Arial" w:hAnsi="Arial"/>
                <w:sz w:val="16"/>
                <w:szCs w:val="16"/>
                <w:color w:val="auto"/>
              </w:rPr>
              <w:t>Acquisition-related intangible assets</w:t>
            </w:r>
          </w:p>
        </w:tc>
        <w:tc>
          <w:tcPr>
            <w:tcW w:w="820" w:type="dxa"/>
            <w:vAlign w:val="bottom"/>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509</w:t>
            </w:r>
          </w:p>
        </w:tc>
        <w:tc>
          <w:tcPr>
            <w:tcW w:w="160" w:type="dxa"/>
            <w:vAlign w:val="bottom"/>
          </w:tcPr>
          <w:p>
            <w:pPr>
              <w:spacing w:after="0"/>
              <w:rPr>
                <w:sz w:val="21"/>
                <w:szCs w:val="21"/>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504</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1,554</w:t>
            </w:r>
          </w:p>
        </w:tc>
        <w:tc>
          <w:tcPr>
            <w:tcW w:w="18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6"/>
                <w:szCs w:val="16"/>
                <w:color w:val="auto"/>
              </w:rPr>
              <w:t>Capitalized software and other intangibles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6"/>
                <w:szCs w:val="16"/>
                <w:color w:val="auto"/>
              </w:rPr>
              <w:t>Purchased software</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6"/>
                <w:szCs w:val="16"/>
                <w:color w:val="auto"/>
              </w:rPr>
              <w:t>Financing costs and debt discounts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6"/>
                <w:szCs w:val="16"/>
                <w:color w:val="auto"/>
              </w:rPr>
              <w:t>Sales commissions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5480" w:type="dxa"/>
            <w:vAlign w:val="bottom"/>
            <w:gridSpan w:val="2"/>
          </w:tcPr>
          <w:p>
            <w:pPr>
              <w:spacing w:after="0"/>
              <w:rPr>
                <w:sz w:val="20"/>
                <w:szCs w:val="20"/>
                <w:color w:val="auto"/>
              </w:rPr>
            </w:pPr>
            <w:r>
              <w:rPr>
                <w:rFonts w:ascii="Arial" w:cs="Arial" w:eastAsia="Arial" w:hAnsi="Arial"/>
                <w:sz w:val="16"/>
                <w:szCs w:val="16"/>
                <w:color w:val="auto"/>
              </w:rPr>
              <w:t>Deferred conversion costs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Total amortization</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695</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2,087</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237" w:lineRule="exact"/>
        <w:rPr>
          <w:sz w:val="20"/>
          <w:szCs w:val="20"/>
          <w:color w:val="auto"/>
        </w:rPr>
      </w:pPr>
    </w:p>
    <w:p>
      <w:pPr>
        <w:ind w:left="340" w:right="360" w:hanging="332"/>
        <w:spacing w:after="0" w:line="264" w:lineRule="auto"/>
        <w:tabs>
          <w:tab w:leader="none" w:pos="338"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(see corresponding adjustment on page 7). The adjustment for acquired First Data software/technology excludes only the incremental amortization related to the fair value purchase accounting allocation.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20" w:top="1225" w:right="359" w:bottom="1440" w:gutter="0" w:footer="0" w:header="0"/>
        </w:sectPr>
      </w:pPr>
    </w:p>
    <w:bookmarkStart w:id="18" w:name="page19"/>
    <w:bookmarkEnd w:id="1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2021, including internal revenue growth, adjusted earnings per share and adjusted earnings per share growth, are designed to enhance shareholders’ ability to evaluate the company’s performance by excluding certain items to focus on factors and trends affecting its business.</w:t>
      </w:r>
    </w:p>
    <w:p>
      <w:pPr>
        <w:spacing w:after="0" w:line="13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Internal Revenue Growth </w:t>
      </w:r>
      <w:r>
        <w:rPr>
          <w:rFonts w:ascii="Arial" w:cs="Arial" w:eastAsia="Arial" w:hAnsi="Arial"/>
          <w:sz w:val="18"/>
          <w:szCs w:val="18"/>
          <w:color w:val="auto"/>
        </w:rPr>
        <w:t>- The company's internal revenue growth outlook for 2021 includes deferred revenue purchase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excludes the impact of foreign currency fluctuations, acquisitions, dispositions and the impact of the company's Output Solutions postage reimbursements. These adjustments are subject to variability and are anticipated to negatively impact 2021 GAAP revenue growth by approximately 1% as compared to internal revenue growth, primarily due to the BAMS dissolution in the prior year.</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2021 excludes certain non-cash or other items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non-cash intangible asset amortization expense associated with acquisitions; non-cash impairment charges; restructuring costs; merger and integration costs; severance costs; gains or losses from the sale of businesses and investments; and certain discrete tax benefits and expenses, and includes non-cash deferred revenue purchase accounting adjustments. The company estimates that amortization expense in 2021 with respect to acquired intangible assets will approximate the amount incurred in 2020. Other adjustments to the company’s financial measures that were incurred in 2020 and for the three and nine months ended September 30, 2021 are presented in this news release; however, they are not necessarily indicative of adjustments that may be incurred throughout 2021 or beyond. Estimates of these impacts and adjustments on a forward-looking basis are not available due to the variability, complexity and limited visibility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320" w:top="1225" w:right="379" w:bottom="1440" w:gutter="0" w:footer="0" w:header="0"/>
        </w:sectPr>
      </w:pPr>
    </w:p>
    <w:bookmarkStart w:id="19" w:name="page20"/>
    <w:bookmarkEnd w:id="1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earnings per share growth outlook for 2021 is based on 2020 adjusted earnings per share performance.</w:t>
      </w:r>
    </w:p>
    <w:p>
      <w:pPr>
        <w:sectPr>
          <w:pgSz w:w="11900" w:h="16838" w:orient="portrait"/>
          <w:cols w:equalWidth="0" w:num="1">
            <w:col w:w="10840"/>
          </w:cols>
          <w:pgMar w:left="320" w:top="1225" w:right="739" w:bottom="1440" w:gutter="0" w:footer="0" w:header="0"/>
        </w:sect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2020 GAAP net income attributable to Fiserv</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Adjustments:</w:t>
      </w:r>
    </w:p>
    <w:p>
      <w:pPr>
        <w:ind w:left="520"/>
        <w:spacing w:after="0" w:line="228" w:lineRule="auto"/>
        <w:rPr>
          <w:sz w:val="20"/>
          <w:szCs w:val="20"/>
          <w:color w:val="auto"/>
        </w:rPr>
      </w:pPr>
      <w:r>
        <w:rPr>
          <w:rFonts w:ascii="Arial" w:cs="Arial" w:eastAsia="Arial" w:hAnsi="Arial"/>
          <w:sz w:val="18"/>
          <w:szCs w:val="18"/>
          <w:color w:val="auto"/>
        </w:rPr>
        <w:t xml:space="preserve">Merger and integration costs </w:t>
      </w:r>
      <w:r>
        <w:rPr>
          <w:rFonts w:ascii="Arial" w:cs="Arial" w:eastAsia="Arial" w:hAnsi="Arial"/>
          <w:sz w:val="23"/>
          <w:szCs w:val="23"/>
          <w:color w:val="auto"/>
          <w:vertAlign w:val="superscript"/>
        </w:rPr>
        <w:t>1</w:t>
      </w:r>
    </w:p>
    <w:p>
      <w:pPr>
        <w:ind w:left="520"/>
        <w:spacing w:after="0" w:line="199" w:lineRule="auto"/>
        <w:rPr>
          <w:sz w:val="20"/>
          <w:szCs w:val="20"/>
          <w:color w:val="auto"/>
        </w:rPr>
      </w:pPr>
      <w:r>
        <w:rPr>
          <w:rFonts w:ascii="Arial" w:cs="Arial" w:eastAsia="Arial" w:hAnsi="Arial"/>
          <w:sz w:val="18"/>
          <w:szCs w:val="18"/>
          <w:color w:val="auto"/>
        </w:rPr>
        <w:t xml:space="preserve">Severance costs </w:t>
      </w:r>
      <w:r>
        <w:rPr>
          <w:rFonts w:ascii="Arial" w:cs="Arial" w:eastAsia="Arial" w:hAnsi="Arial"/>
          <w:sz w:val="23"/>
          <w:szCs w:val="23"/>
          <w:color w:val="auto"/>
          <w:vertAlign w:val="superscript"/>
        </w:rPr>
        <w:t>2</w:t>
      </w:r>
    </w:p>
    <w:p>
      <w:pPr>
        <w:ind w:left="520"/>
        <w:spacing w:after="0" w:line="218" w:lineRule="auto"/>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p>
      <w:pPr>
        <w:ind w:left="520"/>
        <w:spacing w:after="0" w:line="198" w:lineRule="auto"/>
        <w:rPr>
          <w:sz w:val="20"/>
          <w:szCs w:val="20"/>
          <w:color w:val="auto"/>
        </w:rPr>
      </w:pPr>
      <w:r>
        <w:rPr>
          <w:rFonts w:ascii="Arial" w:cs="Arial" w:eastAsia="Arial" w:hAnsi="Arial"/>
          <w:sz w:val="18"/>
          <w:szCs w:val="18"/>
          <w:color w:val="auto"/>
        </w:rPr>
        <w:t xml:space="preserve">Non wholly-owned entity activities </w:t>
      </w:r>
      <w:r>
        <w:rPr>
          <w:rFonts w:ascii="Arial" w:cs="Arial" w:eastAsia="Arial" w:hAnsi="Arial"/>
          <w:sz w:val="23"/>
          <w:szCs w:val="23"/>
          <w:color w:val="auto"/>
          <w:vertAlign w:val="superscript"/>
        </w:rPr>
        <w:t>4</w:t>
      </w:r>
    </w:p>
    <w:p>
      <w:pPr>
        <w:ind w:left="520"/>
        <w:spacing w:after="0" w:line="218" w:lineRule="auto"/>
        <w:rPr>
          <w:sz w:val="20"/>
          <w:szCs w:val="20"/>
          <w:color w:val="auto"/>
        </w:rPr>
      </w:pPr>
      <w:r>
        <w:rPr>
          <w:rFonts w:ascii="Arial" w:cs="Arial" w:eastAsia="Arial" w:hAnsi="Arial"/>
          <w:sz w:val="18"/>
          <w:szCs w:val="18"/>
          <w:color w:val="auto"/>
        </w:rPr>
        <w:t xml:space="preserve">Tax impact of adjustments </w:t>
      </w:r>
      <w:r>
        <w:rPr>
          <w:rFonts w:ascii="Arial" w:cs="Arial" w:eastAsia="Arial" w:hAnsi="Arial"/>
          <w:sz w:val="23"/>
          <w:szCs w:val="23"/>
          <w:color w:val="auto"/>
          <w:vertAlign w:val="superscript"/>
        </w:rPr>
        <w:t>5</w:t>
      </w:r>
    </w:p>
    <w:p>
      <w:pPr>
        <w:ind w:left="520"/>
        <w:spacing w:after="0" w:line="199" w:lineRule="auto"/>
        <w:rPr>
          <w:sz w:val="20"/>
          <w:szCs w:val="20"/>
          <w:color w:val="auto"/>
        </w:rPr>
      </w:pPr>
      <w:r>
        <w:rPr>
          <w:rFonts w:ascii="Arial" w:cs="Arial" w:eastAsia="Arial" w:hAnsi="Arial"/>
          <w:sz w:val="18"/>
          <w:szCs w:val="18"/>
          <w:color w:val="auto"/>
        </w:rPr>
        <w:t xml:space="preserve">Gain on sale of businesses </w:t>
      </w:r>
      <w:r>
        <w:rPr>
          <w:rFonts w:ascii="Arial" w:cs="Arial" w:eastAsia="Arial" w:hAnsi="Arial"/>
          <w:sz w:val="23"/>
          <w:szCs w:val="23"/>
          <w:color w:val="auto"/>
          <w:vertAlign w:val="superscript"/>
        </w:rPr>
        <w:t>6</w:t>
      </w:r>
    </w:p>
    <w:p>
      <w:pPr>
        <w:ind w:left="520"/>
        <w:spacing w:after="0" w:line="218" w:lineRule="auto"/>
        <w:rPr>
          <w:sz w:val="20"/>
          <w:szCs w:val="20"/>
          <w:color w:val="auto"/>
        </w:rPr>
      </w:pPr>
      <w:r>
        <w:rPr>
          <w:rFonts w:ascii="Arial" w:cs="Arial" w:eastAsia="Arial" w:hAnsi="Arial"/>
          <w:sz w:val="18"/>
          <w:szCs w:val="18"/>
          <w:color w:val="auto"/>
        </w:rPr>
        <w:t xml:space="preserve">Tax impact of gain on sale of businesses </w:t>
      </w:r>
      <w:r>
        <w:rPr>
          <w:rFonts w:ascii="Arial" w:cs="Arial" w:eastAsia="Arial" w:hAnsi="Arial"/>
          <w:sz w:val="23"/>
          <w:szCs w:val="23"/>
          <w:color w:val="auto"/>
          <w:vertAlign w:val="superscript"/>
        </w:rPr>
        <w:t>5</w:t>
      </w:r>
    </w:p>
    <w:p>
      <w:pPr>
        <w:ind w:left="520"/>
        <w:spacing w:after="0"/>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7</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2020 adjusted net income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Weighted average common shares outstanding - diluted</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2020 GAAP earnings per share attributable to Fiserv</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Adjustments - net of income taxes:</w:t>
      </w:r>
    </w:p>
    <w:p>
      <w:pPr>
        <w:ind w:left="520"/>
        <w:spacing w:after="0" w:line="228" w:lineRule="auto"/>
        <w:rPr>
          <w:sz w:val="20"/>
          <w:szCs w:val="20"/>
          <w:color w:val="auto"/>
        </w:rPr>
      </w:pPr>
      <w:r>
        <w:rPr>
          <w:rFonts w:ascii="Arial" w:cs="Arial" w:eastAsia="Arial" w:hAnsi="Arial"/>
          <w:sz w:val="18"/>
          <w:szCs w:val="18"/>
          <w:color w:val="auto"/>
        </w:rPr>
        <w:t xml:space="preserve">Merger and integration costs </w:t>
      </w:r>
      <w:r>
        <w:rPr>
          <w:rFonts w:ascii="Arial" w:cs="Arial" w:eastAsia="Arial" w:hAnsi="Arial"/>
          <w:sz w:val="23"/>
          <w:szCs w:val="23"/>
          <w:color w:val="auto"/>
          <w:vertAlign w:val="superscript"/>
        </w:rPr>
        <w:t>1</w:t>
      </w:r>
    </w:p>
    <w:p>
      <w:pPr>
        <w:ind w:left="520"/>
        <w:spacing w:after="0" w:line="199" w:lineRule="auto"/>
        <w:rPr>
          <w:sz w:val="20"/>
          <w:szCs w:val="20"/>
          <w:color w:val="auto"/>
        </w:rPr>
      </w:pPr>
      <w:r>
        <w:rPr>
          <w:rFonts w:ascii="Arial" w:cs="Arial" w:eastAsia="Arial" w:hAnsi="Arial"/>
          <w:sz w:val="18"/>
          <w:szCs w:val="18"/>
          <w:color w:val="auto"/>
        </w:rPr>
        <w:t xml:space="preserve">Severance costs </w:t>
      </w:r>
      <w:r>
        <w:rPr>
          <w:rFonts w:ascii="Arial" w:cs="Arial" w:eastAsia="Arial" w:hAnsi="Arial"/>
          <w:sz w:val="23"/>
          <w:szCs w:val="23"/>
          <w:color w:val="auto"/>
          <w:vertAlign w:val="superscript"/>
        </w:rPr>
        <w:t>2</w:t>
      </w:r>
    </w:p>
    <w:p>
      <w:pPr>
        <w:ind w:left="520"/>
        <w:spacing w:after="0" w:line="218" w:lineRule="auto"/>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p>
      <w:pPr>
        <w:ind w:left="520"/>
        <w:spacing w:after="0" w:line="198" w:lineRule="auto"/>
        <w:rPr>
          <w:sz w:val="20"/>
          <w:szCs w:val="20"/>
          <w:color w:val="auto"/>
        </w:rPr>
      </w:pPr>
      <w:r>
        <w:rPr>
          <w:rFonts w:ascii="Arial" w:cs="Arial" w:eastAsia="Arial" w:hAnsi="Arial"/>
          <w:sz w:val="18"/>
          <w:szCs w:val="18"/>
          <w:color w:val="auto"/>
        </w:rPr>
        <w:t xml:space="preserve">Non wholly-owned entity activities </w:t>
      </w:r>
      <w:r>
        <w:rPr>
          <w:rFonts w:ascii="Arial" w:cs="Arial" w:eastAsia="Arial" w:hAnsi="Arial"/>
          <w:sz w:val="23"/>
          <w:szCs w:val="23"/>
          <w:color w:val="auto"/>
          <w:vertAlign w:val="superscript"/>
        </w:rPr>
        <w:t>4</w:t>
      </w:r>
    </w:p>
    <w:p>
      <w:pPr>
        <w:ind w:left="520"/>
        <w:spacing w:after="0" w:line="218" w:lineRule="auto"/>
        <w:rPr>
          <w:sz w:val="20"/>
          <w:szCs w:val="20"/>
          <w:color w:val="auto"/>
        </w:rPr>
      </w:pPr>
      <w:r>
        <w:rPr>
          <w:rFonts w:ascii="Arial" w:cs="Arial" w:eastAsia="Arial" w:hAnsi="Arial"/>
          <w:sz w:val="18"/>
          <w:szCs w:val="18"/>
          <w:color w:val="auto"/>
        </w:rPr>
        <w:t xml:space="preserve">Gain on sale of businesses </w:t>
      </w:r>
      <w:r>
        <w:rPr>
          <w:rFonts w:ascii="Arial" w:cs="Arial" w:eastAsia="Arial" w:hAnsi="Arial"/>
          <w:sz w:val="23"/>
          <w:szCs w:val="23"/>
          <w:color w:val="auto"/>
          <w:vertAlign w:val="superscript"/>
        </w:rPr>
        <w:t>6</w:t>
      </w:r>
    </w:p>
    <w:p>
      <w:pPr>
        <w:ind w:left="520"/>
        <w:spacing w:after="0" w:line="221" w:lineRule="auto"/>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7</w:t>
      </w:r>
    </w:p>
    <w:p>
      <w:pPr>
        <w:ind w:left="400"/>
        <w:spacing w:after="0"/>
        <w:rPr>
          <w:sz w:val="20"/>
          <w:szCs w:val="20"/>
          <w:color w:val="auto"/>
        </w:rPr>
      </w:pPr>
      <w:r>
        <w:rPr>
          <w:rFonts w:ascii="Arial" w:cs="Arial" w:eastAsia="Arial" w:hAnsi="Arial"/>
          <w:sz w:val="18"/>
          <w:szCs w:val="18"/>
          <w:color w:val="auto"/>
        </w:rPr>
        <w:t>2020 adjusted earnings per share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2021 adjusted earnings per share outlook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2021 adjusted earnings per share growth outlook</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140" w:hanging="1139"/>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958</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902</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977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 w:lineRule="exact"/>
        <w:rPr>
          <w:sz w:val="20"/>
          <w:szCs w:val="20"/>
          <w:color w:val="auto"/>
        </w:rPr>
      </w:pPr>
    </w:p>
    <w:p>
      <w:pPr>
        <w:ind w:left="1000" w:hanging="99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9772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9772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683.4</w:t>
      </w:r>
    </w:p>
    <w:p>
      <w:pPr>
        <w:spacing w:after="0" w:line="185" w:lineRule="exact"/>
        <w:rPr>
          <w:sz w:val="20"/>
          <w:szCs w:val="20"/>
          <w:color w:val="auto"/>
        </w:rPr>
      </w:pPr>
    </w:p>
    <w:p>
      <w:pPr>
        <w:ind w:left="1100" w:hanging="1099"/>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1.40</w:t>
      </w:r>
    </w:p>
    <w:p>
      <w:pPr>
        <w:spacing w:after="0" w:line="25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1.02</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0.12</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2.28</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0.11</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(0.50)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977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6" w:lineRule="exact"/>
        <w:rPr>
          <w:sz w:val="20"/>
          <w:szCs w:val="20"/>
          <w:color w:val="auto"/>
        </w:rPr>
      </w:pPr>
    </w:p>
    <w:p>
      <w:pPr>
        <w:ind w:left="1100" w:hanging="1099"/>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9772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14605</wp:posOffset>
            </wp:positionV>
            <wp:extent cx="977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$5.55 - $5.60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 - 27%</w:t>
      </w:r>
    </w:p>
    <w:p>
      <w:pPr>
        <w:spacing w:after="0" w:line="200" w:lineRule="exact"/>
        <w:rPr>
          <w:sz w:val="20"/>
          <w:szCs w:val="20"/>
          <w:color w:val="auto"/>
        </w:rPr>
      </w:pPr>
    </w:p>
    <w:p>
      <w:pPr>
        <w:sectPr>
          <w:pgSz w:w="11900" w:h="16838" w:orient="portrait"/>
          <w:cols w:equalWidth="0" w:num="2">
            <w:col w:w="8620" w:space="720"/>
            <w:col w:w="1500"/>
          </w:cols>
          <w:pgMar w:left="320" w:top="1225" w:right="73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In millions, except per share amounts, unaudited. Earnings per share is calculated using actual, unrounded amounts.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pages 3-4 for disclosures related to the use of non-GAAP financial measures.</w:t>
      </w:r>
    </w:p>
    <w:p>
      <w:pPr>
        <w:sectPr>
          <w:pgSz w:w="11900" w:h="16838" w:orient="portrait"/>
          <w:cols w:equalWidth="0" w:num="1">
            <w:col w:w="10840"/>
          </w:cols>
          <w:pgMar w:left="320" w:top="1225"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840"/>
          </w:cols>
          <w:pgMar w:left="320" w:top="1225" w:right="739" w:bottom="1440" w:gutter="0" w:footer="0" w:header="0"/>
          <w:type w:val="continuous"/>
        </w:sectPr>
      </w:pPr>
    </w:p>
    <w:bookmarkStart w:id="20" w:name="page21"/>
    <w:bookmarkEnd w:id="20"/>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28" w:lineRule="exact"/>
        <w:rPr>
          <w:sz w:val="20"/>
          <w:szCs w:val="20"/>
          <w:color w:val="auto"/>
        </w:rPr>
      </w:pPr>
    </w:p>
    <w:p>
      <w:pPr>
        <w:ind w:left="332" w:hanging="332"/>
        <w:spacing w:after="0" w:line="233" w:lineRule="auto"/>
        <w:tabs>
          <w:tab w:leader="none" w:pos="323"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Represents acquisition and related integration costs incurred in connection with various acquisitions. Merger and integration costs include $865 million related to the First Data acquisition. First Data integration costs primarily include $224 million of third party professional service fees associated with integration activities; $165 million of incremental share-based compensation, including the fair value of stock awards assumed by Fiserv; $118 million of accelerated depreciation and amortization associated with the termination of vendor contracts; $137 million of other integration-related compensation costs; and $124 million of non-cash impairment charges associated with the early exit of certain leased facilities.</w:t>
      </w:r>
    </w:p>
    <w:p>
      <w:pPr>
        <w:spacing w:after="0" w:line="57" w:lineRule="exact"/>
        <w:rPr>
          <w:sz w:val="20"/>
          <w:szCs w:val="20"/>
          <w:color w:val="auto"/>
        </w:rPr>
      </w:pPr>
    </w:p>
    <w:p>
      <w:pPr>
        <w:ind w:left="312" w:hanging="312"/>
        <w:spacing w:after="0"/>
        <w:tabs>
          <w:tab w:leader="none" w:pos="312"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severance costs associated with the achievement of expense management initiatives, primarily related to the First Data acquisition.</w:t>
      </w:r>
    </w:p>
    <w:p>
      <w:pPr>
        <w:spacing w:after="0" w:line="102" w:lineRule="exact"/>
        <w:rPr>
          <w:sz w:val="20"/>
          <w:szCs w:val="20"/>
          <w:color w:val="auto"/>
        </w:rPr>
      </w:pPr>
    </w:p>
    <w:p>
      <w:pPr>
        <w:ind w:left="332" w:right="260" w:hanging="332"/>
        <w:spacing w:after="0" w:line="225" w:lineRule="auto"/>
        <w:tabs>
          <w:tab w:leader="none" w:pos="323"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and financing costs and debt discounts.</w:t>
      </w:r>
    </w:p>
    <w:p>
      <w:pPr>
        <w:spacing w:after="0" w:line="104" w:lineRule="exact"/>
        <w:rPr>
          <w:sz w:val="20"/>
          <w:szCs w:val="20"/>
          <w:color w:val="auto"/>
        </w:rPr>
      </w:pPr>
    </w:p>
    <w:p>
      <w:pPr>
        <w:ind w:left="332" w:right="180" w:hanging="332"/>
        <w:spacing w:after="0" w:line="216" w:lineRule="auto"/>
        <w:tabs>
          <w:tab w:leader="none" w:pos="323"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w:t>
      </w:r>
    </w:p>
    <w:p>
      <w:pPr>
        <w:spacing w:after="0" w:line="103" w:lineRule="exact"/>
        <w:rPr>
          <w:sz w:val="20"/>
          <w:szCs w:val="20"/>
          <w:color w:val="auto"/>
        </w:rPr>
      </w:pPr>
    </w:p>
    <w:p>
      <w:pPr>
        <w:ind w:left="332" w:right="100" w:hanging="332"/>
        <w:spacing w:after="0" w:line="216" w:lineRule="auto"/>
        <w:tabs>
          <w:tab w:leader="none" w:pos="323"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tax impact of adjustments is calculated using a tax rate of 23%, which approximates the company's anticipated annual effective tax rate, exclusive of the actual tax impacts associated with the gain on sale of businesses.</w:t>
      </w:r>
    </w:p>
    <w:p>
      <w:pPr>
        <w:spacing w:after="0" w:line="103" w:lineRule="exact"/>
        <w:rPr>
          <w:sz w:val="20"/>
          <w:szCs w:val="20"/>
          <w:color w:val="auto"/>
        </w:rPr>
      </w:pPr>
    </w:p>
    <w:p>
      <w:pPr>
        <w:ind w:left="332" w:hanging="332"/>
        <w:spacing w:after="0" w:line="216" w:lineRule="auto"/>
        <w:tabs>
          <w:tab w:leader="none" w:pos="323"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Represents the earnings attributable to divested businesses and the gain on the associated divestiture transactions, including the sale of a 60% interest in the Investment Services business in February 2020 and the dissolution of the Banc of America Merchant Services joint venture in July 2020.</w:t>
      </w:r>
    </w:p>
    <w:p>
      <w:pPr>
        <w:spacing w:after="0" w:line="103" w:lineRule="exact"/>
        <w:rPr>
          <w:sz w:val="20"/>
          <w:szCs w:val="20"/>
          <w:color w:val="auto"/>
        </w:rPr>
      </w:pPr>
    </w:p>
    <w:p>
      <w:pPr>
        <w:ind w:left="332" w:right="320" w:hanging="332"/>
        <w:spacing w:after="0" w:line="216" w:lineRule="auto"/>
        <w:tabs>
          <w:tab w:leader="none" w:pos="323"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Represents certain discrete tax items, primarily related to foreign income tax benefits from a subsidiary restructuring and the revaluation of deferred taxes due to a change in the statutory tax rate in the United Kingdom.</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20"/>
          <w:szCs w:val="20"/>
          <w:i w:val="1"/>
          <w:iCs w:val="1"/>
          <w:color w:val="auto"/>
        </w:rPr>
        <w:t>FISV-E</w:t>
      </w:r>
    </w:p>
    <w:p>
      <w:pPr>
        <w:spacing w:after="0" w:line="22"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17</w:t>
      </w:r>
    </w:p>
    <w:sectPr>
      <w:pgSz w:w="11900" w:h="16838" w:orient="portrait"/>
      <w:cols w:equalWidth="0" w:num="1">
        <w:col w:w="11172"/>
      </w:cols>
      <w:pgMar w:left="328" w:top="12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2"/>
      <w:numFmt w:val="bullet"/>
      <w:start w:val="1"/>
    </w:lvl>
  </w:abstractNum>
  <w:abstractNum w:abstractNumId="4">
    <w:nsid w:val="1BEFD79F"/>
    <w:multiLevelType w:val="hybridMultilevel"/>
    <w:lvl w:ilvl="0">
      <w:lvlJc w:val="left"/>
      <w:lvlText w:val="3"/>
      <w:numFmt w:val="bullet"/>
      <w:start w:val="1"/>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5"/>
      <w:numFmt w:val="bullet"/>
      <w:start w:val="1"/>
    </w:lvl>
  </w:abstractNum>
  <w:abstractNum w:abstractNumId="7">
    <w:nsid w:val="4E6AFB66"/>
    <w:multiLevelType w:val="hybridMultilevel"/>
    <w:lvl w:ilvl="0">
      <w:lvlJc w:val="left"/>
      <w:lvlText w:val="6"/>
      <w:numFmt w:val="bullet"/>
      <w:start w:val="1"/>
    </w:lvl>
  </w:abstractNum>
  <w:abstractNum w:abstractNumId="8">
    <w:nsid w:val="25E45D32"/>
    <w:multiLevelType w:val="hybridMultilevel"/>
    <w:lvl w:ilvl="0">
      <w:lvlJc w:val="left"/>
      <w:lvlText w:val="7"/>
      <w:numFmt w:val="bullet"/>
      <w:start w:val="1"/>
    </w:lvl>
  </w:abstractNum>
  <w:abstractNum w:abstractNumId="9">
    <w:nsid w:val="519B500D"/>
    <w:multiLevelType w:val="hybridMultilevel"/>
    <w:lvl w:ilvl="0">
      <w:lvlJc w:val="left"/>
      <w:lvlText w:val="1"/>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abstractNum>
  <w:abstractNum w:abstractNumId="22">
    <w:nsid w:val="75A2A8D4"/>
    <w:multiLevelType w:val="hybridMultilevel"/>
    <w:lvl w:ilvl="0">
      <w:lvlJc w:val="left"/>
      <w:lvlText w:val="5"/>
      <w:numFmt w:val="bullet"/>
      <w:start w:val="1"/>
    </w:lvl>
  </w:abstractNum>
  <w:abstractNum w:abstractNumId="23">
    <w:nsid w:val="8EDBDAB"/>
    <w:multiLevelType w:val="hybridMultilevel"/>
    <w:lvl w:ilvl="0">
      <w:lvlJc w:val="left"/>
      <w:lvlText w:val="6"/>
      <w:numFmt w:val="bullet"/>
      <w:start w:val="1"/>
    </w:lvl>
  </w:abstractNum>
  <w:abstractNum w:abstractNumId="24">
    <w:nsid w:val="79838CB2"/>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2021-10-27T06:28:06Z</dcterms:created>
  <dcterms:modified xsi:type="dcterms:W3CDTF">2021-10-27T06:28:06Z</dcterms:modified>
</cp:coreProperties>
</file>