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9"/>
        <w:spacing w:after="0"/>
        <w:rPr>
          <w:sz w:val="20"/>
          <w:szCs w:val="20"/>
          <w:color w:val="auto"/>
        </w:rPr>
      </w:pPr>
      <w:r>
        <w:rPr>
          <w:rFonts w:ascii="Courier New" w:cs="Courier New" w:eastAsia="Courier New" w:hAnsi="Courier New"/>
          <w:sz w:val="15"/>
          <w:szCs w:val="15"/>
          <w:color w:val="auto"/>
        </w:rPr>
        <w:t>UNITED STATES</w:t>
      </w:r>
    </w:p>
    <w:p>
      <w:pPr>
        <w:jc w:val="center"/>
        <w:ind w:right="335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59"/>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10-Q</w:t>
      </w:r>
    </w:p>
    <w:p>
      <w:pPr>
        <w:spacing w:after="0" w:line="175" w:lineRule="exact"/>
        <w:rPr>
          <w:sz w:val="24"/>
          <w:szCs w:val="24"/>
          <w:color w:val="auto"/>
        </w:rPr>
      </w:pPr>
    </w:p>
    <w:p>
      <w:pPr>
        <w:ind w:left="700" w:right="3699" w:hanging="445"/>
        <w:spacing w:after="0" w:line="235" w:lineRule="auto"/>
        <w:tabs>
          <w:tab w:leader="none" w:pos="7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For the quarterly period ended March 31, 2000</w:t>
      </w:r>
    </w:p>
    <w:p>
      <w:pPr>
        <w:ind w:left="3340"/>
        <w:spacing w:after="0"/>
        <w:rPr>
          <w:sz w:val="20"/>
          <w:szCs w:val="20"/>
          <w:color w:val="auto"/>
        </w:rPr>
      </w:pPr>
      <w:r>
        <w:rPr>
          <w:rFonts w:ascii="Courier New" w:cs="Courier New" w:eastAsia="Courier New" w:hAnsi="Courier New"/>
          <w:sz w:val="15"/>
          <w:szCs w:val="15"/>
          <w:color w:val="auto"/>
        </w:rPr>
        <w:t>or</w:t>
      </w:r>
    </w:p>
    <w:p>
      <w:pPr>
        <w:spacing w:after="0" w:line="5" w:lineRule="exact"/>
        <w:rPr>
          <w:sz w:val="24"/>
          <w:szCs w:val="24"/>
          <w:color w:val="auto"/>
        </w:rPr>
      </w:pPr>
    </w:p>
    <w:p>
      <w:pPr>
        <w:ind w:left="700" w:right="3619" w:hanging="440"/>
        <w:spacing w:after="0" w:line="235" w:lineRule="auto"/>
        <w:tabs>
          <w:tab w:leader="none" w:pos="680" w:val="left"/>
        </w:tabs>
        <w:rPr>
          <w:sz w:val="20"/>
          <w:szCs w:val="20"/>
          <w:color w:val="auto"/>
        </w:rPr>
      </w:pPr>
      <w:r>
        <w:rPr>
          <w:rFonts w:ascii="Courier New" w:cs="Courier New" w:eastAsia="Courier New" w:hAnsi="Courier New"/>
          <w:sz w:val="15"/>
          <w:szCs w:val="15"/>
          <w:color w:val="auto"/>
        </w:rPr>
        <w:t>[_]</w:t>
        <w:tab/>
        <w:t>TRANSITION REPORT PURSUANT TO SECTION 13 OR 15(d) OF THE SECURITIES EXCHANGE ACT OF 1934.</w:t>
      </w:r>
    </w:p>
    <w:p>
      <w:pPr>
        <w:spacing w:after="0" w:line="6"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For the transition period from_______________________to________________</w:t>
      </w:r>
    </w:p>
    <w:p>
      <w:pPr>
        <w:spacing w:after="0" w:line="175" w:lineRule="exact"/>
        <w:rPr>
          <w:sz w:val="24"/>
          <w:szCs w:val="24"/>
          <w:color w:val="auto"/>
        </w:rPr>
      </w:pPr>
    </w:p>
    <w:p>
      <w:pPr>
        <w:jc w:val="right"/>
        <w:ind w:right="5459"/>
        <w:spacing w:after="0"/>
        <w:rPr>
          <w:sz w:val="20"/>
          <w:szCs w:val="20"/>
          <w:color w:val="auto"/>
        </w:rPr>
      </w:pPr>
      <w:r>
        <w:rPr>
          <w:rFonts w:ascii="Courier New" w:cs="Courier New" w:eastAsia="Courier New" w:hAnsi="Courier New"/>
          <w:sz w:val="15"/>
          <w:szCs w:val="15"/>
          <w:color w:val="auto"/>
        </w:rPr>
        <w:t>Commission file number 0-14948</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5"/>
          <w:szCs w:val="15"/>
          <w:color w:val="auto"/>
        </w:rPr>
        <w:t>FISERV, INC.</w:t>
      </w:r>
    </w:p>
    <w:p>
      <w:pPr>
        <w:jc w:val="center"/>
        <w:ind w:right="3359"/>
        <w:spacing w:after="0"/>
        <w:rPr>
          <w:sz w:val="20"/>
          <w:szCs w:val="20"/>
          <w:color w:val="auto"/>
        </w:rPr>
      </w:pPr>
      <w:r>
        <w:rPr>
          <w:rFonts w:ascii="Courier New" w:cs="Courier New" w:eastAsia="Courier New" w:hAnsi="Courier New"/>
          <w:sz w:val="15"/>
          <w:szCs w:val="15"/>
          <w:color w:val="auto"/>
        </w:rPr>
        <w:t>------------</w:t>
      </w:r>
    </w:p>
    <w:p>
      <w:pPr>
        <w:jc w:val="center"/>
        <w:ind w:right="33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565" w:right="1440" w:bottom="1440" w:gutter="0" w:footer="0" w:header="0"/>
        </w:sectPr>
      </w:pPr>
    </w:p>
    <w:p>
      <w:pPr>
        <w:spacing w:after="0" w:line="168"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WISCONSIN</w:t>
      </w:r>
    </w:p>
    <w:p>
      <w:pPr>
        <w:spacing w:after="0" w:line="5"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(State or other jurisdiction of</w:t>
      </w:r>
    </w:p>
    <w:p>
      <w:pPr>
        <w:spacing w:after="0" w:line="5"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39-1506125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4" w:lineRule="exact"/>
        <w:rPr>
          <w:sz w:val="24"/>
          <w:szCs w:val="24"/>
          <w:color w:val="auto"/>
        </w:rPr>
      </w:pPr>
    </w:p>
    <w:p>
      <w:pPr>
        <w:sectPr>
          <w:pgSz w:w="11900" w:h="16838" w:orient="portrait"/>
          <w:cols w:equalWidth="0" w:num="2">
            <w:col w:w="3700" w:space="600"/>
            <w:col w:w="5919"/>
          </w:cols>
          <w:pgMar w:left="240" w:top="565" w:right="1440"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255 FISERV DRIVE, BROOKFIELD, WI</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260"/>
        <w:spacing w:after="0"/>
        <w:rPr>
          <w:sz w:val="20"/>
          <w:szCs w:val="20"/>
          <w:color w:val="auto"/>
        </w:rPr>
      </w:pPr>
      <w:r>
        <w:rPr>
          <w:rFonts w:ascii="Courier New" w:cs="Courier New" w:eastAsia="Courier New" w:hAnsi="Courier New"/>
          <w:sz w:val="15"/>
          <w:szCs w:val="15"/>
          <w:color w:val="auto"/>
        </w:rPr>
        <w:t>53045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0" w:lineRule="exact"/>
        <w:rPr>
          <w:sz w:val="24"/>
          <w:szCs w:val="24"/>
          <w:color w:val="auto"/>
        </w:rPr>
      </w:pPr>
    </w:p>
    <w:p>
      <w:pPr>
        <w:sectPr>
          <w:pgSz w:w="11900" w:h="16838" w:orient="portrait"/>
          <w:cols w:equalWidth="0" w:num="2">
            <w:col w:w="4380" w:space="720"/>
            <w:col w:w="5119"/>
          </w:cols>
          <w:pgMar w:left="240" w:top="565" w:right="1440" w:bottom="1440" w:gutter="0" w:footer="0" w:header="0"/>
          <w:type w:val="continuous"/>
        </w:sectPr>
      </w:pPr>
    </w:p>
    <w:p>
      <w:pPr>
        <w:ind w:left="2820"/>
        <w:spacing w:after="0"/>
        <w:rPr>
          <w:sz w:val="20"/>
          <w:szCs w:val="20"/>
          <w:color w:val="auto"/>
        </w:rPr>
      </w:pPr>
      <w:r>
        <w:rPr>
          <w:rFonts w:ascii="Courier New" w:cs="Courier New" w:eastAsia="Courier New" w:hAnsi="Courier New"/>
          <w:sz w:val="14"/>
          <w:szCs w:val="14"/>
          <w:color w:val="auto"/>
        </w:rPr>
        <w:t>(262) 879 5000</w:t>
      </w:r>
    </w:p>
    <w:p>
      <w:pPr>
        <w:spacing w:after="0" w:line="11" w:lineRule="exact"/>
        <w:rPr>
          <w:sz w:val="24"/>
          <w:szCs w:val="24"/>
          <w:color w:val="auto"/>
        </w:rPr>
      </w:pPr>
    </w:p>
    <w:p>
      <w:pPr>
        <w:ind w:left="28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565" w:right="1440" w:bottom="1440" w:gutter="0" w:footer="0" w:header="0"/>
          <w:type w:val="continuous"/>
        </w:sectPr>
      </w:pPr>
    </w:p>
    <w:p>
      <w:pPr>
        <w:spacing w:after="0" w:line="5"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5"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8" w:lineRule="exact"/>
        <w:rPr>
          <w:sz w:val="24"/>
          <w:szCs w:val="24"/>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As of April 14, 2000, there were 122,830,000 shares of common stock, $.01 par value, of the Registrant outstanding.</w:t>
      </w:r>
    </w:p>
    <w:p>
      <w:pPr>
        <w:spacing w:after="0" w:line="170"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565" w:right="1440" w:bottom="1440" w:gutter="0" w:footer="0" w:header="0"/>
          <w:type w:val="continuous"/>
        </w:sectPr>
      </w:pPr>
    </w:p>
    <w:bookmarkStart w:id="1" w:name="page2"/>
    <w:bookmarkEnd w:id="1"/>
    <w:p>
      <w:pPr>
        <w:spacing w:after="0"/>
        <w:tabs>
          <w:tab w:leader="none" w:pos="7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rPr>
          <w:sz w:val="20"/>
          <w:szCs w:val="20"/>
          <w:color w:val="auto"/>
        </w:rPr>
      </w:pPr>
      <w:r>
        <w:rPr>
          <w:rFonts w:ascii="Courier New" w:cs="Courier New" w:eastAsia="Courier New" w:hAnsi="Courier New"/>
          <w:sz w:val="15"/>
          <w:szCs w:val="15"/>
          <w:color w:val="auto"/>
        </w:rPr>
        <w:t>ITEM I. FINANCIAL STATEMENTS</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FISERV, INC. AND SUBSIDIARIES</w:t>
      </w:r>
    </w:p>
    <w:p>
      <w:pPr>
        <w:ind w:left="2020"/>
        <w:spacing w:after="0"/>
        <w:rPr>
          <w:sz w:val="20"/>
          <w:szCs w:val="20"/>
          <w:color w:val="auto"/>
        </w:rPr>
      </w:pPr>
      <w:r>
        <w:rPr>
          <w:rFonts w:ascii="Courier New" w:cs="Courier New" w:eastAsia="Courier New" w:hAnsi="Courier New"/>
          <w:sz w:val="15"/>
          <w:szCs w:val="15"/>
          <w:color w:val="auto"/>
        </w:rPr>
        <w:t>CONSOLIDATED STATEMENTS OF INCOME</w:t>
      </w:r>
    </w:p>
    <w:p>
      <w:pPr>
        <w:ind w:left="1660"/>
        <w:spacing w:after="0"/>
        <w:rPr>
          <w:sz w:val="20"/>
          <w:szCs w:val="20"/>
          <w:color w:val="auto"/>
        </w:rPr>
      </w:pPr>
      <w:r>
        <w:rPr>
          <w:rFonts w:ascii="Courier New" w:cs="Courier New" w:eastAsia="Courier New" w:hAnsi="Courier New"/>
          <w:sz w:val="15"/>
          <w:szCs w:val="15"/>
          <w:color w:val="auto"/>
        </w:rPr>
        <w:t>(In thousands, except per share amounts)</w:t>
      </w:r>
    </w:p>
    <w:tbl>
      <w:tblPr>
        <w:tblLayout w:type="fixed"/>
        <w:tblInd w:w="0" w:type="dxa"/>
        <w:tblCellMar>
          <w:top w:w="0" w:type="dxa"/>
          <w:left w:w="0" w:type="dxa"/>
          <w:bottom w:w="0" w:type="dxa"/>
          <w:right w:w="0" w:type="dxa"/>
        </w:tblCellMar>
      </w:tblPr>
      <w:tr>
        <w:trPr>
          <w:trHeight w:val="169"/>
        </w:trPr>
        <w:tc>
          <w:tcPr>
            <w:tcW w:w="4760" w:type="dxa"/>
            <w:vAlign w:val="bottom"/>
          </w:tcPr>
          <w:p>
            <w:pPr>
              <w:ind w:left="2980"/>
              <w:spacing w:after="0" w:line="169" w:lineRule="exact"/>
              <w:rPr>
                <w:sz w:val="20"/>
                <w:szCs w:val="20"/>
                <w:color w:val="auto"/>
              </w:rPr>
            </w:pPr>
            <w:r>
              <w:rPr>
                <w:rFonts w:ascii="Courier New" w:cs="Courier New" w:eastAsia="Courier New" w:hAnsi="Courier New"/>
                <w:sz w:val="15"/>
                <w:szCs w:val="15"/>
                <w:color w:val="auto"/>
              </w:rPr>
              <w:t>(Unaudited)</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8"/>
        </w:trPr>
        <w:tc>
          <w:tcPr>
            <w:tcW w:w="4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620" w:type="dxa"/>
            <w:vAlign w:val="bottom"/>
          </w:tcPr>
          <w:p>
            <w:pPr>
              <w:spacing w:after="0"/>
              <w:rPr>
                <w:sz w:val="24"/>
                <w:szCs w:val="24"/>
                <w:color w:val="auto"/>
              </w:rPr>
            </w:pPr>
          </w:p>
        </w:tc>
      </w:tr>
      <w:tr>
        <w:trPr>
          <w:trHeight w:val="170"/>
        </w:trPr>
        <w:tc>
          <w:tcPr>
            <w:tcW w:w="4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March 31,</w:t>
            </w:r>
          </w:p>
        </w:tc>
        <w:tc>
          <w:tcPr>
            <w:tcW w:w="620" w:type="dxa"/>
            <w:vAlign w:val="bottom"/>
          </w:tcPr>
          <w:p>
            <w:pPr>
              <w:spacing w:after="0"/>
              <w:rPr>
                <w:sz w:val="14"/>
                <w:szCs w:val="14"/>
                <w:color w:val="auto"/>
              </w:rPr>
            </w:pPr>
          </w:p>
        </w:tc>
      </w:tr>
      <w:tr>
        <w:trPr>
          <w:trHeight w:val="170"/>
        </w:trPr>
        <w:tc>
          <w:tcPr>
            <w:tcW w:w="4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2000</w:t>
            </w:r>
          </w:p>
        </w:tc>
        <w:tc>
          <w:tcPr>
            <w:tcW w:w="1200" w:type="dxa"/>
            <w:vAlign w:val="bottom"/>
          </w:tcPr>
          <w:p>
            <w:pPr>
              <w:spacing w:after="0"/>
              <w:rPr>
                <w:sz w:val="14"/>
                <w:szCs w:val="14"/>
                <w:color w:val="auto"/>
              </w:rPr>
            </w:pP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88"/>
              </w:rPr>
              <w:t>1999</w:t>
            </w:r>
          </w:p>
        </w:tc>
      </w:tr>
      <w:tr>
        <w:trPr>
          <w:trHeight w:val="170"/>
        </w:trPr>
        <w:tc>
          <w:tcPr>
            <w:tcW w:w="4760" w:type="dxa"/>
            <w:vAlign w:val="bottom"/>
          </w:tcPr>
          <w:p>
            <w:pPr>
              <w:spacing w:after="0"/>
              <w:rPr>
                <w:sz w:val="14"/>
                <w:szCs w:val="14"/>
                <w:color w:val="auto"/>
              </w:rPr>
            </w:pPr>
          </w:p>
        </w:tc>
        <w:tc>
          <w:tcPr>
            <w:tcW w:w="3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$396,402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337,129</w:t>
            </w:r>
          </w:p>
        </w:tc>
      </w:tr>
      <w:tr>
        <w:trPr>
          <w:trHeight w:val="170"/>
        </w:trPr>
        <w:tc>
          <w:tcPr>
            <w:tcW w:w="4760" w:type="dxa"/>
            <w:vAlign w:val="bottom"/>
          </w:tcPr>
          <w:p>
            <w:pPr>
              <w:spacing w:after="0"/>
              <w:rPr>
                <w:sz w:val="14"/>
                <w:szCs w:val="14"/>
                <w:color w:val="auto"/>
              </w:rPr>
            </w:pPr>
          </w:p>
        </w:tc>
        <w:tc>
          <w:tcPr>
            <w:tcW w:w="3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Salaries, commissions and payroll</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related costs</w:t>
            </w:r>
          </w:p>
        </w:tc>
        <w:tc>
          <w:tcPr>
            <w:tcW w:w="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189,572</w:t>
            </w: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159,546</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Data processing expenses, rentals</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and telecommunication costs</w:t>
            </w:r>
          </w:p>
        </w:tc>
        <w:tc>
          <w:tcPr>
            <w:tcW w:w="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28,112</w:t>
            </w: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30,620</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Other operating expenses</w:t>
            </w:r>
          </w:p>
        </w:tc>
        <w:tc>
          <w:tcPr>
            <w:tcW w:w="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75,227</w:t>
            </w: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63,973</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 of</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property and equipment</w:t>
            </w:r>
          </w:p>
        </w:tc>
        <w:tc>
          <w:tcPr>
            <w:tcW w:w="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16,749</w:t>
            </w: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14,768</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Amortization of intangible assets</w:t>
            </w:r>
          </w:p>
        </w:tc>
        <w:tc>
          <w:tcPr>
            <w:tcW w:w="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7,176</w:t>
            </w: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4,548</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Amortization of internally</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generated computer software-net</w:t>
            </w:r>
          </w:p>
        </w:tc>
        <w:tc>
          <w:tcPr>
            <w:tcW w:w="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612</w:t>
            </w: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3,051</w:t>
            </w:r>
          </w:p>
        </w:tc>
      </w:tr>
      <w:tr>
        <w:trPr>
          <w:trHeight w:val="170"/>
        </w:trPr>
        <w:tc>
          <w:tcPr>
            <w:tcW w:w="4760" w:type="dxa"/>
            <w:vAlign w:val="bottom"/>
          </w:tcPr>
          <w:p>
            <w:pPr>
              <w:spacing w:after="0"/>
              <w:rPr>
                <w:sz w:val="14"/>
                <w:szCs w:val="14"/>
                <w:color w:val="auto"/>
              </w:rPr>
            </w:pPr>
          </w:p>
        </w:tc>
        <w:tc>
          <w:tcPr>
            <w:tcW w:w="3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Total cost of revenues</w:t>
            </w:r>
          </w:p>
        </w:tc>
        <w:tc>
          <w:tcPr>
            <w:tcW w:w="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317,448</w:t>
            </w: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276,506</w:t>
            </w:r>
          </w:p>
        </w:tc>
      </w:tr>
      <w:tr>
        <w:trPr>
          <w:trHeight w:val="170"/>
        </w:trPr>
        <w:tc>
          <w:tcPr>
            <w:tcW w:w="4760" w:type="dxa"/>
            <w:vAlign w:val="bottom"/>
          </w:tcPr>
          <w:p>
            <w:pPr>
              <w:spacing w:after="0"/>
              <w:rPr>
                <w:sz w:val="14"/>
                <w:szCs w:val="14"/>
                <w:color w:val="auto"/>
              </w:rPr>
            </w:pPr>
          </w:p>
        </w:tc>
        <w:tc>
          <w:tcPr>
            <w:tcW w:w="3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78,954</w:t>
            </w: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60,623</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Interest expense - net</w:t>
            </w:r>
          </w:p>
        </w:tc>
        <w:tc>
          <w:tcPr>
            <w:tcW w:w="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5,806</w:t>
            </w: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3,985</w:t>
            </w:r>
          </w:p>
        </w:tc>
      </w:tr>
      <w:tr>
        <w:trPr>
          <w:trHeight w:val="170"/>
        </w:trPr>
        <w:tc>
          <w:tcPr>
            <w:tcW w:w="4760" w:type="dxa"/>
            <w:vAlign w:val="bottom"/>
          </w:tcPr>
          <w:p>
            <w:pPr>
              <w:spacing w:after="0"/>
              <w:rPr>
                <w:sz w:val="14"/>
                <w:szCs w:val="14"/>
                <w:color w:val="auto"/>
              </w:rPr>
            </w:pPr>
          </w:p>
        </w:tc>
        <w:tc>
          <w:tcPr>
            <w:tcW w:w="3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73,148</w:t>
            </w: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56,638</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29,991</w:t>
            </w: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23,222</w:t>
            </w:r>
          </w:p>
        </w:tc>
      </w:tr>
      <w:tr>
        <w:trPr>
          <w:trHeight w:val="170"/>
        </w:trPr>
        <w:tc>
          <w:tcPr>
            <w:tcW w:w="4760" w:type="dxa"/>
            <w:vAlign w:val="bottom"/>
          </w:tcPr>
          <w:p>
            <w:pPr>
              <w:spacing w:after="0"/>
              <w:rPr>
                <w:sz w:val="14"/>
                <w:szCs w:val="14"/>
                <w:color w:val="auto"/>
              </w:rPr>
            </w:pPr>
          </w:p>
        </w:tc>
        <w:tc>
          <w:tcPr>
            <w:tcW w:w="3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$ 43,157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33,416</w:t>
            </w:r>
          </w:p>
        </w:tc>
      </w:tr>
      <w:tr>
        <w:trPr>
          <w:trHeight w:val="170"/>
        </w:trPr>
        <w:tc>
          <w:tcPr>
            <w:tcW w:w="4760" w:type="dxa"/>
            <w:vAlign w:val="bottom"/>
          </w:tcPr>
          <w:p>
            <w:pPr>
              <w:spacing w:after="0"/>
              <w:rPr>
                <w:sz w:val="14"/>
                <w:szCs w:val="14"/>
                <w:color w:val="auto"/>
              </w:rPr>
            </w:pPr>
          </w:p>
        </w:tc>
        <w:tc>
          <w:tcPr>
            <w:tcW w:w="3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0.35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0.27</w:t>
            </w:r>
          </w:p>
        </w:tc>
      </w:tr>
      <w:tr>
        <w:trPr>
          <w:trHeight w:val="170"/>
        </w:trPr>
        <w:tc>
          <w:tcPr>
            <w:tcW w:w="4760" w:type="dxa"/>
            <w:vAlign w:val="bottom"/>
          </w:tcPr>
          <w:p>
            <w:pPr>
              <w:spacing w:after="0"/>
              <w:rPr>
                <w:sz w:val="14"/>
                <w:szCs w:val="14"/>
                <w:color w:val="auto"/>
              </w:rPr>
            </w:pPr>
          </w:p>
        </w:tc>
        <w:tc>
          <w:tcPr>
            <w:tcW w:w="3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0.34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0.26</w:t>
            </w:r>
          </w:p>
        </w:tc>
      </w:tr>
      <w:tr>
        <w:trPr>
          <w:trHeight w:val="170"/>
        </w:trPr>
        <w:tc>
          <w:tcPr>
            <w:tcW w:w="4760" w:type="dxa"/>
            <w:vAlign w:val="bottom"/>
          </w:tcPr>
          <w:p>
            <w:pPr>
              <w:spacing w:after="0"/>
              <w:rPr>
                <w:sz w:val="14"/>
                <w:szCs w:val="14"/>
                <w:color w:val="auto"/>
              </w:rPr>
            </w:pPr>
          </w:p>
        </w:tc>
        <w:tc>
          <w:tcPr>
            <w:tcW w:w="3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Shares used in computing net income per share:</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7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122,622</w:t>
            </w:r>
          </w:p>
        </w:tc>
        <w:tc>
          <w:tcPr>
            <w:tcW w:w="1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123,230</w:t>
            </w:r>
          </w:p>
        </w:tc>
      </w:tr>
      <w:tr>
        <w:trPr>
          <w:trHeight w:val="170"/>
        </w:trPr>
        <w:tc>
          <w:tcPr>
            <w:tcW w:w="4760" w:type="dxa"/>
            <w:vAlign w:val="bottom"/>
          </w:tcPr>
          <w:p>
            <w:pPr>
              <w:spacing w:after="0"/>
              <w:rPr>
                <w:sz w:val="14"/>
                <w:szCs w:val="14"/>
                <w:color w:val="auto"/>
              </w:rPr>
            </w:pPr>
          </w:p>
        </w:tc>
        <w:tc>
          <w:tcPr>
            <w:tcW w:w="3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125,543</w:t>
            </w:r>
          </w:p>
        </w:tc>
        <w:tc>
          <w:tcPr>
            <w:tcW w:w="1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127,880</w:t>
            </w:r>
          </w:p>
        </w:tc>
      </w:tr>
      <w:tr>
        <w:trPr>
          <w:trHeight w:val="170"/>
        </w:trPr>
        <w:tc>
          <w:tcPr>
            <w:tcW w:w="4760" w:type="dxa"/>
            <w:vAlign w:val="bottom"/>
          </w:tcPr>
          <w:p>
            <w:pPr>
              <w:spacing w:after="0"/>
              <w:rPr>
                <w:sz w:val="14"/>
                <w:szCs w:val="14"/>
                <w:color w:val="auto"/>
              </w:rPr>
            </w:pPr>
          </w:p>
        </w:tc>
        <w:tc>
          <w:tcPr>
            <w:tcW w:w="3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2" w:right="1440" w:bottom="1440" w:gutter="0" w:footer="0" w:header="0"/>
        </w:sectPr>
      </w:pPr>
    </w:p>
    <w:bookmarkStart w:id="2" w:name="page3"/>
    <w:bookmarkEnd w:id="2"/>
    <w:p>
      <w:pPr>
        <w:jc w:val="center"/>
        <w:ind w:right="3259"/>
        <w:spacing w:after="0"/>
        <w:rPr>
          <w:sz w:val="20"/>
          <w:szCs w:val="20"/>
          <w:color w:val="auto"/>
        </w:rPr>
      </w:pPr>
      <w:r>
        <w:rPr>
          <w:rFonts w:ascii="Courier New" w:cs="Courier New" w:eastAsia="Courier New" w:hAnsi="Courier New"/>
          <w:sz w:val="15"/>
          <w:szCs w:val="15"/>
          <w:color w:val="auto"/>
        </w:rPr>
        <w:t>FISERV, INC. AND SUBSIDIARIES</w:t>
      </w:r>
    </w:p>
    <w:p>
      <w:pPr>
        <w:jc w:val="center"/>
        <w:ind w:right="3259"/>
        <w:spacing w:after="0"/>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9"/>
        </w:trPr>
        <w:tc>
          <w:tcPr>
            <w:tcW w:w="5100" w:type="dxa"/>
            <w:vAlign w:val="bottom"/>
          </w:tcPr>
          <w:p>
            <w:pPr>
              <w:ind w:left="2460"/>
              <w:spacing w:after="0"/>
              <w:rPr>
                <w:sz w:val="20"/>
                <w:szCs w:val="20"/>
                <w:color w:val="auto"/>
              </w:rPr>
            </w:pPr>
            <w:r>
              <w:rPr>
                <w:rFonts w:ascii="Courier New" w:cs="Courier New" w:eastAsia="Courier New" w:hAnsi="Courier New"/>
                <w:sz w:val="15"/>
                <w:szCs w:val="15"/>
                <w:color w:val="auto"/>
              </w:rPr>
              <w:t>(Dollars in thousands)</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5100" w:type="dxa"/>
            <w:vAlign w:val="bottom"/>
          </w:tcPr>
          <w:p>
            <w:pPr>
              <w:spacing w:after="0"/>
              <w:rPr>
                <w:sz w:val="24"/>
                <w:szCs w:val="24"/>
                <w:color w:val="auto"/>
              </w:rPr>
            </w:pPr>
          </w:p>
        </w:tc>
        <w:tc>
          <w:tcPr>
            <w:tcW w:w="23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March 31,</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100" w:type="dxa"/>
            <w:vAlign w:val="bottom"/>
          </w:tcPr>
          <w:p>
            <w:pPr>
              <w:spacing w:after="0"/>
              <w:rPr>
                <w:sz w:val="14"/>
                <w:szCs w:val="14"/>
                <w:color w:val="auto"/>
              </w:rPr>
            </w:pPr>
          </w:p>
        </w:tc>
        <w:tc>
          <w:tcPr>
            <w:tcW w:w="238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2000</w:t>
            </w:r>
          </w:p>
        </w:tc>
        <w:tc>
          <w:tcPr>
            <w:tcW w:w="15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100" w:type="dxa"/>
            <w:vAlign w:val="bottom"/>
          </w:tcPr>
          <w:p>
            <w:pPr>
              <w:spacing w:after="0"/>
              <w:rPr>
                <w:sz w:val="14"/>
                <w:szCs w:val="14"/>
                <w:color w:val="auto"/>
              </w:rPr>
            </w:pPr>
          </w:p>
        </w:tc>
        <w:tc>
          <w:tcPr>
            <w:tcW w:w="39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23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(Unaudited)</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240" w:type="dxa"/>
            <w:vAlign w:val="bottom"/>
          </w:tcPr>
          <w:p>
            <w:pPr>
              <w:ind w:left="11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74,655</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80,554</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Accounts receivable - net</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244,991</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235,350</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Securities processing receivables</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3,131,694</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2,196,068</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Prepaid expenses and other assets</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94,136</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89,378</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Trust account investments</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1,286,458</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1,298,120</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Other investments</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349,577</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335,573</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Property and equipment-net</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203,863</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195,333</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Internally generated computer software-net</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74,651</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75,263</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Intangible assets-net</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798,900</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802,071</w:t>
            </w:r>
          </w:p>
        </w:tc>
      </w:tr>
      <w:tr>
        <w:trPr>
          <w:trHeight w:val="170"/>
        </w:trPr>
        <w:tc>
          <w:tcPr>
            <w:tcW w:w="5100" w:type="dxa"/>
            <w:vAlign w:val="bottom"/>
          </w:tcPr>
          <w:p>
            <w:pPr>
              <w:spacing w:after="0"/>
              <w:rPr>
                <w:sz w:val="14"/>
                <w:szCs w:val="14"/>
                <w:color w:val="auto"/>
              </w:rPr>
            </w:pPr>
          </w:p>
        </w:tc>
        <w:tc>
          <w:tcPr>
            <w:tcW w:w="39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$6,258,925</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5,307,710</w:t>
            </w:r>
          </w:p>
        </w:tc>
      </w:tr>
      <w:tr>
        <w:trPr>
          <w:trHeight w:val="170"/>
        </w:trPr>
        <w:tc>
          <w:tcPr>
            <w:tcW w:w="5100" w:type="dxa"/>
            <w:vAlign w:val="bottom"/>
          </w:tcPr>
          <w:p>
            <w:pPr>
              <w:spacing w:after="0"/>
              <w:rPr>
                <w:sz w:val="14"/>
                <w:szCs w:val="14"/>
                <w:color w:val="auto"/>
              </w:rPr>
            </w:pPr>
          </w:p>
        </w:tc>
        <w:tc>
          <w:tcPr>
            <w:tcW w:w="39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240" w:type="dxa"/>
            <w:vAlign w:val="bottom"/>
          </w:tcPr>
          <w:p>
            <w:pPr>
              <w:ind w:left="11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68,680</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66,400</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Securities processing payables</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2,476,735</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1,764,382</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Short-term borrowings</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449,025</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234,350</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151,917</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176,443</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Accrued income taxes</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17,036</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12,736</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Deferred revenues</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139,912</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131,476</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Trust account deposits</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1,285,232</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1,298,120</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85,006</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59,963</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434,376</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472,824</w:t>
            </w:r>
          </w:p>
        </w:tc>
      </w:tr>
      <w:tr>
        <w:trPr>
          <w:trHeight w:val="170"/>
        </w:trPr>
        <w:tc>
          <w:tcPr>
            <w:tcW w:w="5100" w:type="dxa"/>
            <w:vAlign w:val="bottom"/>
          </w:tcPr>
          <w:p>
            <w:pPr>
              <w:spacing w:after="0"/>
              <w:rPr>
                <w:sz w:val="14"/>
                <w:szCs w:val="14"/>
                <w:color w:val="auto"/>
              </w:rPr>
            </w:pPr>
          </w:p>
        </w:tc>
        <w:tc>
          <w:tcPr>
            <w:tcW w:w="39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5,107,919</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4,216,694</w:t>
            </w:r>
          </w:p>
        </w:tc>
      </w:tr>
      <w:tr>
        <w:trPr>
          <w:trHeight w:val="170"/>
        </w:trPr>
        <w:tc>
          <w:tcPr>
            <w:tcW w:w="5100" w:type="dxa"/>
            <w:vAlign w:val="bottom"/>
          </w:tcPr>
          <w:p>
            <w:pPr>
              <w:spacing w:after="0"/>
              <w:rPr>
                <w:sz w:val="14"/>
                <w:szCs w:val="14"/>
                <w:color w:val="auto"/>
              </w:rPr>
            </w:pPr>
          </w:p>
        </w:tc>
        <w:tc>
          <w:tcPr>
            <w:tcW w:w="39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Common stock issued, 125,387,700 and</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125,387,700 shares, respectively</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1,254</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1,254</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459,306</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458,550</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135,474</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125,026</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Accumulated earnings</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619,667</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576,510</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Treasury stock, at cost, 2,594,300 and</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2,804,400 shares, respectively</w:t>
            </w:r>
          </w:p>
        </w:tc>
        <w:tc>
          <w:tcPr>
            <w:tcW w:w="12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(64,695)</w:t>
            </w:r>
          </w:p>
        </w:tc>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(70,324)</w:t>
            </w:r>
          </w:p>
        </w:tc>
      </w:tr>
      <w:tr>
        <w:trPr>
          <w:trHeight w:val="170"/>
        </w:trPr>
        <w:tc>
          <w:tcPr>
            <w:tcW w:w="5100" w:type="dxa"/>
            <w:vAlign w:val="bottom"/>
          </w:tcPr>
          <w:p>
            <w:pPr>
              <w:spacing w:after="0"/>
              <w:rPr>
                <w:sz w:val="14"/>
                <w:szCs w:val="14"/>
                <w:color w:val="auto"/>
              </w:rPr>
            </w:pPr>
          </w:p>
        </w:tc>
        <w:tc>
          <w:tcPr>
            <w:tcW w:w="39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12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1,151,006</w:t>
            </w:r>
          </w:p>
        </w:tc>
        <w:tc>
          <w:tcPr>
            <w:tcW w:w="7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1,091,016</w:t>
            </w:r>
          </w:p>
        </w:tc>
      </w:tr>
      <w:tr>
        <w:trPr>
          <w:trHeight w:val="170"/>
        </w:trPr>
        <w:tc>
          <w:tcPr>
            <w:tcW w:w="5100" w:type="dxa"/>
            <w:vAlign w:val="bottom"/>
          </w:tcPr>
          <w:p>
            <w:pPr>
              <w:spacing w:after="0"/>
              <w:rPr>
                <w:sz w:val="14"/>
                <w:szCs w:val="14"/>
                <w:color w:val="auto"/>
              </w:rPr>
            </w:pPr>
          </w:p>
        </w:tc>
        <w:tc>
          <w:tcPr>
            <w:tcW w:w="39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$6,258,925</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5,307,710</w:t>
            </w:r>
          </w:p>
        </w:tc>
      </w:tr>
      <w:tr>
        <w:trPr>
          <w:trHeight w:val="170"/>
        </w:trPr>
        <w:tc>
          <w:tcPr>
            <w:tcW w:w="5100" w:type="dxa"/>
            <w:vAlign w:val="bottom"/>
          </w:tcPr>
          <w:p>
            <w:pPr>
              <w:spacing w:after="0"/>
              <w:rPr>
                <w:sz w:val="14"/>
                <w:szCs w:val="14"/>
                <w:color w:val="auto"/>
              </w:rPr>
            </w:pPr>
          </w:p>
        </w:tc>
        <w:tc>
          <w:tcPr>
            <w:tcW w:w="39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2" w:right="1440" w:bottom="1440" w:gutter="0" w:footer="0" w:header="0"/>
        </w:sectPr>
      </w:pPr>
    </w:p>
    <w:bookmarkStart w:id="3" w:name="page4"/>
    <w:bookmarkEnd w:id="3"/>
    <w:p>
      <w:pPr>
        <w:jc w:val="center"/>
        <w:ind w:right="3600"/>
        <w:spacing w:after="0"/>
        <w:rPr>
          <w:sz w:val="20"/>
          <w:szCs w:val="20"/>
          <w:color w:val="auto"/>
        </w:rPr>
      </w:pPr>
      <w:r>
        <w:rPr>
          <w:rFonts w:ascii="Courier New" w:cs="Courier New" w:eastAsia="Courier New" w:hAnsi="Courier New"/>
          <w:sz w:val="15"/>
          <w:szCs w:val="15"/>
          <w:color w:val="auto"/>
        </w:rPr>
        <w:t>FISERV, INC. AND SUBSIDIARIES</w:t>
      </w: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p>
      <w:pPr>
        <w:ind w:left="2460"/>
        <w:spacing w:after="0"/>
        <w:rPr>
          <w:sz w:val="20"/>
          <w:szCs w:val="20"/>
          <w:color w:val="auto"/>
        </w:rPr>
      </w:pPr>
      <w:r>
        <w:rPr>
          <w:rFonts w:ascii="Courier New" w:cs="Courier New" w:eastAsia="Courier New" w:hAnsi="Courier New"/>
          <w:sz w:val="15"/>
          <w:szCs w:val="15"/>
          <w:color w:val="auto"/>
        </w:rPr>
        <w:t>(Dollars in thousands)</w:t>
      </w:r>
    </w:p>
    <w:tbl>
      <w:tblPr>
        <w:tblLayout w:type="fixed"/>
        <w:tblInd w:w="0" w:type="dxa"/>
        <w:tblCellMar>
          <w:top w:w="0" w:type="dxa"/>
          <w:left w:w="0" w:type="dxa"/>
          <w:bottom w:w="0" w:type="dxa"/>
          <w:right w:w="0" w:type="dxa"/>
        </w:tblCellMar>
      </w:tblPr>
      <w:tr>
        <w:trPr>
          <w:trHeight w:val="169"/>
        </w:trPr>
        <w:tc>
          <w:tcPr>
            <w:tcW w:w="7000" w:type="dxa"/>
            <w:vAlign w:val="bottom"/>
          </w:tcPr>
          <w:p>
            <w:pPr>
              <w:ind w:left="2980"/>
              <w:spacing w:after="0" w:line="169" w:lineRule="exact"/>
              <w:rPr>
                <w:sz w:val="20"/>
                <w:szCs w:val="20"/>
                <w:color w:val="auto"/>
              </w:rPr>
            </w:pPr>
            <w:r>
              <w:rPr>
                <w:rFonts w:ascii="Courier New" w:cs="Courier New" w:eastAsia="Courier New" w:hAnsi="Courier New"/>
                <w:sz w:val="15"/>
                <w:szCs w:val="15"/>
                <w:color w:val="auto"/>
              </w:rPr>
              <w:t>(Unaudited)</w:t>
            </w: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8"/>
        </w:trPr>
        <w:tc>
          <w:tcPr>
            <w:tcW w:w="7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7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March 31,</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7000" w:type="dxa"/>
            <w:vAlign w:val="bottom"/>
          </w:tcPr>
          <w:p>
            <w:pPr>
              <w:spacing w:after="0"/>
              <w:rPr>
                <w:sz w:val="14"/>
                <w:szCs w:val="14"/>
                <w:color w:val="auto"/>
              </w:rPr>
            </w:pPr>
          </w:p>
        </w:tc>
        <w:tc>
          <w:tcPr>
            <w:tcW w:w="250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2000</w:t>
            </w: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7000" w:type="dxa"/>
            <w:vAlign w:val="bottom"/>
          </w:tcPr>
          <w:p>
            <w:pPr>
              <w:spacing w:after="0"/>
              <w:rPr>
                <w:sz w:val="14"/>
                <w:szCs w:val="14"/>
                <w:color w:val="auto"/>
              </w:rPr>
            </w:pPr>
          </w:p>
        </w:tc>
        <w:tc>
          <w:tcPr>
            <w:tcW w:w="35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0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ind w:left="920"/>
              <w:spacing w:after="0"/>
              <w:rPr>
                <w:sz w:val="20"/>
                <w:szCs w:val="20"/>
                <w:color w:val="auto"/>
              </w:rPr>
            </w:pPr>
            <w:r>
              <w:rPr>
                <w:rFonts w:ascii="Courier New" w:cs="Courier New" w:eastAsia="Courier New" w:hAnsi="Courier New"/>
                <w:sz w:val="15"/>
                <w:szCs w:val="15"/>
                <w:color w:val="auto"/>
                <w:w w:val="88"/>
              </w:rPr>
              <w:t>$</w:t>
            </w: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43,157</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33,416</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by operating activities:</w:t>
            </w: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Deferred income taxes</w:t>
            </w:r>
          </w:p>
        </w:tc>
        <w:tc>
          <w:tcPr>
            <w:tcW w:w="1020" w:type="dxa"/>
            <w:vAlign w:val="bottom"/>
          </w:tcPr>
          <w:p>
            <w:pPr>
              <w:spacing w:after="0"/>
              <w:rPr>
                <w:sz w:val="14"/>
                <w:szCs w:val="14"/>
                <w:color w:val="auto"/>
              </w:rPr>
            </w:pP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17,605</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7,138</w:t>
            </w: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 of property and equipment</w:t>
            </w:r>
          </w:p>
        </w:tc>
        <w:tc>
          <w:tcPr>
            <w:tcW w:w="1020" w:type="dxa"/>
            <w:vAlign w:val="bottom"/>
          </w:tcPr>
          <w:p>
            <w:pPr>
              <w:spacing w:after="0"/>
              <w:rPr>
                <w:sz w:val="14"/>
                <w:szCs w:val="14"/>
                <w:color w:val="auto"/>
              </w:rPr>
            </w:pP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16,749</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14,768</w:t>
            </w: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intangible assets</w:t>
            </w:r>
          </w:p>
        </w:tc>
        <w:tc>
          <w:tcPr>
            <w:tcW w:w="1020" w:type="dxa"/>
            <w:vAlign w:val="bottom"/>
          </w:tcPr>
          <w:p>
            <w:pPr>
              <w:spacing w:after="0"/>
              <w:rPr>
                <w:sz w:val="14"/>
                <w:szCs w:val="14"/>
                <w:color w:val="auto"/>
              </w:rPr>
            </w:pP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7,176</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4,548</w:t>
            </w: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internally generated computer software</w:t>
            </w:r>
          </w:p>
        </w:tc>
        <w:tc>
          <w:tcPr>
            <w:tcW w:w="1020" w:type="dxa"/>
            <w:vAlign w:val="bottom"/>
          </w:tcPr>
          <w:p>
            <w:pPr>
              <w:spacing w:after="0"/>
              <w:rPr>
                <w:sz w:val="14"/>
                <w:szCs w:val="14"/>
                <w:color w:val="auto"/>
              </w:rPr>
            </w:pP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10,253</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10,936</w:t>
            </w:r>
          </w:p>
        </w:tc>
      </w:tr>
      <w:tr>
        <w:trPr>
          <w:trHeight w:val="170"/>
        </w:trPr>
        <w:tc>
          <w:tcPr>
            <w:tcW w:w="7000" w:type="dxa"/>
            <w:vAlign w:val="bottom"/>
          </w:tcPr>
          <w:p>
            <w:pPr>
              <w:spacing w:after="0"/>
              <w:rPr>
                <w:sz w:val="14"/>
                <w:szCs w:val="14"/>
                <w:color w:val="auto"/>
              </w:rPr>
            </w:pPr>
          </w:p>
        </w:tc>
        <w:tc>
          <w:tcPr>
            <w:tcW w:w="35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94,940</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70,806</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 net of effects from acquisitions of</w:t>
            </w: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businesses:</w:t>
            </w: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9"/>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w:t>
            </w:r>
          </w:p>
        </w:tc>
        <w:tc>
          <w:tcPr>
            <w:tcW w:w="1020" w:type="dxa"/>
            <w:vAlign w:val="bottom"/>
          </w:tcPr>
          <w:p>
            <w:pPr>
              <w:spacing w:after="0"/>
              <w:rPr>
                <w:sz w:val="24"/>
                <w:szCs w:val="2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(8,802)</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(1,964)</w:t>
            </w: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Prepaid expenses and other assets</w:t>
            </w:r>
          </w:p>
        </w:tc>
        <w:tc>
          <w:tcPr>
            <w:tcW w:w="1020" w:type="dxa"/>
            <w:vAlign w:val="bottom"/>
          </w:tcPr>
          <w:p>
            <w:pPr>
              <w:spacing w:after="0"/>
              <w:rPr>
                <w:sz w:val="14"/>
                <w:szCs w:val="1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(4,292)</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 and accrued expenses</w:t>
            </w:r>
          </w:p>
        </w:tc>
        <w:tc>
          <w:tcPr>
            <w:tcW w:w="1020" w:type="dxa"/>
            <w:vAlign w:val="bottom"/>
          </w:tcPr>
          <w:p>
            <w:pPr>
              <w:spacing w:after="0"/>
              <w:rPr>
                <w:sz w:val="14"/>
                <w:szCs w:val="1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(23,151)</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2,521</w:t>
            </w: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Deferred revenues</w:t>
            </w:r>
          </w:p>
        </w:tc>
        <w:tc>
          <w:tcPr>
            <w:tcW w:w="1020" w:type="dxa"/>
            <w:vAlign w:val="bottom"/>
          </w:tcPr>
          <w:p>
            <w:pPr>
              <w:spacing w:after="0"/>
              <w:rPr>
                <w:sz w:val="14"/>
                <w:szCs w:val="14"/>
                <w:color w:val="auto"/>
              </w:rPr>
            </w:pP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8,118</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11,736</w:t>
            </w: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Accrued income taxes</w:t>
            </w:r>
          </w:p>
        </w:tc>
        <w:tc>
          <w:tcPr>
            <w:tcW w:w="1020" w:type="dxa"/>
            <w:vAlign w:val="bottom"/>
          </w:tcPr>
          <w:p>
            <w:pPr>
              <w:spacing w:after="0"/>
              <w:rPr>
                <w:sz w:val="14"/>
                <w:szCs w:val="14"/>
                <w:color w:val="auto"/>
              </w:rPr>
            </w:pP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7,300</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4,974</w:t>
            </w: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Securities processing receivables and payables - net</w:t>
            </w:r>
          </w:p>
        </w:tc>
        <w:tc>
          <w:tcPr>
            <w:tcW w:w="1020" w:type="dxa"/>
            <w:vAlign w:val="bottom"/>
          </w:tcPr>
          <w:p>
            <w:pPr>
              <w:spacing w:after="0"/>
              <w:rPr>
                <w:sz w:val="14"/>
                <w:szCs w:val="1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3"/>
              </w:rPr>
              <w:t>(223,273)</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(43,097)</w:t>
            </w:r>
          </w:p>
        </w:tc>
      </w:tr>
      <w:tr>
        <w:trPr>
          <w:trHeight w:val="170"/>
        </w:trPr>
        <w:tc>
          <w:tcPr>
            <w:tcW w:w="7000" w:type="dxa"/>
            <w:vAlign w:val="bottom"/>
          </w:tcPr>
          <w:p>
            <w:pPr>
              <w:spacing w:after="0"/>
              <w:rPr>
                <w:sz w:val="14"/>
                <w:szCs w:val="14"/>
                <w:color w:val="auto"/>
              </w:rPr>
            </w:pPr>
          </w:p>
        </w:tc>
        <w:tc>
          <w:tcPr>
            <w:tcW w:w="35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Net cash (used in) provided by operating activities</w:t>
            </w:r>
          </w:p>
        </w:tc>
        <w:tc>
          <w:tcPr>
            <w:tcW w:w="1020" w:type="dxa"/>
            <w:vAlign w:val="bottom"/>
          </w:tcPr>
          <w:p>
            <w:pPr>
              <w:spacing w:after="0"/>
              <w:rPr>
                <w:sz w:val="14"/>
                <w:szCs w:val="1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3"/>
              </w:rPr>
              <w:t>(149,160)</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44,776</w:t>
            </w:r>
          </w:p>
        </w:tc>
      </w:tr>
      <w:tr>
        <w:trPr>
          <w:trHeight w:val="170"/>
        </w:trPr>
        <w:tc>
          <w:tcPr>
            <w:tcW w:w="7000" w:type="dxa"/>
            <w:vAlign w:val="bottom"/>
          </w:tcPr>
          <w:p>
            <w:pPr>
              <w:spacing w:after="0"/>
              <w:rPr>
                <w:sz w:val="14"/>
                <w:szCs w:val="14"/>
                <w:color w:val="auto"/>
              </w:rPr>
            </w:pPr>
          </w:p>
        </w:tc>
        <w:tc>
          <w:tcPr>
            <w:tcW w:w="35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Capital expenditures</w:t>
            </w:r>
          </w:p>
        </w:tc>
        <w:tc>
          <w:tcPr>
            <w:tcW w:w="1020" w:type="dxa"/>
            <w:vAlign w:val="bottom"/>
          </w:tcPr>
          <w:p>
            <w:pPr>
              <w:spacing w:after="0"/>
              <w:rPr>
                <w:sz w:val="14"/>
                <w:szCs w:val="1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(22,094)</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(19,736)</w:t>
            </w: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Capitalization of internally generated computer software</w:t>
            </w:r>
          </w:p>
        </w:tc>
        <w:tc>
          <w:tcPr>
            <w:tcW w:w="1020" w:type="dxa"/>
            <w:vAlign w:val="bottom"/>
          </w:tcPr>
          <w:p>
            <w:pPr>
              <w:spacing w:after="0"/>
              <w:rPr>
                <w:sz w:val="14"/>
                <w:szCs w:val="1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(9,641)</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(7,885)</w:t>
            </w: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Payment for acquisitions of businesses, net of cash acquired</w:t>
            </w:r>
          </w:p>
        </w:tc>
        <w:tc>
          <w:tcPr>
            <w:tcW w:w="1020" w:type="dxa"/>
            <w:vAlign w:val="bottom"/>
          </w:tcPr>
          <w:p>
            <w:pPr>
              <w:spacing w:after="0"/>
              <w:rPr>
                <w:sz w:val="14"/>
                <w:szCs w:val="1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(6,515)</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(19,888)</w:t>
            </w: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Investments</w:t>
            </w:r>
          </w:p>
        </w:tc>
        <w:tc>
          <w:tcPr>
            <w:tcW w:w="1020" w:type="dxa"/>
            <w:vAlign w:val="bottom"/>
          </w:tcPr>
          <w:p>
            <w:pPr>
              <w:spacing w:after="0"/>
              <w:rPr>
                <w:sz w:val="14"/>
                <w:szCs w:val="14"/>
                <w:color w:val="auto"/>
              </w:rPr>
            </w:pP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15,808</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(142,813)</w:t>
            </w:r>
          </w:p>
        </w:tc>
      </w:tr>
      <w:tr>
        <w:trPr>
          <w:trHeight w:val="170"/>
        </w:trPr>
        <w:tc>
          <w:tcPr>
            <w:tcW w:w="7000" w:type="dxa"/>
            <w:vAlign w:val="bottom"/>
          </w:tcPr>
          <w:p>
            <w:pPr>
              <w:spacing w:after="0"/>
              <w:rPr>
                <w:sz w:val="14"/>
                <w:szCs w:val="14"/>
                <w:color w:val="auto"/>
              </w:rPr>
            </w:pPr>
          </w:p>
        </w:tc>
        <w:tc>
          <w:tcPr>
            <w:tcW w:w="35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020" w:type="dxa"/>
            <w:vAlign w:val="bottom"/>
          </w:tcPr>
          <w:p>
            <w:pPr>
              <w:spacing w:after="0"/>
              <w:rPr>
                <w:sz w:val="14"/>
                <w:szCs w:val="1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(22,442)</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(190,322)</w:t>
            </w:r>
          </w:p>
        </w:tc>
      </w:tr>
      <w:tr>
        <w:trPr>
          <w:trHeight w:val="170"/>
        </w:trPr>
        <w:tc>
          <w:tcPr>
            <w:tcW w:w="7000" w:type="dxa"/>
            <w:vAlign w:val="bottom"/>
          </w:tcPr>
          <w:p>
            <w:pPr>
              <w:spacing w:after="0"/>
              <w:rPr>
                <w:sz w:val="14"/>
                <w:szCs w:val="14"/>
                <w:color w:val="auto"/>
              </w:rPr>
            </w:pPr>
          </w:p>
        </w:tc>
        <w:tc>
          <w:tcPr>
            <w:tcW w:w="35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Proceeds from short-term obligations - net</w:t>
            </w:r>
          </w:p>
        </w:tc>
        <w:tc>
          <w:tcPr>
            <w:tcW w:w="1020" w:type="dxa"/>
            <w:vAlign w:val="bottom"/>
          </w:tcPr>
          <w:p>
            <w:pPr>
              <w:spacing w:after="0"/>
              <w:rPr>
                <w:sz w:val="14"/>
                <w:szCs w:val="14"/>
                <w:color w:val="auto"/>
              </w:rPr>
            </w:pP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214,671</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100,450</w:t>
            </w: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Repayments of long-term obligations - net</w:t>
            </w:r>
          </w:p>
        </w:tc>
        <w:tc>
          <w:tcPr>
            <w:tcW w:w="1020" w:type="dxa"/>
            <w:vAlign w:val="bottom"/>
          </w:tcPr>
          <w:p>
            <w:pPr>
              <w:spacing w:after="0"/>
              <w:rPr>
                <w:sz w:val="14"/>
                <w:szCs w:val="1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(39,463)</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(33,990)</w:t>
            </w: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Issuance of common stock</w:t>
            </w:r>
          </w:p>
        </w:tc>
        <w:tc>
          <w:tcPr>
            <w:tcW w:w="1020" w:type="dxa"/>
            <w:vAlign w:val="bottom"/>
          </w:tcPr>
          <w:p>
            <w:pPr>
              <w:spacing w:after="0"/>
              <w:rPr>
                <w:sz w:val="14"/>
                <w:szCs w:val="14"/>
                <w:color w:val="auto"/>
              </w:rPr>
            </w:pP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13,269</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3,254</w:t>
            </w: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Purchases of treasury stock</w:t>
            </w:r>
          </w:p>
        </w:tc>
        <w:tc>
          <w:tcPr>
            <w:tcW w:w="1020" w:type="dxa"/>
            <w:vAlign w:val="bottom"/>
          </w:tcPr>
          <w:p>
            <w:pPr>
              <w:spacing w:after="0"/>
              <w:rPr>
                <w:sz w:val="14"/>
                <w:szCs w:val="1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(9,884)</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Trust account deposits</w:t>
            </w:r>
          </w:p>
        </w:tc>
        <w:tc>
          <w:tcPr>
            <w:tcW w:w="1020" w:type="dxa"/>
            <w:vAlign w:val="bottom"/>
          </w:tcPr>
          <w:p>
            <w:pPr>
              <w:spacing w:after="0"/>
              <w:rPr>
                <w:sz w:val="14"/>
                <w:szCs w:val="1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(12,890)</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85,750</w:t>
            </w:r>
          </w:p>
        </w:tc>
      </w:tr>
      <w:tr>
        <w:trPr>
          <w:trHeight w:val="170"/>
        </w:trPr>
        <w:tc>
          <w:tcPr>
            <w:tcW w:w="7000" w:type="dxa"/>
            <w:vAlign w:val="bottom"/>
          </w:tcPr>
          <w:p>
            <w:pPr>
              <w:spacing w:after="0"/>
              <w:rPr>
                <w:sz w:val="14"/>
                <w:szCs w:val="14"/>
                <w:color w:val="auto"/>
              </w:rPr>
            </w:pPr>
          </w:p>
        </w:tc>
        <w:tc>
          <w:tcPr>
            <w:tcW w:w="35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020" w:type="dxa"/>
            <w:vAlign w:val="bottom"/>
          </w:tcPr>
          <w:p>
            <w:pPr>
              <w:spacing w:after="0"/>
              <w:rPr>
                <w:sz w:val="14"/>
                <w:szCs w:val="14"/>
                <w:color w:val="auto"/>
              </w:rPr>
            </w:pP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165,703</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155,464</w:t>
            </w:r>
          </w:p>
        </w:tc>
      </w:tr>
      <w:tr>
        <w:trPr>
          <w:trHeight w:val="170"/>
        </w:trPr>
        <w:tc>
          <w:tcPr>
            <w:tcW w:w="7000" w:type="dxa"/>
            <w:vAlign w:val="bottom"/>
          </w:tcPr>
          <w:p>
            <w:pPr>
              <w:spacing w:after="0"/>
              <w:rPr>
                <w:sz w:val="14"/>
                <w:szCs w:val="14"/>
                <w:color w:val="auto"/>
              </w:rPr>
            </w:pPr>
          </w:p>
        </w:tc>
        <w:tc>
          <w:tcPr>
            <w:tcW w:w="35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Change in cash and cash equivalents</w:t>
            </w:r>
          </w:p>
        </w:tc>
        <w:tc>
          <w:tcPr>
            <w:tcW w:w="1020" w:type="dxa"/>
            <w:vAlign w:val="bottom"/>
          </w:tcPr>
          <w:p>
            <w:pPr>
              <w:spacing w:after="0"/>
              <w:rPr>
                <w:sz w:val="14"/>
                <w:szCs w:val="1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(5,899)</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9,918</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1020" w:type="dxa"/>
            <w:vAlign w:val="bottom"/>
          </w:tcPr>
          <w:p>
            <w:pPr>
              <w:spacing w:after="0"/>
              <w:rPr>
                <w:sz w:val="14"/>
                <w:szCs w:val="14"/>
                <w:color w:val="auto"/>
              </w:rPr>
            </w:pP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80,554</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71,558</w:t>
            </w:r>
          </w:p>
        </w:tc>
      </w:tr>
      <w:tr>
        <w:trPr>
          <w:trHeight w:val="170"/>
        </w:trPr>
        <w:tc>
          <w:tcPr>
            <w:tcW w:w="7000" w:type="dxa"/>
            <w:vAlign w:val="bottom"/>
          </w:tcPr>
          <w:p>
            <w:pPr>
              <w:spacing w:after="0"/>
              <w:rPr>
                <w:sz w:val="14"/>
                <w:szCs w:val="14"/>
                <w:color w:val="auto"/>
              </w:rPr>
            </w:pPr>
          </w:p>
        </w:tc>
        <w:tc>
          <w:tcPr>
            <w:tcW w:w="35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Ending balance</w:t>
            </w:r>
          </w:p>
        </w:tc>
        <w:tc>
          <w:tcPr>
            <w:tcW w:w="1020" w:type="dxa"/>
            <w:vAlign w:val="bottom"/>
          </w:tcPr>
          <w:p>
            <w:pPr>
              <w:ind w:left="920"/>
              <w:spacing w:after="0"/>
              <w:rPr>
                <w:sz w:val="20"/>
                <w:szCs w:val="20"/>
                <w:color w:val="auto"/>
              </w:rPr>
            </w:pPr>
            <w:r>
              <w:rPr>
                <w:rFonts w:ascii="Courier New" w:cs="Courier New" w:eastAsia="Courier New" w:hAnsi="Courier New"/>
                <w:sz w:val="15"/>
                <w:szCs w:val="15"/>
                <w:color w:val="auto"/>
                <w:w w:val="88"/>
              </w:rPr>
              <w:t>$</w:t>
            </w: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74,655</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81,476</w:t>
            </w:r>
          </w:p>
        </w:tc>
      </w:tr>
      <w:tr>
        <w:trPr>
          <w:trHeight w:val="170"/>
        </w:trPr>
        <w:tc>
          <w:tcPr>
            <w:tcW w:w="7000" w:type="dxa"/>
            <w:vAlign w:val="bottom"/>
          </w:tcPr>
          <w:p>
            <w:pPr>
              <w:spacing w:after="0"/>
              <w:rPr>
                <w:sz w:val="14"/>
                <w:szCs w:val="14"/>
                <w:color w:val="auto"/>
              </w:rPr>
            </w:pPr>
          </w:p>
        </w:tc>
        <w:tc>
          <w:tcPr>
            <w:tcW w:w="35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560"/>
          </w:cols>
          <w:pgMar w:left="240" w:top="622" w:right="1099" w:bottom="1440" w:gutter="0" w:footer="0" w:header="0"/>
        </w:sectPr>
      </w:pPr>
    </w:p>
    <w:bookmarkStart w:id="4" w:name="page5"/>
    <w:bookmarkEnd w:id="4"/>
    <w:p>
      <w:pPr>
        <w:ind w:left="2200"/>
        <w:spacing w:after="0"/>
        <w:rPr>
          <w:sz w:val="20"/>
          <w:szCs w:val="20"/>
          <w:color w:val="auto"/>
        </w:rPr>
      </w:pPr>
      <w:r>
        <w:rPr>
          <w:rFonts w:ascii="Courier New" w:cs="Courier New" w:eastAsia="Courier New" w:hAnsi="Courier New"/>
          <w:sz w:val="15"/>
          <w:szCs w:val="15"/>
          <w:color w:val="auto"/>
        </w:rPr>
        <w:t>FISERV, INC. AND SUBSIDIARIES</w:t>
      </w:r>
    </w:p>
    <w:p>
      <w:pPr>
        <w:ind w:left="15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Principles of Consolidation</w:t>
      </w:r>
    </w:p>
    <w:p>
      <w:pPr>
        <w:spacing w:after="0" w:line="175" w:lineRule="exact"/>
        <w:rPr>
          <w:sz w:val="20"/>
          <w:szCs w:val="20"/>
          <w:color w:val="auto"/>
        </w:rPr>
      </w:pPr>
    </w:p>
    <w:p>
      <w:pPr>
        <w:ind w:right="3520"/>
        <w:spacing w:after="0" w:line="238" w:lineRule="auto"/>
        <w:rPr>
          <w:sz w:val="20"/>
          <w:szCs w:val="20"/>
          <w:color w:val="auto"/>
        </w:rPr>
      </w:pPr>
      <w:r>
        <w:rPr>
          <w:rFonts w:ascii="Courier New" w:cs="Courier New" w:eastAsia="Courier New" w:hAnsi="Courier New"/>
          <w:sz w:val="15"/>
          <w:szCs w:val="15"/>
          <w:color w:val="auto"/>
        </w:rPr>
        <w:t>The consolidated financial statements for the three month periods ended March 31, 2000 and 1999 are unaudited. In the opinion of management, all adjustments necessary for a fair presentation of such financial statements have been included. Such adjustments consisted only of normal recurring items. Interim results are not necessarily indicative of results for a full year. The financial statements and notes are presented as permitted by Form 10-Q, and do not contain certain information included in the annual financial statements and notes of Fiserv, Inc. and subsidiaries (the Company).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Shares Used in Computing Net Income per Share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March 31,</w:t>
            </w: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w w:val="98"/>
              </w:rPr>
              <w:t>Weighted average number of common shares outstanding - basic</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122,622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123,230</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Assumed conversion of common shares issuable</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960" w:type="dxa"/>
            <w:vAlign w:val="bottom"/>
          </w:tcPr>
          <w:p>
            <w:pPr>
              <w:ind w:left="80"/>
              <w:spacing w:after="0"/>
              <w:rPr>
                <w:sz w:val="20"/>
                <w:szCs w:val="20"/>
                <w:color w:val="auto"/>
              </w:rPr>
            </w:pPr>
            <w:r>
              <w:rPr>
                <w:rFonts w:ascii="Courier New" w:cs="Courier New" w:eastAsia="Courier New" w:hAnsi="Courier New"/>
                <w:sz w:val="15"/>
                <w:szCs w:val="15"/>
                <w:color w:val="auto"/>
              </w:rPr>
              <w:t>under stock option plan</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2,921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4,650</w:t>
            </w:r>
          </w:p>
        </w:tc>
      </w:tr>
      <w:tr>
        <w:trPr>
          <w:trHeight w:val="170"/>
        </w:trPr>
        <w:tc>
          <w:tcPr>
            <w:tcW w:w="3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number of common and common equivalent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960" w:type="dxa"/>
            <w:vAlign w:val="bottom"/>
          </w:tcPr>
          <w:p>
            <w:pPr>
              <w:ind w:left="80"/>
              <w:spacing w:after="0"/>
              <w:rPr>
                <w:sz w:val="20"/>
                <w:szCs w:val="20"/>
                <w:color w:val="auto"/>
              </w:rPr>
            </w:pPr>
            <w:r>
              <w:rPr>
                <w:rFonts w:ascii="Courier New" w:cs="Courier New" w:eastAsia="Courier New" w:hAnsi="Courier New"/>
                <w:sz w:val="15"/>
                <w:szCs w:val="15"/>
                <w:color w:val="auto"/>
              </w:rPr>
              <w:t>shares outstanding - diluted</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125,543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127,880</w:t>
            </w:r>
          </w:p>
        </w:tc>
      </w:tr>
      <w:tr>
        <w:trPr>
          <w:trHeight w:val="170"/>
        </w:trPr>
        <w:tc>
          <w:tcPr>
            <w:tcW w:w="3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7260" w:type="dxa"/>
            <w:vAlign w:val="bottom"/>
            <w:gridSpan w:val="5"/>
          </w:tcPr>
          <w:p>
            <w:pPr>
              <w:spacing w:after="0"/>
              <w:rPr>
                <w:sz w:val="20"/>
                <w:szCs w:val="20"/>
                <w:color w:val="auto"/>
              </w:rPr>
            </w:pPr>
            <w:r>
              <w:rPr>
                <w:rFonts w:ascii="Courier New" w:cs="Courier New" w:eastAsia="Courier New" w:hAnsi="Courier New"/>
                <w:sz w:val="15"/>
                <w:szCs w:val="15"/>
                <w:color w:val="auto"/>
              </w:rPr>
              <w:t>Basic net income per share is computed using the weighted average number of</w:t>
            </w: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7260" w:type="dxa"/>
            <w:vAlign w:val="bottom"/>
            <w:gridSpan w:val="5"/>
          </w:tcPr>
          <w:p>
            <w:pPr>
              <w:spacing w:after="0"/>
              <w:rPr>
                <w:sz w:val="20"/>
                <w:szCs w:val="20"/>
                <w:color w:val="auto"/>
              </w:rPr>
            </w:pPr>
            <w:r>
              <w:rPr>
                <w:rFonts w:ascii="Courier New" w:cs="Courier New" w:eastAsia="Courier New" w:hAnsi="Courier New"/>
                <w:sz w:val="15"/>
                <w:szCs w:val="15"/>
                <w:color w:val="auto"/>
              </w:rPr>
              <w:t>common shares outstanding during the periods. Diluted net income per share is</w:t>
            </w: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260" w:type="dxa"/>
            <w:vAlign w:val="bottom"/>
            <w:gridSpan w:val="5"/>
          </w:tcPr>
          <w:p>
            <w:pPr>
              <w:spacing w:after="0"/>
              <w:rPr>
                <w:sz w:val="20"/>
                <w:szCs w:val="20"/>
                <w:color w:val="auto"/>
              </w:rPr>
            </w:pPr>
            <w:r>
              <w:rPr>
                <w:rFonts w:ascii="Courier New" w:cs="Courier New" w:eastAsia="Courier New" w:hAnsi="Courier New"/>
                <w:sz w:val="15"/>
                <w:szCs w:val="15"/>
                <w:color w:val="auto"/>
              </w:rPr>
              <w:t>computed using the weighted average number of common and dilutive common</w:t>
            </w: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260" w:type="dxa"/>
            <w:vAlign w:val="bottom"/>
            <w:gridSpan w:val="5"/>
          </w:tcPr>
          <w:p>
            <w:pPr>
              <w:spacing w:after="0"/>
              <w:rPr>
                <w:sz w:val="20"/>
                <w:szCs w:val="20"/>
                <w:color w:val="auto"/>
              </w:rPr>
            </w:pPr>
            <w:r>
              <w:rPr>
                <w:rFonts w:ascii="Courier New" w:cs="Courier New" w:eastAsia="Courier New" w:hAnsi="Courier New"/>
                <w:sz w:val="15"/>
                <w:szCs w:val="15"/>
                <w:color w:val="auto"/>
              </w:rPr>
              <w:t>equivalent shares outstanding during the periods. Common equivalent shares</w:t>
            </w: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260" w:type="dxa"/>
            <w:vAlign w:val="bottom"/>
            <w:gridSpan w:val="5"/>
          </w:tcPr>
          <w:p>
            <w:pPr>
              <w:spacing w:after="0"/>
              <w:rPr>
                <w:sz w:val="20"/>
                <w:szCs w:val="20"/>
                <w:color w:val="auto"/>
              </w:rPr>
            </w:pPr>
            <w:r>
              <w:rPr>
                <w:rFonts w:ascii="Courier New" w:cs="Courier New" w:eastAsia="Courier New" w:hAnsi="Courier New"/>
                <w:sz w:val="15"/>
                <w:szCs w:val="15"/>
                <w:color w:val="auto"/>
              </w:rPr>
              <w:t>consist of stock options and are computed using the treasury stock method.</w:t>
            </w: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3. Accounting for Income Taxes</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9"/>
        </w:trPr>
        <w:tc>
          <w:tcPr>
            <w:tcW w:w="7260" w:type="dxa"/>
            <w:vAlign w:val="bottom"/>
            <w:gridSpan w:val="5"/>
          </w:tcPr>
          <w:p>
            <w:pPr>
              <w:spacing w:after="0"/>
              <w:rPr>
                <w:sz w:val="20"/>
                <w:szCs w:val="20"/>
                <w:color w:val="auto"/>
              </w:rPr>
            </w:pPr>
            <w:r>
              <w:rPr>
                <w:rFonts w:ascii="Courier New" w:cs="Courier New" w:eastAsia="Courier New" w:hAnsi="Courier New"/>
                <w:sz w:val="15"/>
                <w:szCs w:val="15"/>
                <w:color w:val="auto"/>
              </w:rPr>
              <w:t>Deferred income taxes reflect the net tax effects of (a) temporary differences</w:t>
            </w: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7260" w:type="dxa"/>
            <w:vAlign w:val="bottom"/>
            <w:gridSpan w:val="5"/>
          </w:tcPr>
          <w:p>
            <w:pPr>
              <w:spacing w:after="0"/>
              <w:rPr>
                <w:sz w:val="20"/>
                <w:szCs w:val="20"/>
                <w:color w:val="auto"/>
              </w:rPr>
            </w:pPr>
            <w:r>
              <w:rPr>
                <w:rFonts w:ascii="Courier New" w:cs="Courier New" w:eastAsia="Courier New" w:hAnsi="Courier New"/>
                <w:sz w:val="15"/>
                <w:szCs w:val="15"/>
                <w:color w:val="auto"/>
              </w:rPr>
              <w:t>between the carrying amount of assets and liabilities for financial reporting</w:t>
            </w: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260" w:type="dxa"/>
            <w:vAlign w:val="bottom"/>
            <w:gridSpan w:val="5"/>
          </w:tcPr>
          <w:p>
            <w:pPr>
              <w:spacing w:after="0"/>
              <w:rPr>
                <w:sz w:val="20"/>
                <w:szCs w:val="20"/>
                <w:color w:val="auto"/>
              </w:rPr>
            </w:pPr>
            <w:r>
              <w:rPr>
                <w:rFonts w:ascii="Courier New" w:cs="Courier New" w:eastAsia="Courier New" w:hAnsi="Courier New"/>
                <w:sz w:val="15"/>
                <w:szCs w:val="15"/>
                <w:color w:val="auto"/>
              </w:rPr>
              <w:t>purposes and the amounts used for income tax purposes, and (b) operating and tax</w:t>
            </w: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260" w:type="dxa"/>
            <w:vAlign w:val="bottom"/>
            <w:gridSpan w:val="5"/>
          </w:tcPr>
          <w:p>
            <w:pPr>
              <w:spacing w:after="0"/>
              <w:rPr>
                <w:sz w:val="20"/>
                <w:szCs w:val="20"/>
                <w:color w:val="auto"/>
              </w:rPr>
            </w:pPr>
            <w:r>
              <w:rPr>
                <w:rFonts w:ascii="Courier New" w:cs="Courier New" w:eastAsia="Courier New" w:hAnsi="Courier New"/>
                <w:sz w:val="15"/>
                <w:szCs w:val="15"/>
                <w:color w:val="auto"/>
              </w:rPr>
              <w:t>credit carryforwards. Significant components of the Company's net deferred tax</w:t>
            </w: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liability consisted of the following:</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48"/>
        </w:trPr>
        <w:tc>
          <w:tcPr>
            <w:tcW w:w="3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March 31,</w:t>
            </w:r>
          </w:p>
        </w:tc>
        <w:tc>
          <w:tcPr>
            <w:tcW w:w="238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December 31,</w:t>
            </w:r>
          </w:p>
        </w:tc>
        <w:tc>
          <w:tcPr>
            <w:tcW w:w="920" w:type="dxa"/>
            <w:vAlign w:val="bottom"/>
          </w:tcPr>
          <w:p>
            <w:pPr>
              <w:spacing w:after="0"/>
              <w:rPr>
                <w:sz w:val="24"/>
                <w:szCs w:val="24"/>
                <w:color w:val="auto"/>
              </w:rPr>
            </w:pPr>
          </w:p>
        </w:tc>
      </w:tr>
      <w:tr>
        <w:trPr>
          <w:trHeight w:val="170"/>
        </w:trPr>
        <w:tc>
          <w:tcPr>
            <w:tcW w:w="3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947"/>
              <w:spacing w:after="0"/>
              <w:rPr>
                <w:sz w:val="20"/>
                <w:szCs w:val="20"/>
                <w:color w:val="auto"/>
              </w:rPr>
            </w:pPr>
            <w:r>
              <w:rPr>
                <w:rFonts w:ascii="Courier New" w:cs="Courier New" w:eastAsia="Courier New" w:hAnsi="Courier New"/>
                <w:sz w:val="15"/>
                <w:szCs w:val="15"/>
                <w:color w:val="auto"/>
                <w:w w:val="88"/>
              </w:rPr>
              <w:t>2000</w:t>
            </w:r>
          </w:p>
        </w:tc>
        <w:tc>
          <w:tcPr>
            <w:tcW w:w="580" w:type="dxa"/>
            <w:vAlign w:val="bottom"/>
          </w:tcPr>
          <w:p>
            <w:pPr>
              <w:spacing w:after="0"/>
              <w:rPr>
                <w:sz w:val="14"/>
                <w:szCs w:val="14"/>
                <w:color w:val="auto"/>
              </w:rPr>
            </w:pPr>
          </w:p>
        </w:tc>
        <w:tc>
          <w:tcPr>
            <w:tcW w:w="1800" w:type="dxa"/>
            <w:vAlign w:val="bottom"/>
          </w:tcPr>
          <w:p>
            <w:pPr>
              <w:jc w:val="right"/>
              <w:ind w:right="1387"/>
              <w:spacing w:after="0"/>
              <w:rPr>
                <w:sz w:val="20"/>
                <w:szCs w:val="20"/>
                <w:color w:val="auto"/>
              </w:rPr>
            </w:pPr>
            <w:r>
              <w:rPr>
                <w:rFonts w:ascii="Courier New" w:cs="Courier New" w:eastAsia="Courier New" w:hAnsi="Courier New"/>
                <w:sz w:val="15"/>
                <w:szCs w:val="15"/>
                <w:color w:val="auto"/>
                <w:w w:val="88"/>
              </w:rPr>
              <w:t>1999</w:t>
            </w: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0" w:type="dxa"/>
            <w:vAlign w:val="bottom"/>
            <w:gridSpan w:val="4"/>
          </w:tcPr>
          <w:p>
            <w:pPr>
              <w:jc w:val="right"/>
              <w:ind w:right="1027"/>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gridSpan w:val="3"/>
          </w:tcPr>
          <w:p>
            <w:pPr>
              <w:jc w:val="right"/>
              <w:ind w:right="1647"/>
              <w:spacing w:after="0"/>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4"/>
                <w:szCs w:val="14"/>
                <w:color w:val="auto"/>
              </w:rPr>
            </w:pP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Unrealized gains on investments</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94,601</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8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87,162</w:t>
            </w:r>
          </w:p>
        </w:tc>
        <w:tc>
          <w:tcPr>
            <w:tcW w:w="920" w:type="dxa"/>
            <w:vAlign w:val="bottom"/>
          </w:tcPr>
          <w:p>
            <w:pPr>
              <w:spacing w:after="0"/>
              <w:rPr>
                <w:sz w:val="24"/>
                <w:szCs w:val="2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Internally generated capitalized software</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31,342</w:t>
            </w:r>
          </w:p>
        </w:tc>
        <w:tc>
          <w:tcPr>
            <w:tcW w:w="580" w:type="dxa"/>
            <w:vAlign w:val="bottom"/>
          </w:tcPr>
          <w:p>
            <w:pPr>
              <w:spacing w:after="0"/>
              <w:rPr>
                <w:sz w:val="14"/>
                <w:szCs w:val="14"/>
                <w:color w:val="auto"/>
              </w:rPr>
            </w:pPr>
          </w:p>
        </w:tc>
        <w:tc>
          <w:tcPr>
            <w:tcW w:w="18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30,858</w:t>
            </w: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Excess of tax over book depreciation and</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amortization</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21,072</w:t>
            </w:r>
          </w:p>
        </w:tc>
        <w:tc>
          <w:tcPr>
            <w:tcW w:w="580" w:type="dxa"/>
            <w:vAlign w:val="bottom"/>
          </w:tcPr>
          <w:p>
            <w:pPr>
              <w:spacing w:after="0"/>
              <w:rPr>
                <w:sz w:val="14"/>
                <w:szCs w:val="14"/>
                <w:color w:val="auto"/>
              </w:rPr>
            </w:pPr>
          </w:p>
        </w:tc>
        <w:tc>
          <w:tcPr>
            <w:tcW w:w="18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19,438</w:t>
            </w: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23,854</w:t>
            </w:r>
          </w:p>
        </w:tc>
        <w:tc>
          <w:tcPr>
            <w:tcW w:w="580" w:type="dxa"/>
            <w:vAlign w:val="bottom"/>
          </w:tcPr>
          <w:p>
            <w:pPr>
              <w:spacing w:after="0"/>
              <w:rPr>
                <w:sz w:val="14"/>
                <w:szCs w:val="14"/>
                <w:color w:val="auto"/>
              </w:rPr>
            </w:pPr>
          </w:p>
        </w:tc>
        <w:tc>
          <w:tcPr>
            <w:tcW w:w="18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9,268</w:t>
            </w: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Purchased incomplete software technology</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(46,510)</w:t>
            </w:r>
          </w:p>
        </w:tc>
        <w:tc>
          <w:tcPr>
            <w:tcW w:w="580" w:type="dxa"/>
            <w:vAlign w:val="bottom"/>
          </w:tcPr>
          <w:p>
            <w:pPr>
              <w:spacing w:after="0"/>
              <w:rPr>
                <w:sz w:val="14"/>
                <w:szCs w:val="14"/>
                <w:color w:val="auto"/>
              </w:rPr>
            </w:pPr>
          </w:p>
        </w:tc>
        <w:tc>
          <w:tcPr>
            <w:tcW w:w="180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(47,663)</w:t>
            </w: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Accrued expenses not currently deductible</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(25,046)</w:t>
            </w:r>
          </w:p>
        </w:tc>
        <w:tc>
          <w:tcPr>
            <w:tcW w:w="580" w:type="dxa"/>
            <w:vAlign w:val="bottom"/>
          </w:tcPr>
          <w:p>
            <w:pPr>
              <w:spacing w:after="0"/>
              <w:rPr>
                <w:sz w:val="14"/>
                <w:szCs w:val="14"/>
                <w:color w:val="auto"/>
              </w:rPr>
            </w:pPr>
          </w:p>
        </w:tc>
        <w:tc>
          <w:tcPr>
            <w:tcW w:w="180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(25,407)</w:t>
            </w: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Deferred revenues</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(14,307)</w:t>
            </w:r>
          </w:p>
        </w:tc>
        <w:tc>
          <w:tcPr>
            <w:tcW w:w="580" w:type="dxa"/>
            <w:vAlign w:val="bottom"/>
          </w:tcPr>
          <w:p>
            <w:pPr>
              <w:spacing w:after="0"/>
              <w:rPr>
                <w:sz w:val="14"/>
                <w:szCs w:val="14"/>
                <w:color w:val="auto"/>
              </w:rPr>
            </w:pPr>
          </w:p>
        </w:tc>
        <w:tc>
          <w:tcPr>
            <w:tcW w:w="180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(13,693)</w:t>
            </w: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80" w:type="dxa"/>
            <w:vAlign w:val="bottom"/>
            <w:gridSpan w:val="5"/>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85,006</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8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59,963</w:t>
            </w: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0" w:type="dxa"/>
            <w:vAlign w:val="bottom"/>
            <w:gridSpan w:val="4"/>
          </w:tcPr>
          <w:p>
            <w:pPr>
              <w:jc w:val="right"/>
              <w:ind w:right="1027"/>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r>
      <w:tr>
        <w:trPr>
          <w:trHeight w:val="509"/>
        </w:trPr>
        <w:tc>
          <w:tcPr>
            <w:tcW w:w="3960" w:type="dxa"/>
            <w:vAlign w:val="bottom"/>
          </w:tcPr>
          <w:p>
            <w:pPr>
              <w:spacing w:after="0"/>
              <w:rPr>
                <w:sz w:val="20"/>
                <w:szCs w:val="20"/>
                <w:color w:val="auto"/>
              </w:rPr>
            </w:pPr>
            <w:r>
              <w:rPr>
                <w:rFonts w:ascii="Courier New" w:cs="Courier New" w:eastAsia="Courier New" w:hAnsi="Courier New"/>
                <w:sz w:val="15"/>
                <w:szCs w:val="15"/>
                <w:color w:val="auto"/>
              </w:rPr>
              <w:t>4. Supplemental Cash Flow Information</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9"/>
        </w:trPr>
        <w:tc>
          <w:tcPr>
            <w:tcW w:w="396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Three Months Ended</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3960" w:type="dxa"/>
            <w:vAlign w:val="bottom"/>
          </w:tcPr>
          <w:p>
            <w:pPr>
              <w:spacing w:after="0"/>
              <w:rPr>
                <w:sz w:val="14"/>
                <w:szCs w:val="14"/>
                <w:color w:val="auto"/>
              </w:rPr>
            </w:pP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March 31,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280" w:type="dxa"/>
            <w:vAlign w:val="bottom"/>
          </w:tcPr>
          <w:p>
            <w:pPr>
              <w:spacing w:after="0"/>
              <w:rPr>
                <w:sz w:val="14"/>
                <w:szCs w:val="14"/>
                <w:color w:val="auto"/>
              </w:rPr>
            </w:pPr>
          </w:p>
        </w:tc>
        <w:tc>
          <w:tcPr>
            <w:tcW w:w="1620" w:type="dxa"/>
            <w:vAlign w:val="bottom"/>
            <w:gridSpan w:val="2"/>
          </w:tcPr>
          <w:p>
            <w:pPr>
              <w:jc w:val="right"/>
              <w:ind w:right="1207"/>
              <w:spacing w:after="0"/>
              <w:rPr>
                <w:sz w:val="20"/>
                <w:szCs w:val="20"/>
                <w:color w:val="auto"/>
              </w:rPr>
            </w:pPr>
            <w:r>
              <w:rPr>
                <w:rFonts w:ascii="Courier New" w:cs="Courier New" w:eastAsia="Courier New" w:hAnsi="Courier New"/>
                <w:sz w:val="15"/>
                <w:szCs w:val="15"/>
                <w:color w:val="auto"/>
                <w:w w:val="88"/>
              </w:rPr>
              <w:t>1999</w:t>
            </w: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3300" w:type="dxa"/>
            <w:vAlign w:val="bottom"/>
            <w:gridSpan w:val="4"/>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6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(In thousands)</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Interest paid</w:t>
            </w: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$5,663</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3,968</w:t>
            </w: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Income taxes paid</w:t>
            </w: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5,959</w:t>
            </w:r>
          </w:p>
        </w:tc>
        <w:tc>
          <w:tcPr>
            <w:tcW w:w="280" w:type="dxa"/>
            <w:vAlign w:val="bottom"/>
          </w:tcPr>
          <w:p>
            <w:pPr>
              <w:spacing w:after="0"/>
              <w:rPr>
                <w:sz w:val="14"/>
                <w:szCs w:val="14"/>
                <w:color w:val="auto"/>
              </w:rPr>
            </w:pPr>
          </w:p>
        </w:tc>
        <w:tc>
          <w:tcPr>
            <w:tcW w:w="162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w w:val="92"/>
              </w:rPr>
              <w:t>12,344</w:t>
            </w: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Liabilities assumed in acquisitions</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of businesses</w:t>
            </w: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1,549</w:t>
            </w:r>
          </w:p>
        </w:tc>
        <w:tc>
          <w:tcPr>
            <w:tcW w:w="280" w:type="dxa"/>
            <w:vAlign w:val="bottom"/>
          </w:tcPr>
          <w:p>
            <w:pPr>
              <w:spacing w:after="0"/>
              <w:rPr>
                <w:sz w:val="14"/>
                <w:szCs w:val="14"/>
                <w:color w:val="auto"/>
              </w:rPr>
            </w:pPr>
          </w:p>
        </w:tc>
        <w:tc>
          <w:tcPr>
            <w:tcW w:w="162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1,455</w:t>
            </w: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3960" w:type="dxa"/>
            <w:vAlign w:val="bottom"/>
          </w:tcPr>
          <w:p>
            <w:pPr>
              <w:ind w:left="3420"/>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560"/>
          </w:cols>
          <w:pgMar w:left="240" w:top="622" w:right="1099" w:bottom="1440" w:gutter="0" w:footer="0" w:header="0"/>
        </w:sectPr>
      </w:pPr>
    </w:p>
    <w:bookmarkStart w:id="5" w:name="page6"/>
    <w:bookmarkEnd w:id="5"/>
    <w:p>
      <w:pPr>
        <w:ind w:right="2460"/>
        <w:spacing w:after="0" w:line="235"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2180"/>
        <w:spacing w:after="0" w:line="237" w:lineRule="auto"/>
        <w:rPr>
          <w:sz w:val="20"/>
          <w:szCs w:val="20"/>
          <w:color w:val="auto"/>
        </w:rPr>
      </w:pPr>
      <w:r>
        <w:rPr>
          <w:rFonts w:ascii="Courier New" w:cs="Courier New" w:eastAsia="Courier New" w:hAnsi="Courier New"/>
          <w:sz w:val="15"/>
          <w:szCs w:val="15"/>
          <w:color w:val="auto"/>
        </w:rPr>
        <w:t>The following table sets forth, for the periods indicated, the relative percentage which certain items in the Company's consolidated statements of income bear to revenues and the percentage change in these items.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60" w:type="dxa"/>
            <w:vAlign w:val="bottom"/>
          </w:tcPr>
          <w:p>
            <w:pPr>
              <w:spacing w:after="0"/>
              <w:rPr>
                <w:sz w:val="14"/>
                <w:szCs w:val="14"/>
                <w:color w:val="auto"/>
              </w:rPr>
            </w:pPr>
          </w:p>
        </w:tc>
        <w:tc>
          <w:tcPr>
            <w:tcW w:w="1680" w:type="dxa"/>
            <w:vAlign w:val="bottom"/>
          </w:tcPr>
          <w:p>
            <w:pPr>
              <w:ind w:left="80"/>
              <w:spacing w:after="0"/>
              <w:rPr>
                <w:sz w:val="20"/>
                <w:szCs w:val="20"/>
                <w:color w:val="auto"/>
              </w:rPr>
            </w:pPr>
            <w:r>
              <w:rPr>
                <w:rFonts w:ascii="Courier New" w:cs="Courier New" w:eastAsia="Courier New" w:hAnsi="Courier New"/>
                <w:sz w:val="15"/>
                <w:szCs w:val="15"/>
                <w:color w:val="auto"/>
                <w:w w:val="97"/>
              </w:rPr>
              <w:t>Three Months Ended</w:t>
            </w:r>
          </w:p>
        </w:tc>
        <w:tc>
          <w:tcPr>
            <w:tcW w:w="700" w:type="dxa"/>
            <w:vAlign w:val="bottom"/>
          </w:tcPr>
          <w:p>
            <w:pPr>
              <w:spacing w:after="0"/>
              <w:rPr>
                <w:sz w:val="14"/>
                <w:szCs w:val="14"/>
                <w:color w:val="auto"/>
              </w:rPr>
            </w:pPr>
          </w:p>
        </w:tc>
      </w:tr>
      <w:tr>
        <w:trPr>
          <w:trHeight w:val="170"/>
        </w:trPr>
        <w:tc>
          <w:tcPr>
            <w:tcW w:w="6160" w:type="dxa"/>
            <w:vAlign w:val="bottom"/>
          </w:tcPr>
          <w:p>
            <w:pPr>
              <w:spacing w:after="0"/>
              <w:rPr>
                <w:sz w:val="14"/>
                <w:szCs w:val="1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March 31,</w:t>
            </w:r>
          </w:p>
        </w:tc>
        <w:tc>
          <w:tcPr>
            <w:tcW w:w="700" w:type="dxa"/>
            <w:vAlign w:val="bottom"/>
          </w:tcPr>
          <w:p>
            <w:pPr>
              <w:spacing w:after="0"/>
              <w:rPr>
                <w:sz w:val="14"/>
                <w:szCs w:val="14"/>
                <w:color w:val="auto"/>
              </w:rPr>
            </w:pPr>
          </w:p>
        </w:tc>
      </w:tr>
      <w:tr>
        <w:trPr>
          <w:trHeight w:val="170"/>
        </w:trPr>
        <w:tc>
          <w:tcPr>
            <w:tcW w:w="6160" w:type="dxa"/>
            <w:vAlign w:val="bottom"/>
          </w:tcPr>
          <w:p>
            <w:pPr>
              <w:ind w:left="5800"/>
              <w:spacing w:after="0"/>
              <w:rPr>
                <w:sz w:val="20"/>
                <w:szCs w:val="20"/>
                <w:color w:val="auto"/>
              </w:rPr>
            </w:pPr>
            <w:r>
              <w:rPr>
                <w:rFonts w:ascii="Courier New" w:cs="Courier New" w:eastAsia="Courier New" w:hAnsi="Courier New"/>
                <w:sz w:val="15"/>
                <w:szCs w:val="15"/>
                <w:color w:val="auto"/>
                <w:w w:val="94"/>
              </w:rPr>
              <w:t>2000</w:t>
            </w:r>
          </w:p>
        </w:tc>
        <w:tc>
          <w:tcPr>
            <w:tcW w:w="168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1999</w:t>
            </w:r>
          </w:p>
        </w:tc>
      </w:tr>
      <w:tr>
        <w:trPr>
          <w:trHeight w:val="170"/>
        </w:trPr>
        <w:tc>
          <w:tcPr>
            <w:tcW w:w="8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160" w:type="dxa"/>
            <w:vAlign w:val="bottom"/>
          </w:tcPr>
          <w:p>
            <w:pPr>
              <w:spacing w:after="0"/>
              <w:rPr>
                <w:sz w:val="24"/>
                <w:szCs w:val="24"/>
                <w:color w:val="auto"/>
              </w:rPr>
            </w:pPr>
          </w:p>
        </w:tc>
        <w:tc>
          <w:tcPr>
            <w:tcW w:w="23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(Percent of Revenues)</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8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93"/>
              </w:rPr>
              <w:t>100.0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8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Salaries and related costs</w:t>
            </w:r>
          </w:p>
        </w:tc>
        <w:tc>
          <w:tcPr>
            <w:tcW w:w="16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47.8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47.3</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Data processing costs</w:t>
            </w:r>
          </w:p>
        </w:tc>
        <w:tc>
          <w:tcPr>
            <w:tcW w:w="16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7.1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Other operating expenses</w:t>
            </w:r>
          </w:p>
        </w:tc>
        <w:tc>
          <w:tcPr>
            <w:tcW w:w="16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19.0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6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4.2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Amortization of intangible assets</w:t>
            </w:r>
          </w:p>
        </w:tc>
        <w:tc>
          <w:tcPr>
            <w:tcW w:w="16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Amortization of software-net</w:t>
            </w:r>
          </w:p>
        </w:tc>
        <w:tc>
          <w:tcPr>
            <w:tcW w:w="16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0.2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0"/>
        </w:trPr>
        <w:tc>
          <w:tcPr>
            <w:tcW w:w="8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Total cost of revenues</w:t>
            </w:r>
          </w:p>
        </w:tc>
        <w:tc>
          <w:tcPr>
            <w:tcW w:w="16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80.1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82.0</w:t>
            </w:r>
          </w:p>
        </w:tc>
      </w:tr>
      <w:tr>
        <w:trPr>
          <w:trHeight w:val="170"/>
        </w:trPr>
        <w:tc>
          <w:tcPr>
            <w:tcW w:w="8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6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19.9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r>
    </w:tbl>
    <w:p>
      <w:pPr>
        <w:jc w:val="right"/>
        <w:ind w:right="16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5" w:lineRule="exact"/>
        <w:rPr>
          <w:sz w:val="20"/>
          <w:szCs w:val="20"/>
          <w:color w:val="auto"/>
        </w:rPr>
      </w:pPr>
    </w:p>
    <w:p>
      <w:pPr>
        <w:ind w:right="1660"/>
        <w:spacing w:after="0" w:line="238" w:lineRule="auto"/>
        <w:rPr>
          <w:sz w:val="20"/>
          <w:szCs w:val="20"/>
          <w:color w:val="auto"/>
        </w:rPr>
      </w:pPr>
      <w:r>
        <w:rPr>
          <w:rFonts w:ascii="Courier New" w:cs="Courier New" w:eastAsia="Courier New" w:hAnsi="Courier New"/>
          <w:sz w:val="15"/>
          <w:szCs w:val="15"/>
          <w:color w:val="auto"/>
        </w:rPr>
        <w:t>Revenues increased 17.6% from $337.1 million in the first quarter of 1999 to $396.4 million in the current first quarter. Revenue growth was derived from sales to new clients, cross-sales to existing clients, growth in transaction volume experienced by existing clients, price increases and revenues from acquired businesses. Revenues from acquired businesses approximated 45% of total revenue growth in the first quarter of 2000.</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Revenues</w:t>
      </w:r>
    </w:p>
    <w:p>
      <w:pPr>
        <w:spacing w:after="0" w:line="5" w:lineRule="exact"/>
        <w:rPr>
          <w:sz w:val="20"/>
          <w:szCs w:val="20"/>
          <w:color w:val="auto"/>
        </w:rPr>
      </w:pPr>
    </w:p>
    <w:p>
      <w:pPr>
        <w:ind w:right="1920"/>
        <w:spacing w:after="0" w:line="237" w:lineRule="auto"/>
        <w:rPr>
          <w:sz w:val="20"/>
          <w:szCs w:val="20"/>
          <w:color w:val="auto"/>
        </w:rPr>
      </w:pPr>
      <w:r>
        <w:rPr>
          <w:rFonts w:ascii="Courier New" w:cs="Courier New" w:eastAsia="Courier New" w:hAnsi="Courier New"/>
          <w:sz w:val="15"/>
          <w:szCs w:val="15"/>
          <w:color w:val="auto"/>
        </w:rPr>
        <w:t>Cost of revenues increased 14.8% from $276.5 million in the first quarter of 1999 to $317.4 million in the current first quarter. The make up of cost of revenues has been affected by business acquisitions and changes in the mix of the Company's 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Income</w:t>
      </w:r>
    </w:p>
    <w:p>
      <w:pPr>
        <w:spacing w:after="0" w:line="5" w:lineRule="exact"/>
        <w:rPr>
          <w:sz w:val="20"/>
          <w:szCs w:val="20"/>
          <w:color w:val="auto"/>
        </w:rPr>
      </w:pPr>
    </w:p>
    <w:p>
      <w:pPr>
        <w:ind w:right="1660"/>
        <w:spacing w:after="0" w:line="238" w:lineRule="auto"/>
        <w:rPr>
          <w:sz w:val="20"/>
          <w:szCs w:val="20"/>
          <w:color w:val="auto"/>
        </w:rPr>
      </w:pPr>
      <w:r>
        <w:rPr>
          <w:rFonts w:ascii="Courier New" w:cs="Courier New" w:eastAsia="Courier New" w:hAnsi="Courier New"/>
          <w:sz w:val="15"/>
          <w:szCs w:val="15"/>
          <w:color w:val="auto"/>
        </w:rPr>
        <w:t>Operating income increased 30.2% from $60.6 million in the first quarter of 1999 to $79.0 million in the current first quarter. The Company's operating margin increased from 18.0% in the first quarter of 1999 to 19.9% in the first quarter of 2000. The increase in operating margin was driven primarily by strong operating results in the Company's securities processing and trust services business segment.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Provision</w:t>
      </w:r>
    </w:p>
    <w:p>
      <w:pPr>
        <w:spacing w:after="0" w:line="5" w:lineRule="exact"/>
        <w:rPr>
          <w:sz w:val="20"/>
          <w:szCs w:val="20"/>
          <w:color w:val="auto"/>
        </w:rPr>
      </w:pPr>
    </w:p>
    <w:p>
      <w:pPr>
        <w:ind w:right="1660"/>
        <w:spacing w:after="0" w:line="235" w:lineRule="auto"/>
        <w:rPr>
          <w:sz w:val="20"/>
          <w:szCs w:val="20"/>
          <w:color w:val="auto"/>
        </w:rPr>
      </w:pPr>
      <w:r>
        <w:rPr>
          <w:rFonts w:ascii="Courier New" w:cs="Courier New" w:eastAsia="Courier New" w:hAnsi="Courier New"/>
          <w:sz w:val="15"/>
          <w:szCs w:val="15"/>
          <w:color w:val="auto"/>
        </w:rPr>
        <w:t>The effective income tax rate was 41% in both years and the effective income tax rate is expected to remain at 41% for the remainder of the current year.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5" w:lineRule="exact"/>
        <w:rPr>
          <w:sz w:val="20"/>
          <w:szCs w:val="20"/>
          <w:color w:val="auto"/>
        </w:rPr>
      </w:pPr>
    </w:p>
    <w:p>
      <w:pPr>
        <w:jc w:val="both"/>
        <w:ind w:right="1840"/>
        <w:spacing w:after="0" w:line="237" w:lineRule="auto"/>
        <w:rPr>
          <w:sz w:val="20"/>
          <w:szCs w:val="20"/>
          <w:color w:val="auto"/>
        </w:rPr>
      </w:pPr>
      <w:r>
        <w:rPr>
          <w:rFonts w:ascii="Courier New" w:cs="Courier New" w:eastAsia="Courier New" w:hAnsi="Courier New"/>
          <w:sz w:val="15"/>
          <w:szCs w:val="15"/>
          <w:color w:val="auto"/>
        </w:rPr>
        <w:t>Net income for the first quarter increased 29.2% from $33.4 million in 1999 to $43.2 million in 2000. Net income per share-diluted increased $0.08 from $0.26 in the first quarter of 1999 to $0.34 in the first quarter of 2000.</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4"/>
          <w:szCs w:val="14"/>
          <w:color w:val="auto"/>
        </w:rPr>
        <w:t>Percentage</w:t>
      </w:r>
    </w:p>
    <w:p>
      <w:pPr>
        <w:spacing w:after="0" w:line="5"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5"/>
          <w:szCs w:val="15"/>
          <w:color w:val="auto"/>
        </w:rPr>
        <w:t>Increase</w:t>
      </w:r>
    </w:p>
    <w:p>
      <w:pPr>
        <w:ind w:left="80"/>
        <w:spacing w:after="0"/>
        <w:rPr>
          <w:sz w:val="20"/>
          <w:szCs w:val="20"/>
          <w:color w:val="auto"/>
        </w:rPr>
      </w:pPr>
      <w:r>
        <w:rPr>
          <w:rFonts w:ascii="Courier New" w:cs="Courier New" w:eastAsia="Courier New" w:hAnsi="Courier New"/>
          <w:sz w:val="15"/>
          <w:szCs w:val="15"/>
          <w:color w:val="auto"/>
        </w:rPr>
        <w:t>(Decrease)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17.6</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18.8</w:t>
      </w:r>
    </w:p>
    <w:p>
      <w:pPr>
        <w:ind w:left="800"/>
        <w:spacing w:after="0"/>
        <w:rPr>
          <w:sz w:val="20"/>
          <w:szCs w:val="20"/>
          <w:color w:val="auto"/>
        </w:rPr>
      </w:pPr>
      <w:r>
        <w:rPr>
          <w:rFonts w:ascii="Courier New" w:cs="Courier New" w:eastAsia="Courier New" w:hAnsi="Courier New"/>
          <w:sz w:val="15"/>
          <w:szCs w:val="15"/>
          <w:color w:val="auto"/>
        </w:rPr>
        <w:t>-8.2</w:t>
      </w:r>
    </w:p>
    <w:p>
      <w:pPr>
        <w:ind w:left="800"/>
        <w:spacing w:after="0"/>
        <w:rPr>
          <w:sz w:val="20"/>
          <w:szCs w:val="20"/>
          <w:color w:val="auto"/>
        </w:rPr>
      </w:pPr>
      <w:r>
        <w:rPr>
          <w:rFonts w:ascii="Courier New" w:cs="Courier New" w:eastAsia="Courier New" w:hAnsi="Courier New"/>
          <w:sz w:val="15"/>
          <w:szCs w:val="15"/>
          <w:color w:val="auto"/>
        </w:rPr>
        <w:t>17.6</w:t>
      </w:r>
    </w:p>
    <w:p>
      <w:pPr>
        <w:jc w:val="right"/>
        <w:ind w:right="100"/>
        <w:spacing w:after="0" w:line="238" w:lineRule="auto"/>
        <w:rPr>
          <w:sz w:val="20"/>
          <w:szCs w:val="20"/>
          <w:color w:val="auto"/>
        </w:rPr>
      </w:pPr>
      <w:r>
        <w:rPr>
          <w:rFonts w:ascii="Courier New" w:cs="Courier New" w:eastAsia="Courier New" w:hAnsi="Courier New"/>
          <w:sz w:val="15"/>
          <w:szCs w:val="15"/>
          <w:color w:val="auto"/>
        </w:rPr>
        <w:t>13.4</w:t>
      </w:r>
    </w:p>
    <w:p>
      <w:pPr>
        <w:jc w:val="right"/>
        <w:ind w:right="100"/>
        <w:spacing w:after="0"/>
        <w:rPr>
          <w:sz w:val="20"/>
          <w:szCs w:val="20"/>
          <w:color w:val="auto"/>
        </w:rPr>
      </w:pPr>
      <w:r>
        <w:rPr>
          <w:rFonts w:ascii="Courier New" w:cs="Courier New" w:eastAsia="Courier New" w:hAnsi="Courier New"/>
          <w:sz w:val="15"/>
          <w:szCs w:val="15"/>
          <w:color w:val="auto"/>
        </w:rPr>
        <w:t>N/A</w:t>
      </w:r>
    </w:p>
    <w:p>
      <w:pPr>
        <w:jc w:val="right"/>
        <w:ind w:right="100"/>
        <w:spacing w:after="0"/>
        <w:rPr>
          <w:sz w:val="20"/>
          <w:szCs w:val="20"/>
          <w:color w:val="auto"/>
        </w:rPr>
      </w:pPr>
      <w:r>
        <w:rPr>
          <w:rFonts w:ascii="Courier New" w:cs="Courier New" w:eastAsia="Courier New" w:hAnsi="Courier New"/>
          <w:sz w:val="15"/>
          <w:szCs w:val="15"/>
          <w:color w:val="auto"/>
        </w:rPr>
        <w:t>N/A</w:t>
      </w:r>
    </w:p>
    <w:p>
      <w:pPr>
        <w:spacing w:after="0" w:line="238" w:lineRule="auto"/>
        <w:rPr>
          <w:sz w:val="20"/>
          <w:szCs w:val="20"/>
          <w:color w:val="auto"/>
        </w:rPr>
      </w:pPr>
      <w:r>
        <w:rPr>
          <w:rFonts w:ascii="Courier New" w:cs="Courier New" w:eastAsia="Courier New" w:hAnsi="Courier New"/>
          <w:sz w:val="15"/>
          <w:szCs w:val="15"/>
          <w:color w:val="auto"/>
        </w:rPr>
        <w:t>-------------</w:t>
      </w:r>
    </w:p>
    <w:p>
      <w:pPr>
        <w:ind w:left="800"/>
        <w:spacing w:after="0"/>
        <w:rPr>
          <w:sz w:val="20"/>
          <w:szCs w:val="20"/>
          <w:color w:val="auto"/>
        </w:rPr>
      </w:pPr>
      <w:r>
        <w:rPr>
          <w:rFonts w:ascii="Courier New" w:cs="Courier New" w:eastAsia="Courier New" w:hAnsi="Courier New"/>
          <w:sz w:val="15"/>
          <w:szCs w:val="15"/>
          <w:color w:val="auto"/>
        </w:rPr>
        <w:t>14.8</w:t>
      </w:r>
    </w:p>
    <w:p>
      <w:pPr>
        <w:spacing w:after="0"/>
        <w:rPr>
          <w:sz w:val="20"/>
          <w:szCs w:val="20"/>
          <w:color w:val="auto"/>
        </w:rPr>
      </w:pPr>
      <w:r>
        <w:rPr>
          <w:rFonts w:ascii="Courier New" w:cs="Courier New" w:eastAsia="Courier New" w:hAnsi="Courier New"/>
          <w:sz w:val="15"/>
          <w:szCs w:val="15"/>
          <w:color w:val="auto"/>
        </w:rPr>
        <w:t>-------------</w:t>
      </w:r>
    </w:p>
    <w:p>
      <w:pPr>
        <w:jc w:val="right"/>
        <w:ind w:right="100"/>
        <w:spacing w:after="0"/>
        <w:rPr>
          <w:sz w:val="20"/>
          <w:szCs w:val="20"/>
          <w:color w:val="auto"/>
        </w:rPr>
      </w:pPr>
      <w:r>
        <w:rPr>
          <w:rFonts w:ascii="Courier New" w:cs="Courier New" w:eastAsia="Courier New" w:hAnsi="Courier New"/>
          <w:sz w:val="15"/>
          <w:szCs w:val="15"/>
          <w:color w:val="auto"/>
        </w:rPr>
        <w:t>30.2</w:t>
      </w:r>
    </w:p>
    <w:p>
      <w:pPr>
        <w:spacing w:after="0" w:line="4"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8700" w:space="720"/>
            <w:col w:w="1240"/>
          </w:cols>
          <w:pgMar w:left="240" w:top="627" w:right="99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Business Segment Information</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Company is a leading independent provider of data processing systems and related information management services and products to financial institutions and other financial intermediaries. The Company's operations have been classified into three business segments: Financial institution outsourcing, systems and services; Securities processing and trust services; and "All other and corporate." Summarized financial information by business segment is as follows: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27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4000" w:type="dxa"/>
            <w:vAlign w:val="bottom"/>
          </w:tcPr>
          <w:p>
            <w:pPr>
              <w:spacing w:after="0"/>
              <w:rPr>
                <w:sz w:val="14"/>
                <w:szCs w:val="14"/>
                <w:color w:val="auto"/>
              </w:rPr>
            </w:pP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March 31,</w:t>
            </w:r>
          </w:p>
        </w:tc>
        <w:tc>
          <w:tcPr>
            <w:tcW w:w="980" w:type="dxa"/>
            <w:vAlign w:val="bottom"/>
          </w:tcPr>
          <w:p>
            <w:pPr>
              <w:spacing w:after="0"/>
              <w:rPr>
                <w:sz w:val="14"/>
                <w:szCs w:val="14"/>
                <w:color w:val="auto"/>
              </w:rPr>
            </w:pPr>
          </w:p>
        </w:tc>
      </w:tr>
      <w:tr>
        <w:trPr>
          <w:trHeight w:val="170"/>
        </w:trPr>
        <w:tc>
          <w:tcPr>
            <w:tcW w:w="4000" w:type="dxa"/>
            <w:vAlign w:val="bottom"/>
          </w:tcPr>
          <w:p>
            <w:pPr>
              <w:spacing w:after="0"/>
              <w:rPr>
                <w:sz w:val="14"/>
                <w:szCs w:val="14"/>
                <w:color w:val="auto"/>
              </w:rPr>
            </w:pPr>
          </w:p>
        </w:tc>
        <w:tc>
          <w:tcPr>
            <w:tcW w:w="18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4000" w:type="dxa"/>
            <w:vAlign w:val="bottom"/>
          </w:tcPr>
          <w:p>
            <w:pPr>
              <w:spacing w:after="0"/>
              <w:rPr>
                <w:sz w:val="14"/>
                <w:szCs w:val="14"/>
                <w:color w:val="auto"/>
              </w:rPr>
            </w:pPr>
          </w:p>
        </w:tc>
        <w:tc>
          <w:tcPr>
            <w:tcW w:w="27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14"/>
                <w:szCs w:val="14"/>
                <w:color w:val="auto"/>
              </w:rPr>
            </w:pPr>
          </w:p>
        </w:tc>
        <w:tc>
          <w:tcPr>
            <w:tcW w:w="27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Financial institution outsourcing, systems</w:t>
            </w:r>
          </w:p>
        </w:tc>
        <w:tc>
          <w:tcPr>
            <w:tcW w:w="18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and services</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$293,088</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$260,386</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Securities processing and trust services</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86,447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61,262</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All other and corporate</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16,867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15,481</w:t>
            </w:r>
          </w:p>
        </w:tc>
      </w:tr>
      <w:tr>
        <w:trPr>
          <w:trHeight w:val="170"/>
        </w:trPr>
        <w:tc>
          <w:tcPr>
            <w:tcW w:w="4000" w:type="dxa"/>
            <w:vAlign w:val="bottom"/>
          </w:tcPr>
          <w:p>
            <w:pPr>
              <w:spacing w:after="0"/>
              <w:rPr>
                <w:sz w:val="14"/>
                <w:szCs w:val="14"/>
                <w:color w:val="auto"/>
              </w:rPr>
            </w:pP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$396,402</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$337,129</w:t>
            </w:r>
          </w:p>
        </w:tc>
      </w:tr>
      <w:tr>
        <w:trPr>
          <w:trHeight w:val="170"/>
        </w:trPr>
        <w:tc>
          <w:tcPr>
            <w:tcW w:w="4000" w:type="dxa"/>
            <w:vAlign w:val="bottom"/>
          </w:tcPr>
          <w:p>
            <w:pPr>
              <w:spacing w:after="0"/>
              <w:rPr>
                <w:sz w:val="14"/>
                <w:szCs w:val="14"/>
                <w:color w:val="auto"/>
              </w:rPr>
            </w:pP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Financial institution outsourcing, systems</w:t>
            </w:r>
          </w:p>
        </w:tc>
        <w:tc>
          <w:tcPr>
            <w:tcW w:w="18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and services</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$ 49,336</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$44,271</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Securities processing and trust services</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29,947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17,376</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All other and corporate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(1,024)</w:t>
            </w:r>
          </w:p>
        </w:tc>
      </w:tr>
      <w:tr>
        <w:trPr>
          <w:trHeight w:val="170"/>
        </w:trPr>
        <w:tc>
          <w:tcPr>
            <w:tcW w:w="4000" w:type="dxa"/>
            <w:vAlign w:val="bottom"/>
          </w:tcPr>
          <w:p>
            <w:pPr>
              <w:spacing w:after="0"/>
              <w:rPr>
                <w:sz w:val="14"/>
                <w:szCs w:val="14"/>
                <w:color w:val="auto"/>
              </w:rPr>
            </w:pP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$ 78,954</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$ 60,623</w:t>
            </w:r>
          </w:p>
        </w:tc>
      </w:tr>
      <w:tr>
        <w:trPr>
          <w:trHeight w:val="170"/>
        </w:trPr>
        <w:tc>
          <w:tcPr>
            <w:tcW w:w="4000" w:type="dxa"/>
            <w:vAlign w:val="bottom"/>
          </w:tcPr>
          <w:p>
            <w:pPr>
              <w:spacing w:after="0"/>
              <w:rPr>
                <w:sz w:val="14"/>
                <w:szCs w:val="14"/>
                <w:color w:val="auto"/>
              </w:rPr>
            </w:pP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in the financial institution outsourcing, systems and services business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increased from $260.4 million in the first quarter of 1999 to $293.1</w:t>
      </w:r>
    </w:p>
    <w:p>
      <w:pPr>
        <w:spacing w:after="0"/>
        <w:rPr>
          <w:sz w:val="20"/>
          <w:szCs w:val="20"/>
          <w:color w:val="auto"/>
        </w:rPr>
      </w:pPr>
      <w:r>
        <w:rPr>
          <w:rFonts w:ascii="Courier New" w:cs="Courier New" w:eastAsia="Courier New" w:hAnsi="Courier New"/>
          <w:sz w:val="15"/>
          <w:szCs w:val="15"/>
          <w:color w:val="auto"/>
        </w:rPr>
        <w:t>million in the current first quarter. Operating income in the financial</w:t>
      </w:r>
    </w:p>
    <w:p>
      <w:pPr>
        <w:spacing w:after="0"/>
        <w:rPr>
          <w:sz w:val="20"/>
          <w:szCs w:val="20"/>
          <w:color w:val="auto"/>
        </w:rPr>
      </w:pPr>
      <w:r>
        <w:rPr>
          <w:rFonts w:ascii="Courier New" w:cs="Courier New" w:eastAsia="Courier New" w:hAnsi="Courier New"/>
          <w:sz w:val="15"/>
          <w:szCs w:val="15"/>
          <w:color w:val="auto"/>
        </w:rPr>
        <w:t>institution outsourcing, systems and services business segment increased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$44.3 million in the first quarter of 1999 to $49.3 million in the current first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 while operating margins were consistent in the first quarter of 1999</w:t>
      </w:r>
    </w:p>
    <w:p>
      <w:pPr>
        <w:spacing w:after="0"/>
        <w:rPr>
          <w:sz w:val="20"/>
          <w:szCs w:val="20"/>
          <w:color w:val="auto"/>
        </w:rPr>
      </w:pPr>
      <w:r>
        <w:rPr>
          <w:rFonts w:ascii="Courier New" w:cs="Courier New" w:eastAsia="Courier New" w:hAnsi="Courier New"/>
          <w:sz w:val="15"/>
          <w:szCs w:val="15"/>
          <w:color w:val="auto"/>
        </w:rPr>
        <w:t>and 2000.</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Revenues in the securities processing and trust services business segment increased from $61.3 million in the first quarter of 1999 to $86.4 million in the current first quarter. Revenue growth was primarily derived from increased transaction volumes from existing clients and from JW Genesis Clearing Corporation, which was acquired in June of 1999. Overall growth in transaction volumes in the securities processing and trust services business segment during the first quarter of 2000 reflected the high level of trading volumes in the United States financial markets. Operating income in this business segment increased from $17.4 million in the first quarter of 1999 to $29.9 million in the current first quarter. The increases in operating income and margin were the result of strong transaction-based revenues and the associated economies of scale.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The following table summarizes the Company's primary sources (uses) of funds for the three months ended March 31:</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2000</w:t>
            </w:r>
          </w:p>
        </w:tc>
        <w:tc>
          <w:tcPr>
            <w:tcW w:w="10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580" w:type="dxa"/>
            <w:vAlign w:val="bottom"/>
          </w:tcPr>
          <w:p>
            <w:pPr>
              <w:spacing w:after="0"/>
              <w:rPr>
                <w:sz w:val="14"/>
                <w:szCs w:val="14"/>
                <w:color w:val="auto"/>
              </w:rPr>
            </w:pPr>
          </w:p>
        </w:tc>
        <w:tc>
          <w:tcPr>
            <w:tcW w:w="38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9"/>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provided by operating activities before changes</w:t>
            </w: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 securities processing receivables and payables - net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74,113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87,873</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Securities processing receivables and payables - net</w:t>
            </w:r>
          </w:p>
        </w:tc>
        <w:tc>
          <w:tcPr>
            <w:tcW w:w="1020" w:type="dxa"/>
            <w:vAlign w:val="bottom"/>
          </w:tcPr>
          <w:p>
            <w:pPr>
              <w:spacing w:after="0"/>
              <w:rPr>
                <w:sz w:val="14"/>
                <w:szCs w:val="14"/>
                <w:color w:val="auto"/>
              </w:rPr>
            </w:pPr>
          </w:p>
        </w:tc>
        <w:tc>
          <w:tcPr>
            <w:tcW w:w="176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6"/>
              </w:rPr>
              <w:t>(223,273)</w:t>
            </w: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(43,097)</w:t>
            </w:r>
          </w:p>
        </w:tc>
      </w:tr>
      <w:tr>
        <w:trPr>
          <w:trHeight w:val="170"/>
        </w:trPr>
        <w:tc>
          <w:tcPr>
            <w:tcW w:w="5580" w:type="dxa"/>
            <w:vAlign w:val="bottom"/>
          </w:tcPr>
          <w:p>
            <w:pPr>
              <w:spacing w:after="0"/>
              <w:rPr>
                <w:sz w:val="14"/>
                <w:szCs w:val="14"/>
                <w:color w:val="auto"/>
              </w:rPr>
            </w:pPr>
          </w:p>
        </w:tc>
        <w:tc>
          <w:tcPr>
            <w:tcW w:w="38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(used in) provided by operating activities</w:t>
            </w:r>
          </w:p>
        </w:tc>
        <w:tc>
          <w:tcPr>
            <w:tcW w:w="1020" w:type="dxa"/>
            <w:vAlign w:val="bottom"/>
          </w:tcPr>
          <w:p>
            <w:pPr>
              <w:spacing w:after="0"/>
              <w:rPr>
                <w:sz w:val="14"/>
                <w:szCs w:val="14"/>
                <w:color w:val="auto"/>
              </w:rPr>
            </w:pPr>
          </w:p>
        </w:tc>
        <w:tc>
          <w:tcPr>
            <w:tcW w:w="176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6"/>
              </w:rPr>
              <w:t>(149,160)</w:t>
            </w:r>
          </w:p>
        </w:tc>
        <w:tc>
          <w:tcPr>
            <w:tcW w:w="3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44,776</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Increase in short-term borrowings</w:t>
            </w:r>
          </w:p>
        </w:tc>
        <w:tc>
          <w:tcPr>
            <w:tcW w:w="1020" w:type="dxa"/>
            <w:vAlign w:val="bottom"/>
          </w:tcPr>
          <w:p>
            <w:pPr>
              <w:spacing w:after="0"/>
              <w:rPr>
                <w:sz w:val="14"/>
                <w:szCs w:val="14"/>
                <w:color w:val="auto"/>
              </w:rPr>
            </w:pPr>
          </w:p>
        </w:tc>
        <w:tc>
          <w:tcPr>
            <w:tcW w:w="17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214,671</w:t>
            </w:r>
          </w:p>
        </w:tc>
        <w:tc>
          <w:tcPr>
            <w:tcW w:w="3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100,450</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Repayments of long-term borrowings</w:t>
            </w:r>
          </w:p>
        </w:tc>
        <w:tc>
          <w:tcPr>
            <w:tcW w:w="1020" w:type="dxa"/>
            <w:vAlign w:val="bottom"/>
          </w:tcPr>
          <w:p>
            <w:pPr>
              <w:spacing w:after="0"/>
              <w:rPr>
                <w:sz w:val="14"/>
                <w:szCs w:val="14"/>
                <w:color w:val="auto"/>
              </w:rPr>
            </w:pPr>
          </w:p>
        </w:tc>
        <w:tc>
          <w:tcPr>
            <w:tcW w:w="17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(39,463)</w:t>
            </w: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(33,990)</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Decrease (increase) in investments</w:t>
            </w:r>
          </w:p>
        </w:tc>
        <w:tc>
          <w:tcPr>
            <w:tcW w:w="1020" w:type="dxa"/>
            <w:vAlign w:val="bottom"/>
          </w:tcPr>
          <w:p>
            <w:pPr>
              <w:spacing w:after="0"/>
              <w:rPr>
                <w:sz w:val="14"/>
                <w:szCs w:val="14"/>
                <w:color w:val="auto"/>
              </w:rPr>
            </w:pPr>
          </w:p>
        </w:tc>
        <w:tc>
          <w:tcPr>
            <w:tcW w:w="17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2,918</w:t>
            </w: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(57,063)</w:t>
            </w:r>
          </w:p>
        </w:tc>
      </w:tr>
      <w:tr>
        <w:trPr>
          <w:trHeight w:val="170"/>
        </w:trPr>
        <w:tc>
          <w:tcPr>
            <w:tcW w:w="5580" w:type="dxa"/>
            <w:vAlign w:val="bottom"/>
          </w:tcPr>
          <w:p>
            <w:pPr>
              <w:spacing w:after="0"/>
              <w:rPr>
                <w:sz w:val="14"/>
                <w:szCs w:val="14"/>
                <w:color w:val="auto"/>
              </w:rPr>
            </w:pPr>
          </w:p>
        </w:tc>
        <w:tc>
          <w:tcPr>
            <w:tcW w:w="38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28,966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54,173</w:t>
            </w:r>
          </w:p>
        </w:tc>
      </w:tr>
      <w:tr>
        <w:trPr>
          <w:trHeight w:val="170"/>
        </w:trPr>
        <w:tc>
          <w:tcPr>
            <w:tcW w:w="5580" w:type="dxa"/>
            <w:vAlign w:val="bottom"/>
          </w:tcPr>
          <w:p>
            <w:pPr>
              <w:spacing w:after="0"/>
              <w:rPr>
                <w:sz w:val="14"/>
                <w:szCs w:val="14"/>
                <w:color w:val="auto"/>
              </w:rPr>
            </w:pPr>
          </w:p>
        </w:tc>
        <w:tc>
          <w:tcPr>
            <w:tcW w:w="38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increase in securities processing receivables and payables-net of $223.3</w:t>
      </w:r>
    </w:p>
    <w:p>
      <w:pPr>
        <w:spacing w:after="0"/>
        <w:rPr>
          <w:sz w:val="20"/>
          <w:szCs w:val="20"/>
          <w:color w:val="auto"/>
        </w:rPr>
      </w:pPr>
      <w:r>
        <w:rPr>
          <w:rFonts w:ascii="Courier New" w:cs="Courier New" w:eastAsia="Courier New" w:hAnsi="Courier New"/>
          <w:sz w:val="15"/>
          <w:szCs w:val="15"/>
          <w:color w:val="auto"/>
        </w:rPr>
        <w:t>million in the first quarter of 2000 was funded primarily by the increase in</w:t>
      </w:r>
    </w:p>
    <w:p>
      <w:pPr>
        <w:spacing w:after="0"/>
        <w:rPr>
          <w:sz w:val="20"/>
          <w:szCs w:val="20"/>
          <w:color w:val="auto"/>
        </w:rPr>
      </w:pPr>
      <w:r>
        <w:rPr>
          <w:rFonts w:ascii="Courier New" w:cs="Courier New" w:eastAsia="Courier New" w:hAnsi="Courier New"/>
          <w:sz w:val="15"/>
          <w:szCs w:val="15"/>
          <w:color w:val="auto"/>
        </w:rPr>
        <w:t>short-term borrowings of $214.7 million. Long-term obligations amounted to</w:t>
      </w:r>
    </w:p>
    <w:p>
      <w:pPr>
        <w:spacing w:after="0" w:line="238" w:lineRule="auto"/>
        <w:rPr>
          <w:sz w:val="20"/>
          <w:szCs w:val="20"/>
          <w:color w:val="auto"/>
        </w:rPr>
      </w:pPr>
      <w:r>
        <w:rPr>
          <w:rFonts w:ascii="Courier New" w:cs="Courier New" w:eastAsia="Courier New" w:hAnsi="Courier New"/>
          <w:sz w:val="15"/>
          <w:szCs w:val="15"/>
          <w:color w:val="auto"/>
        </w:rPr>
        <w:t>$434.4 million at March 31, 2000 and included $290.6 million advanced under an</w:t>
      </w:r>
    </w:p>
    <w:p>
      <w:pPr>
        <w:spacing w:after="0"/>
        <w:rPr>
          <w:sz w:val="20"/>
          <w:szCs w:val="20"/>
          <w:color w:val="auto"/>
        </w:rPr>
      </w:pPr>
      <w:r>
        <w:rPr>
          <w:rFonts w:ascii="Courier New" w:cs="Courier New" w:eastAsia="Courier New" w:hAnsi="Courier New"/>
          <w:sz w:val="15"/>
          <w:szCs w:val="15"/>
          <w:color w:val="auto"/>
        </w:rPr>
        <w:t>aggregate of $500.0 million in revolving credit facilities.</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has used a significant portion of its cash flow from operations for acquisitions and capital expenditures with any remainder used to reduce long-term debt. The Company believes that its cash flow from operations together with other available sources of funds will be adequate to meet its funding requirements. In the event that the Company makes significant future acquisitions, however, it may raise funds through additional borrowings or issuances of securities.</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Safe Harbor Statement Under the Private Securities Litigation Reform Act of 1995 Except for the historical information contained herein, the matters discussed in this Form 10-Q are forward-looking statements that involve risks and uncertainties, including but not limited to economic, competitive, governmental and technological factors affecting the Company's operations, markets, services and related products, prices and other factors discussed in the Company's prior filings with the Securities and Exchange Commission. Although the Company believes that the assumptions underlying the forward-looking statements contained herein are reasonable, any of the assumptions could be inaccurate. Therefore, there can be no assurance that the forward-looking statements included in this Form 10-Q will prove to be accurate. In light of the significant uncertainties inherent in the forward-looking statements included herein, the inclusion of such information should not be regarded as a representation by the Company or any other person that the objectives and plans of the Company will be achieved.</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2" w:right="1440" w:bottom="1440" w:gutter="0" w:footer="0" w:header="0"/>
        </w:sectPr>
      </w:pPr>
    </w:p>
    <w:bookmarkStart w:id="8" w:name="page9"/>
    <w:bookmarkEnd w:id="8"/>
    <w:p>
      <w:pPr>
        <w:spacing w:after="0"/>
        <w:tabs>
          <w:tab w:leader="none" w:pos="8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Company's Annual Meeting of Shareholders held on March 30, 2000, the</w:t>
      </w:r>
    </w:p>
    <w:p>
      <w:pPr>
        <w:spacing w:after="0"/>
        <w:rPr>
          <w:sz w:val="20"/>
          <w:szCs w:val="20"/>
          <w:color w:val="auto"/>
        </w:rPr>
      </w:pPr>
      <w:r>
        <w:rPr>
          <w:rFonts w:ascii="Courier New" w:cs="Courier New" w:eastAsia="Courier New" w:hAnsi="Courier New"/>
          <w:sz w:val="15"/>
          <w:szCs w:val="15"/>
          <w:color w:val="auto"/>
        </w:rPr>
        <w:t>Company's Shareholders approved the following matters: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4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For</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Withheld</w:t>
            </w:r>
          </w:p>
        </w:tc>
      </w:tr>
      <w:tr>
        <w:trPr>
          <w:trHeight w:val="170"/>
        </w:trPr>
        <w:tc>
          <w:tcPr>
            <w:tcW w:w="4080" w:type="dxa"/>
            <w:vAlign w:val="bottom"/>
          </w:tcPr>
          <w:p>
            <w:pPr>
              <w:spacing w:after="0"/>
              <w:rPr>
                <w:sz w:val="14"/>
                <w:szCs w:val="1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1. ELECTION OF THREE DIRECTORS TO SERVE</w:t>
            </w: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FOR A THREE-YEAR TERM EXPIRING IN 2003:</w:t>
            </w: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4080" w:type="dxa"/>
            <w:vAlign w:val="bottom"/>
          </w:tcPr>
          <w:p>
            <w:pPr>
              <w:ind w:left="2280"/>
              <w:spacing w:after="0"/>
              <w:rPr>
                <w:sz w:val="20"/>
                <w:szCs w:val="20"/>
                <w:color w:val="auto"/>
              </w:rPr>
            </w:pPr>
            <w:r>
              <w:rPr>
                <w:rFonts w:ascii="Courier New" w:cs="Courier New" w:eastAsia="Courier New" w:hAnsi="Courier New"/>
                <w:sz w:val="15"/>
                <w:szCs w:val="15"/>
                <w:color w:val="auto"/>
              </w:rPr>
              <w:t>George D. Dalton</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109,843,403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903,255</w:t>
            </w:r>
          </w:p>
        </w:tc>
      </w:tr>
      <w:tr>
        <w:trPr>
          <w:trHeight w:val="170"/>
        </w:trPr>
        <w:tc>
          <w:tcPr>
            <w:tcW w:w="4080" w:type="dxa"/>
            <w:vAlign w:val="bottom"/>
          </w:tcPr>
          <w:p>
            <w:pPr>
              <w:ind w:left="2280"/>
              <w:spacing w:after="0"/>
              <w:rPr>
                <w:sz w:val="20"/>
                <w:szCs w:val="20"/>
                <w:color w:val="auto"/>
              </w:rPr>
            </w:pPr>
            <w:r>
              <w:rPr>
                <w:rFonts w:ascii="Courier New" w:cs="Courier New" w:eastAsia="Courier New" w:hAnsi="Courier New"/>
                <w:sz w:val="15"/>
                <w:szCs w:val="15"/>
                <w:color w:val="auto"/>
              </w:rPr>
              <w:t>Daniel P. Kearney</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109,781,049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965,609</w:t>
            </w:r>
          </w:p>
        </w:tc>
      </w:tr>
      <w:tr>
        <w:trPr>
          <w:trHeight w:val="170"/>
        </w:trPr>
        <w:tc>
          <w:tcPr>
            <w:tcW w:w="4080" w:type="dxa"/>
            <w:vAlign w:val="bottom"/>
          </w:tcPr>
          <w:p>
            <w:pPr>
              <w:ind w:left="2280"/>
              <w:spacing w:after="0"/>
              <w:rPr>
                <w:sz w:val="20"/>
                <w:szCs w:val="20"/>
                <w:color w:val="auto"/>
              </w:rPr>
            </w:pPr>
            <w:r>
              <w:rPr>
                <w:rFonts w:ascii="Courier New" w:cs="Courier New" w:eastAsia="Courier New" w:hAnsi="Courier New"/>
                <w:sz w:val="15"/>
                <w:szCs w:val="15"/>
                <w:color w:val="auto"/>
              </w:rPr>
              <w:t>L. William Seidman</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110,088,801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657,857</w:t>
            </w:r>
          </w:p>
        </w:tc>
      </w:tr>
    </w:tbl>
    <w:p>
      <w:pPr>
        <w:spacing w:after="0" w:line="175" w:lineRule="exact"/>
        <w:rPr>
          <w:sz w:val="20"/>
          <w:szCs w:val="20"/>
          <w:color w:val="auto"/>
        </w:rPr>
      </w:pPr>
    </w:p>
    <w:p>
      <w:pPr>
        <w:ind w:right="4480"/>
        <w:spacing w:after="0" w:line="237" w:lineRule="auto"/>
        <w:rPr>
          <w:sz w:val="20"/>
          <w:szCs w:val="20"/>
          <w:color w:val="auto"/>
        </w:rPr>
      </w:pPr>
      <w:r>
        <w:rPr>
          <w:rFonts w:ascii="Courier New" w:cs="Courier New" w:eastAsia="Courier New" w:hAnsi="Courier New"/>
          <w:sz w:val="15"/>
          <w:szCs w:val="15"/>
          <w:color w:val="auto"/>
        </w:rPr>
        <w:t>The other directors of the Company whose terms in office continued after the 2000 Annual Meeting of Shareholders are as follows: terms expiring at the 2001 Annual Meeting - Kenneth R. Jensen and Thekla R. Shackelford; and terms expiring at the 2002 Annual Meeting - Donald F. Dillon, Gerald J. Levy and Leslie M. Muma.</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5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For</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Against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Abstain</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Non-Vote</w:t>
            </w:r>
          </w:p>
        </w:tc>
      </w:tr>
      <w:tr>
        <w:trPr>
          <w:trHeight w:val="170"/>
        </w:trPr>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2.</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APPROVAL OF AN</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AMENDMENT TO</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220" w:type="dxa"/>
            <w:vAlign w:val="bottom"/>
          </w:tcPr>
          <w:p>
            <w:pPr>
              <w:spacing w:after="0"/>
              <w:rPr>
                <w:sz w:val="14"/>
                <w:szCs w:val="14"/>
                <w:color w:val="auto"/>
              </w:rPr>
            </w:pPr>
          </w:p>
        </w:tc>
        <w:tc>
          <w:tcPr>
            <w:tcW w:w="43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FISERV, INC. STOCK OPTION PLAN</w:t>
            </w:r>
          </w:p>
        </w:tc>
        <w:tc>
          <w:tcPr>
            <w:tcW w:w="2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73,859,625</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19,660,822</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453,737</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16,772,474</w:t>
            </w:r>
          </w:p>
        </w:tc>
      </w:tr>
      <w:tr>
        <w:trPr>
          <w:trHeight w:val="339"/>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3.</w:t>
            </w:r>
          </w:p>
        </w:tc>
        <w:tc>
          <w:tcPr>
            <w:tcW w:w="43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APPROVAL OF THE FISERV, INC. EMPLOYEE</w:t>
            </w:r>
          </w:p>
        </w:tc>
        <w:tc>
          <w:tcPr>
            <w:tcW w:w="2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2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STOCK PURCHASE</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PLAN</w:t>
            </w:r>
          </w:p>
        </w:tc>
        <w:tc>
          <w:tcPr>
            <w:tcW w:w="1840" w:type="dxa"/>
            <w:vAlign w:val="bottom"/>
          </w:tcPr>
          <w:p>
            <w:pPr>
              <w:spacing w:after="0"/>
              <w:rPr>
                <w:sz w:val="14"/>
                <w:szCs w:val="14"/>
                <w:color w:val="auto"/>
              </w:rPr>
            </w:pPr>
          </w:p>
        </w:tc>
        <w:tc>
          <w:tcPr>
            <w:tcW w:w="2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91,617,007</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1,967,182</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389,995</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16,772,474</w:t>
            </w:r>
          </w:p>
        </w:tc>
      </w:tr>
      <w:tr>
        <w:trPr>
          <w:trHeight w:val="339"/>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4.</w:t>
            </w:r>
          </w:p>
        </w:tc>
        <w:tc>
          <w:tcPr>
            <w:tcW w:w="24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REAPPOINTMENT OF DELOITTE &amp;</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TOUCHE LLP</w:t>
            </w:r>
          </w:p>
        </w:tc>
        <w:tc>
          <w:tcPr>
            <w:tcW w:w="2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2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AS INDEPENDENT</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AUDITORS FOR</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2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110,476,815</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132,488</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137,355</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bl>
    <w:p>
      <w:pPr>
        <w:spacing w:after="0" w:line="33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 Exhibits</w:t>
      </w:r>
    </w:p>
    <w:p>
      <w:pPr>
        <w:spacing w:after="0" w:line="175" w:lineRule="exact"/>
        <w:rPr>
          <w:sz w:val="20"/>
          <w:szCs w:val="20"/>
          <w:color w:val="auto"/>
        </w:rPr>
      </w:pPr>
    </w:p>
    <w:p>
      <w:pPr>
        <w:ind w:right="4740" w:firstLine="529"/>
        <w:spacing w:after="0" w:line="235" w:lineRule="auto"/>
        <w:rPr>
          <w:sz w:val="20"/>
          <w:szCs w:val="20"/>
          <w:color w:val="auto"/>
        </w:rPr>
      </w:pPr>
      <w:r>
        <w:rPr>
          <w:rFonts w:ascii="Courier New" w:cs="Courier New" w:eastAsia="Courier New" w:hAnsi="Courier New"/>
          <w:sz w:val="15"/>
          <w:szCs w:val="15"/>
          <w:color w:val="auto"/>
        </w:rPr>
        <w:t>The exhibits listed in the accompanying exhibit index are filed as part of this Quarterly Report on Form 10-Q.</w:t>
      </w:r>
    </w:p>
    <w:p>
      <w:pPr>
        <w:spacing w:after="0" w:line="170" w:lineRule="exact"/>
        <w:rPr>
          <w:sz w:val="20"/>
          <w:szCs w:val="20"/>
          <w:color w:val="auto"/>
        </w:rPr>
      </w:pPr>
    </w:p>
    <w:p>
      <w:pPr>
        <w:ind w:left="520" w:hanging="353"/>
        <w:spacing w:after="0"/>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quarter ended March 31,</w:t>
      </w:r>
    </w:p>
    <w:p>
      <w:pPr>
        <w:spacing w:after="0"/>
        <w:rPr>
          <w:sz w:val="20"/>
          <w:szCs w:val="20"/>
          <w:color w:val="auto"/>
        </w:rPr>
      </w:pPr>
      <w:r>
        <w:rPr>
          <w:rFonts w:ascii="Courier New" w:cs="Courier New" w:eastAsia="Courier New" w:hAnsi="Courier New"/>
          <w:sz w:val="15"/>
          <w:szCs w:val="15"/>
          <w:color w:val="auto"/>
        </w:rPr>
        <w:t>2000.</w:t>
      </w:r>
    </w:p>
    <w:p>
      <w:pPr>
        <w:spacing w:after="0" w:line="1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w:t>
      </w:r>
    </w:p>
    <w:p>
      <w:pPr>
        <w:spacing w:after="0" w:line="175" w:lineRule="exact"/>
        <w:rPr>
          <w:sz w:val="20"/>
          <w:szCs w:val="20"/>
          <w:color w:val="auto"/>
        </w:rPr>
      </w:pPr>
    </w:p>
    <w:p>
      <w:pPr>
        <w:jc w:val="both"/>
        <w:ind w:right="5180"/>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Fiserv, Inc.</w:t>
      </w:r>
    </w:p>
    <w:p>
      <w:pPr>
        <w:ind w:left="3600"/>
        <w:spacing w:after="0"/>
        <w:rPr>
          <w:sz w:val="20"/>
          <w:szCs w:val="20"/>
          <w:color w:val="auto"/>
        </w:rPr>
      </w:pPr>
      <w:r>
        <w:rPr>
          <w:rFonts w:ascii="Courier New" w:cs="Courier New" w:eastAsia="Courier New" w:hAnsi="Courier New"/>
          <w:sz w:val="15"/>
          <w:szCs w:val="15"/>
          <w:color w:val="auto"/>
        </w:rPr>
        <w:t>--------------------------------------</w:t>
      </w:r>
    </w:p>
    <w:p>
      <w:pPr>
        <w:ind w:left="360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1520"/>
          </w:cols>
          <w:pgMar w:left="240" w:top="622" w:right="139"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24, 2000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Kenneth R. Jensen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KENNETH R. JENSEN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Executive Vice President,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Officer, Treasurer and</w:t>
      </w:r>
    </w:p>
    <w:p>
      <w:pPr>
        <w:spacing w:after="0"/>
        <w:rPr>
          <w:sz w:val="20"/>
          <w:szCs w:val="20"/>
          <w:color w:val="auto"/>
        </w:rPr>
      </w:pPr>
      <w:r>
        <w:rPr>
          <w:rFonts w:ascii="Courier New" w:cs="Courier New" w:eastAsia="Courier New" w:hAnsi="Courier New"/>
          <w:sz w:val="15"/>
          <w:szCs w:val="15"/>
          <w:color w:val="auto"/>
        </w:rPr>
        <w:t>Assistant Secretary</w:t>
      </w:r>
    </w:p>
    <w:p>
      <w:pPr>
        <w:spacing w:after="0" w:line="169" w:lineRule="exact"/>
        <w:rPr>
          <w:sz w:val="20"/>
          <w:szCs w:val="20"/>
          <w:color w:val="auto"/>
        </w:rPr>
      </w:pPr>
    </w:p>
    <w:p>
      <w:pPr>
        <w:sectPr>
          <w:pgSz w:w="11900" w:h="16838" w:orient="portrait"/>
          <w:cols w:equalWidth="0" w:num="4">
            <w:col w:w="340" w:space="260"/>
            <w:col w:w="1840" w:space="720"/>
            <w:col w:w="180" w:space="260"/>
            <w:col w:w="7920"/>
          </w:cols>
          <w:pgMar w:left="240" w:top="622" w:right="139"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520"/>
          </w:cols>
          <w:pgMar w:left="240" w:top="622" w:right="139" w:bottom="1440" w:gutter="0" w:footer="0" w:header="0"/>
          <w:type w:val="continuous"/>
        </w:sectPr>
      </w:pPr>
    </w:p>
    <w:bookmarkStart w:id="9" w:name="page10"/>
    <w:bookmarkEnd w:id="9"/>
    <w:p>
      <w:pPr>
        <w:jc w:val="center"/>
        <w:ind w:right="3350"/>
        <w:spacing w:after="0"/>
        <w:rPr>
          <w:sz w:val="20"/>
          <w:szCs w:val="20"/>
          <w:color w:val="auto"/>
        </w:rPr>
      </w:pPr>
      <w:r>
        <w:rPr>
          <w:rFonts w:ascii="Courier New" w:cs="Courier New" w:eastAsia="Courier New" w:hAnsi="Courier New"/>
          <w:sz w:val="15"/>
          <w:szCs w:val="15"/>
          <w:color w:val="auto"/>
        </w:rPr>
        <w:t>FISERV, INC.</w:t>
      </w:r>
    </w:p>
    <w:p>
      <w:pPr>
        <w:spacing w:after="0" w:line="169" w:lineRule="exact"/>
        <w:rPr>
          <w:sz w:val="20"/>
          <w:szCs w:val="20"/>
          <w:color w:val="auto"/>
        </w:rPr>
      </w:pPr>
    </w:p>
    <w:p>
      <w:pPr>
        <w:jc w:val="right"/>
        <w:ind w:right="4759"/>
        <w:spacing w:after="0"/>
        <w:rPr>
          <w:sz w:val="20"/>
          <w:szCs w:val="20"/>
          <w:color w:val="auto"/>
        </w:rPr>
      </w:pPr>
      <w:r>
        <w:rPr>
          <w:rFonts w:ascii="Courier New" w:cs="Courier New" w:eastAsia="Courier New" w:hAnsi="Courier New"/>
          <w:sz w:val="15"/>
          <w:szCs w:val="15"/>
          <w:color w:val="auto"/>
        </w:rPr>
        <w:t>EXHIBIT INDEX TO QUARTERLY REPORT ON FORM 10-Q</w:t>
      </w:r>
    </w:p>
    <w:p>
      <w:pPr>
        <w:jc w:val="right"/>
        <w:ind w:right="4759"/>
        <w:spacing w:after="0"/>
        <w:rPr>
          <w:sz w:val="20"/>
          <w:szCs w:val="20"/>
          <w:color w:val="auto"/>
        </w:rPr>
      </w:pPr>
      <w:r>
        <w:rPr>
          <w:rFonts w:ascii="Courier New" w:cs="Courier New" w:eastAsia="Courier New" w:hAnsi="Courier New"/>
          <w:sz w:val="15"/>
          <w:szCs w:val="15"/>
          <w:color w:val="auto"/>
        </w:rPr>
        <w:t>For the Quarterly Period ended March 31, 2000</w:t>
      </w:r>
    </w:p>
    <w:p>
      <w:pPr>
        <w:spacing w:after="0" w:line="174" w:lineRule="exact"/>
        <w:rPr>
          <w:sz w:val="20"/>
          <w:szCs w:val="20"/>
          <w:color w:val="auto"/>
        </w:rPr>
      </w:pPr>
    </w:p>
    <w:p>
      <w:pPr>
        <w:ind w:left="710" w:right="3879" w:hanging="710"/>
        <w:spacing w:after="0" w:line="237" w:lineRule="auto"/>
        <w:tabs>
          <w:tab w:leader="none" w:pos="71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Amendment to the Rights Agreement, dated December 1, 1999, appointing EquiServe as successor Rights Agent [Incorporated by reference to Exhibit 4.3 to the Company's Form S-8 Registration Statement (Registration No. 333-34310)]</w:t>
      </w:r>
    </w:p>
    <w:p>
      <w:pPr>
        <w:spacing w:after="0" w:line="7" w:lineRule="exact"/>
        <w:rPr>
          <w:sz w:val="20"/>
          <w:szCs w:val="20"/>
          <w:color w:val="auto"/>
        </w:rPr>
      </w:pPr>
    </w:p>
    <w:p>
      <w:pPr>
        <w:ind w:left="710" w:right="3179" w:hanging="710"/>
        <w:spacing w:after="0" w:line="237" w:lineRule="auto"/>
        <w:tabs>
          <w:tab w:leader="none" w:pos="71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Fiserv, Inc. Stock Option Plan, as amended [Incorporated by reference to Exhibit 4.1 to the Company's Form S-8 Registration Statement (Registration No. 333-34310)]</w:t>
      </w:r>
    </w:p>
    <w:p>
      <w:pPr>
        <w:spacing w:after="0" w:line="5" w:lineRule="exact"/>
        <w:rPr>
          <w:rFonts w:ascii="Courier New" w:cs="Courier New" w:eastAsia="Courier New" w:hAnsi="Courier New"/>
          <w:sz w:val="15"/>
          <w:szCs w:val="15"/>
          <w:color w:val="auto"/>
        </w:rPr>
      </w:pPr>
    </w:p>
    <w:p>
      <w:pPr>
        <w:ind w:left="710" w:right="3699" w:hanging="710"/>
        <w:spacing w:after="0" w:line="235" w:lineRule="auto"/>
        <w:tabs>
          <w:tab w:leader="none" w:pos="71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regarding computation of per share earnings (included in Part 1, page 5).</w:t>
      </w:r>
    </w:p>
    <w:p>
      <w:pPr>
        <w:spacing w:after="0" w:line="1" w:lineRule="exact"/>
        <w:rPr>
          <w:sz w:val="20"/>
          <w:szCs w:val="20"/>
          <w:color w:val="auto"/>
        </w:rPr>
      </w:pPr>
    </w:p>
    <w:p>
      <w:pPr>
        <w:ind w:left="10"/>
        <w:spacing w:after="0"/>
        <w:tabs>
          <w:tab w:leader="none" w:pos="689"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622" w:right="1440" w:bottom="1440"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5</w:t>
      </w:r>
    </w:p>
    <w:p>
      <w:pPr>
        <w:spacing w:after="0"/>
        <w:rPr>
          <w:sz w:val="20"/>
          <w:szCs w:val="20"/>
          <w:color w:val="auto"/>
        </w:rPr>
      </w:pPr>
      <w:r>
        <w:rPr>
          <w:rFonts w:ascii="Courier New" w:cs="Courier New" w:eastAsia="Courier New" w:hAnsi="Courier New"/>
          <w:sz w:val="15"/>
          <w:szCs w:val="15"/>
          <w:color w:val="auto"/>
        </w:rPr>
        <w:t>1,000</w:t>
      </w:r>
    </w:p>
    <w:p>
      <w:pPr>
        <w:spacing w:after="0" w:line="33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3-MOS</w:t>
      </w:r>
    </w:p>
    <w:p>
      <w:pPr>
        <w:ind w:left="2200"/>
        <w:spacing w:after="0"/>
        <w:rPr>
          <w:sz w:val="20"/>
          <w:szCs w:val="20"/>
          <w:color w:val="auto"/>
        </w:rPr>
      </w:pPr>
      <w:r>
        <w:rPr>
          <w:rFonts w:ascii="Courier New" w:cs="Courier New" w:eastAsia="Courier New" w:hAnsi="Courier New"/>
          <w:sz w:val="15"/>
          <w:szCs w:val="15"/>
          <w:color w:val="auto"/>
        </w:rPr>
        <w:t>DEC-31-2000</w:t>
      </w:r>
    </w:p>
    <w:p>
      <w:pPr>
        <w:ind w:left="2460"/>
        <w:spacing w:after="0"/>
        <w:rPr>
          <w:sz w:val="20"/>
          <w:szCs w:val="20"/>
          <w:color w:val="auto"/>
        </w:rPr>
      </w:pPr>
      <w:r>
        <w:rPr>
          <w:rFonts w:ascii="Courier New" w:cs="Courier New" w:eastAsia="Courier New" w:hAnsi="Courier New"/>
          <w:sz w:val="15"/>
          <w:szCs w:val="15"/>
          <w:color w:val="auto"/>
        </w:rPr>
        <w:t>JAN-01-2000</w:t>
      </w:r>
    </w:p>
    <w:p>
      <w:pPr>
        <w:ind w:left="2640"/>
        <w:spacing w:after="0" w:line="238" w:lineRule="auto"/>
        <w:rPr>
          <w:sz w:val="20"/>
          <w:szCs w:val="20"/>
          <w:color w:val="auto"/>
        </w:rPr>
      </w:pPr>
      <w:r>
        <w:rPr>
          <w:rFonts w:ascii="Courier New" w:cs="Courier New" w:eastAsia="Courier New" w:hAnsi="Courier New"/>
          <w:sz w:val="15"/>
          <w:szCs w:val="15"/>
          <w:color w:val="auto"/>
        </w:rPr>
        <w:t>MAR-31-2000</w:t>
      </w:r>
    </w:p>
    <w:p>
      <w:pPr>
        <w:ind w:left="3620"/>
        <w:spacing w:after="0"/>
        <w:rPr>
          <w:sz w:val="20"/>
          <w:szCs w:val="20"/>
          <w:color w:val="auto"/>
        </w:rPr>
      </w:pPr>
      <w:r>
        <w:rPr>
          <w:rFonts w:ascii="Courier New" w:cs="Courier New" w:eastAsia="Courier New" w:hAnsi="Courier New"/>
          <w:sz w:val="15"/>
          <w:szCs w:val="15"/>
          <w:color w:val="auto"/>
        </w:rPr>
        <w:t>74,655</w:t>
      </w:r>
    </w:p>
    <w:p>
      <w:pPr>
        <w:jc w:val="center"/>
        <w:ind w:right="3719"/>
        <w:spacing w:after="0"/>
        <w:rPr>
          <w:sz w:val="20"/>
          <w:szCs w:val="20"/>
          <w:color w:val="auto"/>
        </w:rPr>
      </w:pPr>
      <w:r>
        <w:rPr>
          <w:rFonts w:ascii="Courier New" w:cs="Courier New" w:eastAsia="Courier New" w:hAnsi="Courier New"/>
          <w:sz w:val="15"/>
          <w:szCs w:val="15"/>
          <w:color w:val="auto"/>
        </w:rPr>
        <w:t>1,636,035</w:t>
      </w:r>
    </w:p>
    <w:p>
      <w:pPr>
        <w:jc w:val="center"/>
        <w:ind w:right="3719"/>
        <w:spacing w:after="0" w:line="238" w:lineRule="auto"/>
        <w:rPr>
          <w:sz w:val="20"/>
          <w:szCs w:val="20"/>
          <w:color w:val="auto"/>
        </w:rPr>
      </w:pPr>
      <w:r>
        <w:rPr>
          <w:rFonts w:ascii="Courier New" w:cs="Courier New" w:eastAsia="Courier New" w:hAnsi="Courier New"/>
          <w:sz w:val="15"/>
          <w:szCs w:val="15"/>
          <w:color w:val="auto"/>
        </w:rPr>
        <w:t>244,941</w:t>
      </w:r>
    </w:p>
    <w:p>
      <w:pPr>
        <w:ind w:left="3520"/>
        <w:spacing w:after="0"/>
        <w:rPr>
          <w:sz w:val="20"/>
          <w:szCs w:val="20"/>
          <w:color w:val="auto"/>
        </w:rPr>
      </w:pPr>
      <w:r>
        <w:rPr>
          <w:rFonts w:ascii="Courier New" w:cs="Courier New" w:eastAsia="Courier New" w:hAnsi="Courier New"/>
          <w:sz w:val="15"/>
          <w:szCs w:val="15"/>
          <w:color w:val="auto"/>
        </w:rPr>
        <w:t>0</w:t>
      </w:r>
    </w:p>
    <w:p>
      <w:pPr>
        <w:ind w:left="3620"/>
        <w:spacing w:after="0"/>
        <w:rPr>
          <w:sz w:val="20"/>
          <w:szCs w:val="20"/>
          <w:color w:val="auto"/>
        </w:rPr>
      </w:pPr>
      <w:r>
        <w:rPr>
          <w:rFonts w:ascii="Courier New" w:cs="Courier New" w:eastAsia="Courier New" w:hAnsi="Courier New"/>
          <w:sz w:val="15"/>
          <w:szCs w:val="15"/>
          <w:color w:val="auto"/>
        </w:rPr>
        <w:t>0</w:t>
      </w:r>
    </w:p>
    <w:p>
      <w:pPr>
        <w:ind w:left="2460"/>
        <w:spacing w:after="0"/>
        <w:rPr>
          <w:sz w:val="20"/>
          <w:szCs w:val="20"/>
          <w:color w:val="auto"/>
        </w:rPr>
      </w:pPr>
      <w:r>
        <w:rPr>
          <w:rFonts w:ascii="Courier New" w:cs="Courier New" w:eastAsia="Courier New" w:hAnsi="Courier New"/>
          <w:sz w:val="15"/>
          <w:szCs w:val="15"/>
          <w:color w:val="auto"/>
        </w:rPr>
        <w:t>4,831,934</w:t>
      </w:r>
    </w:p>
    <w:p>
      <w:pPr>
        <w:ind w:left="3520"/>
        <w:spacing w:after="0" w:line="238" w:lineRule="auto"/>
        <w:rPr>
          <w:sz w:val="20"/>
          <w:szCs w:val="20"/>
          <w:color w:val="auto"/>
        </w:rPr>
      </w:pPr>
      <w:r>
        <w:rPr>
          <w:rFonts w:ascii="Courier New" w:cs="Courier New" w:eastAsia="Courier New" w:hAnsi="Courier New"/>
          <w:sz w:val="15"/>
          <w:szCs w:val="15"/>
          <w:color w:val="auto"/>
        </w:rPr>
        <w:t>203,863</w:t>
      </w:r>
    </w:p>
    <w:p>
      <w:pPr>
        <w:ind w:left="3340"/>
        <w:spacing w:after="0"/>
        <w:rPr>
          <w:sz w:val="20"/>
          <w:szCs w:val="20"/>
          <w:color w:val="auto"/>
        </w:rPr>
      </w:pPr>
      <w:r>
        <w:rPr>
          <w:rFonts w:ascii="Courier New" w:cs="Courier New" w:eastAsia="Courier New" w:hAnsi="Courier New"/>
          <w:sz w:val="15"/>
          <w:szCs w:val="15"/>
          <w:color w:val="auto"/>
        </w:rPr>
        <w:t>0</w:t>
      </w:r>
    </w:p>
    <w:p>
      <w:pPr>
        <w:ind w:left="2640"/>
        <w:spacing w:after="0"/>
        <w:rPr>
          <w:sz w:val="20"/>
          <w:szCs w:val="20"/>
          <w:color w:val="auto"/>
        </w:rPr>
      </w:pPr>
      <w:r>
        <w:rPr>
          <w:rFonts w:ascii="Courier New" w:cs="Courier New" w:eastAsia="Courier New" w:hAnsi="Courier New"/>
          <w:sz w:val="15"/>
          <w:szCs w:val="15"/>
          <w:color w:val="auto"/>
        </w:rPr>
        <w:t>6,258,925</w:t>
      </w:r>
    </w:p>
    <w:p>
      <w:pPr>
        <w:ind w:left="2020"/>
        <w:spacing w:after="0" w:line="238" w:lineRule="auto"/>
        <w:rPr>
          <w:sz w:val="20"/>
          <w:szCs w:val="20"/>
          <w:color w:val="auto"/>
        </w:rPr>
      </w:pPr>
      <w:r>
        <w:rPr>
          <w:rFonts w:ascii="Courier New" w:cs="Courier New" w:eastAsia="Courier New" w:hAnsi="Courier New"/>
          <w:sz w:val="15"/>
          <w:szCs w:val="15"/>
          <w:color w:val="auto"/>
        </w:rPr>
        <w:t>4,700,715</w:t>
      </w:r>
    </w:p>
    <w:p>
      <w:pPr>
        <w:ind w:left="3960"/>
        <w:spacing w:after="0"/>
        <w:rPr>
          <w:sz w:val="20"/>
          <w:szCs w:val="20"/>
          <w:color w:val="auto"/>
        </w:rPr>
      </w:pPr>
      <w:r>
        <w:rPr>
          <w:rFonts w:ascii="Courier New" w:cs="Courier New" w:eastAsia="Courier New" w:hAnsi="Courier New"/>
          <w:sz w:val="15"/>
          <w:szCs w:val="15"/>
          <w:color w:val="auto"/>
        </w:rPr>
        <w:t>0</w:t>
      </w:r>
    </w:p>
    <w:p>
      <w:pPr>
        <w:ind w:left="2740"/>
        <w:spacing w:after="0"/>
        <w:rPr>
          <w:sz w:val="20"/>
          <w:szCs w:val="20"/>
          <w:color w:val="auto"/>
        </w:rPr>
      </w:pPr>
      <w:r>
        <w:rPr>
          <w:rFonts w:ascii="Courier New" w:cs="Courier New" w:eastAsia="Courier New" w:hAnsi="Courier New"/>
          <w:sz w:val="15"/>
          <w:szCs w:val="15"/>
          <w:color w:val="auto"/>
        </w:rPr>
        <w:t>0</w:t>
      </w:r>
    </w:p>
    <w:p>
      <w:pPr>
        <w:ind w:left="3620"/>
        <w:spacing w:after="0"/>
        <w:rPr>
          <w:sz w:val="20"/>
          <w:szCs w:val="20"/>
          <w:color w:val="auto"/>
        </w:rPr>
      </w:pPr>
      <w:r>
        <w:rPr>
          <w:rFonts w:ascii="Courier New" w:cs="Courier New" w:eastAsia="Courier New" w:hAnsi="Courier New"/>
          <w:sz w:val="15"/>
          <w:szCs w:val="15"/>
          <w:color w:val="auto"/>
        </w:rPr>
        <w:t>0</w:t>
      </w:r>
    </w:p>
    <w:p>
      <w:pPr>
        <w:ind w:left="3520"/>
        <w:spacing w:after="0" w:line="238" w:lineRule="auto"/>
        <w:rPr>
          <w:sz w:val="20"/>
          <w:szCs w:val="20"/>
          <w:color w:val="auto"/>
        </w:rPr>
      </w:pPr>
      <w:r>
        <w:rPr>
          <w:rFonts w:ascii="Courier New" w:cs="Courier New" w:eastAsia="Courier New" w:hAnsi="Courier New"/>
          <w:sz w:val="15"/>
          <w:szCs w:val="15"/>
          <w:color w:val="auto"/>
        </w:rPr>
        <w:t>1,254</w:t>
      </w:r>
    </w:p>
    <w:p>
      <w:pPr>
        <w:ind w:left="3000"/>
        <w:spacing w:after="0"/>
        <w:rPr>
          <w:sz w:val="20"/>
          <w:szCs w:val="20"/>
          <w:color w:val="auto"/>
        </w:rPr>
      </w:pPr>
      <w:r>
        <w:rPr>
          <w:rFonts w:ascii="Courier New" w:cs="Courier New" w:eastAsia="Courier New" w:hAnsi="Courier New"/>
          <w:sz w:val="15"/>
          <w:szCs w:val="15"/>
          <w:color w:val="auto"/>
        </w:rPr>
        <w:t>1,149,752</w:t>
      </w:r>
    </w:p>
    <w:p>
      <w:pPr>
        <w:ind w:left="1400"/>
        <w:spacing w:after="0"/>
        <w:rPr>
          <w:sz w:val="20"/>
          <w:szCs w:val="20"/>
          <w:color w:val="auto"/>
        </w:rPr>
      </w:pPr>
      <w:r>
        <w:rPr>
          <w:rFonts w:ascii="Courier New" w:cs="Courier New" w:eastAsia="Courier New" w:hAnsi="Courier New"/>
          <w:sz w:val="15"/>
          <w:szCs w:val="15"/>
          <w:color w:val="auto"/>
        </w:rPr>
        <w:t>6,258,925</w:t>
      </w:r>
    </w:p>
    <w:p>
      <w:pPr>
        <w:ind w:left="3960"/>
        <w:spacing w:after="0" w:line="238" w:lineRule="auto"/>
        <w:rPr>
          <w:sz w:val="20"/>
          <w:szCs w:val="20"/>
          <w:color w:val="auto"/>
        </w:rPr>
      </w:pPr>
      <w:r>
        <w:rPr>
          <w:rFonts w:ascii="Courier New" w:cs="Courier New" w:eastAsia="Courier New" w:hAnsi="Courier New"/>
          <w:sz w:val="15"/>
          <w:szCs w:val="15"/>
          <w:color w:val="auto"/>
        </w:rPr>
        <w:t>0</w:t>
      </w:r>
    </w:p>
    <w:p>
      <w:pPr>
        <w:ind w:left="2640"/>
        <w:spacing w:after="0"/>
        <w:rPr>
          <w:sz w:val="20"/>
          <w:szCs w:val="20"/>
          <w:color w:val="auto"/>
        </w:rPr>
      </w:pPr>
      <w:r>
        <w:rPr>
          <w:rFonts w:ascii="Courier New" w:cs="Courier New" w:eastAsia="Courier New" w:hAnsi="Courier New"/>
          <w:sz w:val="15"/>
          <w:szCs w:val="15"/>
          <w:color w:val="auto"/>
        </w:rPr>
        <w:t>396,402</w:t>
      </w:r>
    </w:p>
    <w:p>
      <w:pPr>
        <w:jc w:val="right"/>
        <w:ind w:right="5919"/>
        <w:spacing w:after="0"/>
        <w:rPr>
          <w:sz w:val="20"/>
          <w:szCs w:val="20"/>
          <w:color w:val="auto"/>
        </w:rPr>
      </w:pPr>
      <w:r>
        <w:rPr>
          <w:rFonts w:ascii="Courier New" w:cs="Courier New" w:eastAsia="Courier New" w:hAnsi="Courier New"/>
          <w:sz w:val="15"/>
          <w:szCs w:val="15"/>
          <w:color w:val="auto"/>
        </w:rPr>
        <w:t>0</w:t>
      </w:r>
    </w:p>
    <w:p>
      <w:pPr>
        <w:ind w:left="2900"/>
        <w:spacing w:after="0"/>
        <w:rPr>
          <w:sz w:val="20"/>
          <w:szCs w:val="20"/>
          <w:color w:val="auto"/>
        </w:rPr>
      </w:pPr>
      <w:r>
        <w:rPr>
          <w:rFonts w:ascii="Courier New" w:cs="Courier New" w:eastAsia="Courier New" w:hAnsi="Courier New"/>
          <w:sz w:val="15"/>
          <w:szCs w:val="15"/>
          <w:color w:val="auto"/>
        </w:rPr>
        <w:t>309,660</w:t>
      </w:r>
    </w:p>
    <w:p>
      <w:pPr>
        <w:ind w:left="2820"/>
        <w:spacing w:after="0" w:line="238" w:lineRule="auto"/>
        <w:rPr>
          <w:sz w:val="20"/>
          <w:szCs w:val="20"/>
          <w:color w:val="auto"/>
        </w:rPr>
      </w:pPr>
      <w:r>
        <w:rPr>
          <w:rFonts w:ascii="Courier New" w:cs="Courier New" w:eastAsia="Courier New" w:hAnsi="Courier New"/>
          <w:sz w:val="15"/>
          <w:szCs w:val="15"/>
          <w:color w:val="auto"/>
        </w:rPr>
        <w:t>7,788</w:t>
      </w:r>
    </w:p>
    <w:p>
      <w:pPr>
        <w:ind w:left="3180"/>
        <w:spacing w:after="0"/>
        <w:rPr>
          <w:sz w:val="20"/>
          <w:szCs w:val="20"/>
          <w:color w:val="auto"/>
        </w:rPr>
      </w:pPr>
      <w:r>
        <w:rPr>
          <w:rFonts w:ascii="Courier New" w:cs="Courier New" w:eastAsia="Courier New" w:hAnsi="Courier New"/>
          <w:sz w:val="15"/>
          <w:szCs w:val="15"/>
          <w:color w:val="auto"/>
        </w:rPr>
        <w:t>0</w:t>
      </w:r>
    </w:p>
    <w:p>
      <w:pPr>
        <w:ind w:left="2640"/>
        <w:spacing w:after="0"/>
        <w:rPr>
          <w:sz w:val="20"/>
          <w:szCs w:val="20"/>
          <w:color w:val="auto"/>
        </w:rPr>
      </w:pPr>
      <w:r>
        <w:rPr>
          <w:rFonts w:ascii="Courier New" w:cs="Courier New" w:eastAsia="Courier New" w:hAnsi="Courier New"/>
          <w:sz w:val="15"/>
          <w:szCs w:val="15"/>
          <w:color w:val="auto"/>
        </w:rPr>
        <w:t>5,806</w:t>
      </w:r>
    </w:p>
    <w:p>
      <w:pPr>
        <w:ind w:left="2820"/>
        <w:spacing w:after="0" w:line="238" w:lineRule="auto"/>
        <w:rPr>
          <w:sz w:val="20"/>
          <w:szCs w:val="20"/>
          <w:color w:val="auto"/>
        </w:rPr>
      </w:pPr>
      <w:r>
        <w:rPr>
          <w:rFonts w:ascii="Courier New" w:cs="Courier New" w:eastAsia="Courier New" w:hAnsi="Courier New"/>
          <w:sz w:val="15"/>
          <w:szCs w:val="15"/>
          <w:color w:val="auto"/>
        </w:rPr>
        <w:t>73,148</w:t>
      </w:r>
    </w:p>
    <w:p>
      <w:pPr>
        <w:ind w:left="3080"/>
        <w:spacing w:after="0"/>
        <w:rPr>
          <w:sz w:val="20"/>
          <w:szCs w:val="20"/>
          <w:color w:val="auto"/>
        </w:rPr>
      </w:pPr>
      <w:r>
        <w:rPr>
          <w:rFonts w:ascii="Courier New" w:cs="Courier New" w:eastAsia="Courier New" w:hAnsi="Courier New"/>
          <w:sz w:val="15"/>
          <w:szCs w:val="15"/>
          <w:color w:val="auto"/>
        </w:rPr>
        <w:t>29,991</w:t>
      </w:r>
    </w:p>
    <w:p>
      <w:pPr>
        <w:ind w:left="2460"/>
        <w:spacing w:after="0"/>
        <w:rPr>
          <w:sz w:val="20"/>
          <w:szCs w:val="20"/>
          <w:color w:val="auto"/>
        </w:rPr>
      </w:pPr>
      <w:r>
        <w:rPr>
          <w:rFonts w:ascii="Courier New" w:cs="Courier New" w:eastAsia="Courier New" w:hAnsi="Courier New"/>
          <w:sz w:val="15"/>
          <w:szCs w:val="15"/>
          <w:color w:val="auto"/>
        </w:rPr>
        <w:t>43,157</w:t>
      </w:r>
    </w:p>
    <w:p>
      <w:pPr>
        <w:ind w:left="3340"/>
        <w:spacing w:after="0" w:line="238" w:lineRule="auto"/>
        <w:rPr>
          <w:sz w:val="20"/>
          <w:szCs w:val="20"/>
          <w:color w:val="auto"/>
        </w:rPr>
      </w:pPr>
      <w:r>
        <w:rPr>
          <w:rFonts w:ascii="Courier New" w:cs="Courier New" w:eastAsia="Courier New" w:hAnsi="Courier New"/>
          <w:sz w:val="15"/>
          <w:szCs w:val="15"/>
          <w:color w:val="auto"/>
        </w:rPr>
        <w:t>0</w:t>
      </w:r>
    </w:p>
    <w:p>
      <w:pPr>
        <w:ind w:left="3260"/>
        <w:spacing w:after="0"/>
        <w:rPr>
          <w:sz w:val="20"/>
          <w:szCs w:val="20"/>
          <w:color w:val="auto"/>
        </w:rPr>
      </w:pPr>
      <w:r>
        <w:rPr>
          <w:rFonts w:ascii="Courier New" w:cs="Courier New" w:eastAsia="Courier New" w:hAnsi="Courier New"/>
          <w:sz w:val="15"/>
          <w:szCs w:val="15"/>
          <w:color w:val="auto"/>
        </w:rPr>
        <w:t>0</w:t>
      </w:r>
    </w:p>
    <w:p>
      <w:pPr>
        <w:ind w:left="3780"/>
        <w:spacing w:after="0"/>
        <w:rPr>
          <w:sz w:val="20"/>
          <w:szCs w:val="20"/>
          <w:color w:val="auto"/>
        </w:rPr>
      </w:pPr>
      <w:r>
        <w:rPr>
          <w:rFonts w:ascii="Courier New" w:cs="Courier New" w:eastAsia="Courier New" w:hAnsi="Courier New"/>
          <w:sz w:val="15"/>
          <w:szCs w:val="15"/>
          <w:color w:val="auto"/>
        </w:rPr>
        <w:t>0</w:t>
      </w:r>
    </w:p>
    <w:p>
      <w:pPr>
        <w:ind w:left="3080"/>
        <w:spacing w:after="0"/>
        <w:rPr>
          <w:sz w:val="20"/>
          <w:szCs w:val="20"/>
          <w:color w:val="auto"/>
        </w:rPr>
      </w:pPr>
      <w:r>
        <w:rPr>
          <w:rFonts w:ascii="Courier New" w:cs="Courier New" w:eastAsia="Courier New" w:hAnsi="Courier New"/>
          <w:sz w:val="15"/>
          <w:szCs w:val="15"/>
          <w:color w:val="auto"/>
        </w:rPr>
        <w:t>43,157</w:t>
      </w:r>
    </w:p>
    <w:p>
      <w:pPr>
        <w:ind w:left="3340"/>
        <w:spacing w:after="0" w:line="238" w:lineRule="auto"/>
        <w:rPr>
          <w:sz w:val="20"/>
          <w:szCs w:val="20"/>
          <w:color w:val="auto"/>
        </w:rPr>
      </w:pPr>
      <w:r>
        <w:rPr>
          <w:rFonts w:ascii="Courier New" w:cs="Courier New" w:eastAsia="Courier New" w:hAnsi="Courier New"/>
          <w:sz w:val="15"/>
          <w:szCs w:val="15"/>
          <w:color w:val="auto"/>
        </w:rPr>
        <w:t>0.35</w:t>
      </w:r>
    </w:p>
    <w:p>
      <w:pPr>
        <w:ind w:left="3180"/>
        <w:spacing w:after="0"/>
        <w:rPr>
          <w:sz w:val="20"/>
          <w:szCs w:val="20"/>
          <w:color w:val="auto"/>
        </w:rPr>
      </w:pPr>
      <w:r>
        <w:rPr>
          <w:rFonts w:ascii="Courier New" w:cs="Courier New" w:eastAsia="Courier New" w:hAnsi="Courier New"/>
          <w:sz w:val="15"/>
          <w:szCs w:val="15"/>
          <w:color w:val="auto"/>
        </w:rPr>
        <w:t>0.34</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2019-12-13T17:17:57Z</dcterms:created>
  <dcterms:modified xsi:type="dcterms:W3CDTF">2019-12-13T17:17:57Z</dcterms:modified>
</cp:coreProperties>
</file>