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NUTTALL SCOTT C</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06/30/2021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0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201"/>
              <w:spacing w:after="0"/>
              <w:rPr>
                <w:sz w:val="20"/>
                <w:szCs w:val="20"/>
                <w:color w:val="auto"/>
              </w:rPr>
            </w:pPr>
            <w:r>
              <w:rPr>
                <w:rFonts w:ascii="Arial" w:cs="Arial" w:eastAsia="Arial" w:hAnsi="Arial"/>
                <w:sz w:val="13"/>
                <w:szCs w:val="13"/>
                <w:color w:val="0000FF"/>
              </w:rPr>
              <w:t>06/30/2021</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276</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276</w:t>
            </w:r>
          </w:p>
        </w:tc>
        <w:tc>
          <w:tcPr>
            <w:tcW w:w="680" w:type="dxa"/>
            <w:vAlign w:val="bottom"/>
            <w:vMerge w:val="restart"/>
          </w:tcPr>
          <w:p>
            <w:pPr>
              <w:ind w:left="6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106.89</w:t>
            </w:r>
            <w:r>
              <w:rPr>
                <w:rFonts w:ascii="Arial" w:cs="Arial" w:eastAsia="Arial" w:hAnsi="Arial"/>
                <w:sz w:val="21"/>
                <w:szCs w:val="21"/>
                <w:color w:val="008000"/>
                <w:w w:val="99"/>
                <w:vertAlign w:val="superscript"/>
              </w:rPr>
              <w:t>(1)</w:t>
            </w:r>
          </w:p>
        </w:tc>
        <w:tc>
          <w:tcPr>
            <w:tcW w:w="920" w:type="dxa"/>
            <w:vAlign w:val="bottom"/>
            <w:vMerge w:val="restart"/>
          </w:tcPr>
          <w:p>
            <w:pPr>
              <w:ind w:left="320"/>
              <w:spacing w:after="0"/>
              <w:rPr>
                <w:sz w:val="20"/>
                <w:szCs w:val="20"/>
                <w:color w:val="auto"/>
              </w:rPr>
            </w:pPr>
            <w:r>
              <w:rPr>
                <w:rFonts w:ascii="Arial" w:cs="Arial" w:eastAsia="Arial" w:hAnsi="Arial"/>
                <w:sz w:val="13"/>
                <w:szCs w:val="13"/>
                <w:color w:val="0000FF"/>
              </w:rPr>
              <w:t>1,019</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2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June 30, 2021 in respect of $29,500 of deferred compensation. The number of notional units credited is calculated by dividing the amount of compensation that is deferred by the closing price of the company's common stock on the date of deferral, or last business day prior. On June 30, 2021, the closing price of Fiserv's common stock was $106.89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21"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2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0000FF"/>
        </w:rPr>
        <w:t>07/02/2021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7606"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2021-07-02T16:11:55Z</dcterms:created>
  <dcterms:modified xsi:type="dcterms:W3CDTF">2021-07-02T16:11:55Z</dcterms:modified>
</cp:coreProperties>
</file>