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1380" w:type="dxa"/>
            <w:vAlign w:val="bottom"/>
          </w:tcPr>
          <w:p>
            <w:pPr>
              <w:spacing w:after="0"/>
              <w:rPr>
                <w:sz w:val="18"/>
                <w:szCs w:val="18"/>
                <w:color w:val="auto"/>
              </w:rPr>
            </w:pPr>
          </w:p>
        </w:tc>
        <w:tc>
          <w:tcPr>
            <w:tcW w:w="3540" w:type="dxa"/>
            <w:vAlign w:val="bottom"/>
            <w:gridSpan w:val="2"/>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36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39-1506125</w:t>
            </w:r>
          </w:p>
        </w:tc>
        <w:tc>
          <w:tcPr>
            <w:tcW w:w="440" w:type="dxa"/>
            <w:vAlign w:val="bottom"/>
          </w:tcPr>
          <w:p>
            <w:pPr>
              <w:spacing w:after="0"/>
              <w:rPr>
                <w:sz w:val="18"/>
                <w:szCs w:val="18"/>
                <w:color w:val="auto"/>
              </w:rPr>
            </w:pPr>
          </w:p>
        </w:tc>
      </w:tr>
      <w:tr>
        <w:trPr>
          <w:trHeight w:val="190"/>
        </w:trPr>
        <w:tc>
          <w:tcPr>
            <w:tcW w:w="4920" w:type="dxa"/>
            <w:vAlign w:val="bottom"/>
            <w:gridSpan w:val="3"/>
          </w:tcPr>
          <w:p>
            <w:pPr>
              <w:jc w:val="center"/>
              <w:ind w:right="111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800" w:type="dxa"/>
            <w:vAlign w:val="bottom"/>
            <w:gridSpan w:val="3"/>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0"/>
        </w:trPr>
        <w:tc>
          <w:tcPr>
            <w:tcW w:w="4920" w:type="dxa"/>
            <w:vAlign w:val="bottom"/>
            <w:gridSpan w:val="3"/>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600 N. Vel R. Phillips Avenue</w:t>
            </w: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7"/>
        </w:trPr>
        <w:tc>
          <w:tcPr>
            <w:tcW w:w="4920" w:type="dxa"/>
            <w:vAlign w:val="bottom"/>
            <w:gridSpan w:val="3"/>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3360" w:type="dxa"/>
            <w:vAlign w:val="bottom"/>
            <w:gridSpan w:val="2"/>
          </w:tcPr>
          <w:p>
            <w:pPr>
              <w:jc w:val="right"/>
              <w:ind w:right="562"/>
              <w:spacing w:after="0"/>
              <w:rPr>
                <w:sz w:val="20"/>
                <w:szCs w:val="20"/>
                <w:color w:val="auto"/>
              </w:rPr>
            </w:pPr>
            <w:r>
              <w:rPr>
                <w:rFonts w:ascii="Times New Roman" w:cs="Times New Roman" w:eastAsia="Times New Roman" w:hAnsi="Times New Roman"/>
                <w:sz w:val="18"/>
                <w:szCs w:val="18"/>
                <w:b w:val="1"/>
                <w:bCs w:val="1"/>
                <w:color w:val="auto"/>
              </w:rPr>
              <w:t>53203</w:t>
            </w:r>
          </w:p>
        </w:tc>
        <w:tc>
          <w:tcPr>
            <w:tcW w:w="440" w:type="dxa"/>
            <w:vAlign w:val="bottom"/>
          </w:tcPr>
          <w:p>
            <w:pPr>
              <w:spacing w:after="0"/>
              <w:rPr>
                <w:sz w:val="19"/>
                <w:szCs w:val="19"/>
                <w:color w:val="auto"/>
              </w:rPr>
            </w:pPr>
          </w:p>
        </w:tc>
      </w:tr>
      <w:tr>
        <w:trPr>
          <w:trHeight w:val="190"/>
        </w:trPr>
        <w:tc>
          <w:tcPr>
            <w:tcW w:w="4920" w:type="dxa"/>
            <w:vAlign w:val="bottom"/>
            <w:gridSpan w:val="3"/>
          </w:tcPr>
          <w:p>
            <w:pPr>
              <w:jc w:val="center"/>
              <w:ind w:right="113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spacing w:after="0"/>
              <w:rPr>
                <w:sz w:val="16"/>
                <w:szCs w:val="16"/>
                <w:color w:val="auto"/>
              </w:rPr>
            </w:pPr>
          </w:p>
        </w:tc>
        <w:tc>
          <w:tcPr>
            <w:tcW w:w="216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380" w:type="dxa"/>
            <w:vAlign w:val="bottom"/>
          </w:tcPr>
          <w:p>
            <w:pPr>
              <w:spacing w:after="0"/>
              <w:rPr>
                <w:sz w:val="24"/>
                <w:szCs w:val="24"/>
                <w:color w:val="auto"/>
              </w:rPr>
            </w:pPr>
          </w:p>
        </w:tc>
        <w:tc>
          <w:tcPr>
            <w:tcW w:w="73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4920" w:type="dxa"/>
            <w:vAlign w:val="bottom"/>
            <w:gridSpan w:val="3"/>
          </w:tcPr>
          <w:p>
            <w:pPr>
              <w:jc w:val="center"/>
              <w:ind w:right="111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0" w:type="dxa"/>
            <w:vAlign w:val="bottom"/>
            <w:gridSpan w:val="3"/>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380" w:type="dxa"/>
            <w:vAlign w:val="bottom"/>
          </w:tcPr>
          <w:p>
            <w:pPr>
              <w:spacing w:after="0"/>
              <w:rPr>
                <w:sz w:val="15"/>
                <w:szCs w:val="15"/>
                <w:color w:val="auto"/>
              </w:rPr>
            </w:pPr>
          </w:p>
        </w:tc>
        <w:tc>
          <w:tcPr>
            <w:tcW w:w="3540" w:type="dxa"/>
            <w:vAlign w:val="bottom"/>
            <w:gridSpan w:val="2"/>
          </w:tcPr>
          <w:p>
            <w:pPr>
              <w:jc w:val="center"/>
              <w:ind w:right="2510"/>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640" w:type="dxa"/>
            <w:vAlign w:val="bottom"/>
          </w:tcPr>
          <w:p>
            <w:pPr>
              <w:spacing w:after="0"/>
              <w:rPr>
                <w:sz w:val="15"/>
                <w:szCs w:val="15"/>
                <w:color w:val="auto"/>
              </w:rPr>
            </w:pPr>
          </w:p>
        </w:tc>
        <w:tc>
          <w:tcPr>
            <w:tcW w:w="216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187"/>
        </w:trPr>
        <w:tc>
          <w:tcPr>
            <w:tcW w:w="1380" w:type="dxa"/>
            <w:vAlign w:val="bottom"/>
          </w:tcPr>
          <w:p>
            <w:pPr>
              <w:jc w:val="right"/>
              <w:ind w:right="18"/>
              <w:spacing w:after="0" w:line="188" w:lineRule="exact"/>
              <w:rPr>
                <w:sz w:val="20"/>
                <w:szCs w:val="20"/>
                <w:color w:val="auto"/>
              </w:rPr>
            </w:pPr>
            <w:r>
              <w:rPr>
                <w:rFonts w:ascii="Times New Roman" w:cs="Times New Roman" w:eastAsia="Times New Roman" w:hAnsi="Times New Roman"/>
                <w:sz w:val="18"/>
                <w:szCs w:val="18"/>
                <w:b w:val="1"/>
                <w:bCs w:val="1"/>
                <w:color w:val="auto"/>
              </w:rPr>
              <w:t>3.750%</w:t>
            </w:r>
          </w:p>
        </w:tc>
        <w:tc>
          <w:tcPr>
            <w:tcW w:w="9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4"/>
              </w:rPr>
              <w:t>Senior Notes</w:t>
            </w:r>
          </w:p>
        </w:tc>
        <w:tc>
          <w:tcPr>
            <w:tcW w:w="25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due 2030</w:t>
            </w:r>
          </w:p>
        </w:tc>
        <w:tc>
          <w:tcPr>
            <w:tcW w:w="1640" w:type="dxa"/>
            <w:vAlign w:val="bottom"/>
          </w:tcPr>
          <w:p>
            <w:pPr>
              <w:ind w:left="1180"/>
              <w:spacing w:after="0" w:line="188" w:lineRule="exact"/>
              <w:rPr>
                <w:sz w:val="20"/>
                <w:szCs w:val="20"/>
                <w:color w:val="auto"/>
              </w:rPr>
            </w:pPr>
            <w:r>
              <w:rPr>
                <w:rFonts w:ascii="Times New Roman" w:cs="Times New Roman" w:eastAsia="Times New Roman" w:hAnsi="Times New Roman"/>
                <w:sz w:val="18"/>
                <w:szCs w:val="18"/>
                <w:b w:val="1"/>
                <w:bCs w:val="1"/>
                <w:color w:val="auto"/>
              </w:rPr>
              <w:t>The</w:t>
            </w:r>
          </w:p>
        </w:tc>
        <w:tc>
          <w:tcPr>
            <w:tcW w:w="17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2"/>
              </w:rPr>
              <w:t>NASDAQ Stock Market</w:t>
            </w:r>
          </w:p>
        </w:tc>
        <w:tc>
          <w:tcPr>
            <w:tcW w:w="44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w w:val="91"/>
              </w:rPr>
              <w:t>LLC</w:t>
            </w:r>
          </w:p>
        </w:tc>
      </w:tr>
      <w:tr>
        <w:trPr>
          <w:trHeight w:val="238"/>
        </w:trPr>
        <w:tc>
          <w:tcPr>
            <w:tcW w:w="4920" w:type="dxa"/>
            <w:vAlign w:val="bottom"/>
            <w:gridSpan w:val="3"/>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4.250% Senior Notes due 2034</w:t>
            </w:r>
          </w:p>
        </w:tc>
        <w:tc>
          <w:tcPr>
            <w:tcW w:w="3800" w:type="dxa"/>
            <w:vAlign w:val="bottom"/>
            <w:gridSpan w:val="3"/>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333-277241</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ind w:left="2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Fiserv, Inc. (the “Company”) hereby incorporates by reference the description of its 3.750% Senior Notes due 2030 and 4.250% Senior Notes due 2034, to be registered hereunder, contained under the heading “Description of the Notes” included in the Company’s Prospectus Supplement, dated as of June 16, 2026, as filed with the Securities and Exchange Commission (the “Commission”) on June 17, 2026 pursuant to Rule 424(b) under the Securities Act of 1933, as amended, and under the heading “Description of Debt Securities and Guarantees of Debt Securities” in the accompanying Prospectus that constitutes a part of the Company’s Registration Statement on Form S-3 (File No. 333-277241), which became automatically effective upon filing with the Commission on February 22, 2024, as amended by the Post-Effective Amendment No. 1 to the Registration Statement that the Company filed with the Commission on April 24,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35" w:lineRule="exact"/>
        <w:rPr>
          <w:sz w:val="20"/>
          <w:szCs w:val="20"/>
          <w:color w:val="auto"/>
        </w:rPr>
      </w:pPr>
    </w:p>
    <w:p>
      <w:pPr>
        <w:jc w:val="both"/>
        <w:ind w:left="540" w:right="140" w:hanging="552"/>
        <w:spacing w:after="0" w:line="266" w:lineRule="auto"/>
        <w:tabs>
          <w:tab w:leader="none" w:pos="5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8">
        <w:r>
          <w:rPr>
            <w:rFonts w:ascii="Times New Roman" w:cs="Times New Roman" w:eastAsia="Times New Roman" w:hAnsi="Times New Roman"/>
            <w:sz w:val="18"/>
            <w:szCs w:val="18"/>
            <w:u w:val="single" w:color="auto"/>
            <w:color w:val="0000EE"/>
          </w:rPr>
          <w:t>Indenture, dated as of November 20, 2007, by and among Fiserv, Inc., the guarantors named therein and U.S. Bank Trust Company, National</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Association (as successor in interest to U.S. Bank National Association), as trustee (incorporated by reference to Exhibit 4.8 to the Company’s</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Registration Statement on Form S-3 (File No. 333-147309) filed on November 13, 2007).</w:t>
        </w:r>
      </w:hyperlink>
    </w:p>
    <w:p>
      <w:pPr>
        <w:spacing w:after="0" w:line="68" w:lineRule="exact"/>
        <w:rPr>
          <w:rFonts w:ascii="Times New Roman" w:cs="Times New Roman" w:eastAsia="Times New Roman" w:hAnsi="Times New Roman"/>
          <w:sz w:val="18"/>
          <w:szCs w:val="18"/>
          <w:u w:val="single" w:color="auto"/>
          <w:color w:val="0000EE"/>
        </w:rPr>
      </w:pPr>
    </w:p>
    <w:p>
      <w:pPr>
        <w:ind w:left="540" w:right="120" w:hanging="552"/>
        <w:spacing w:after="0" w:line="266" w:lineRule="auto"/>
        <w:tabs>
          <w:tab w:leader="none" w:pos="5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9">
        <w:r>
          <w:rPr>
            <w:rFonts w:ascii="Times New Roman" w:cs="Times New Roman" w:eastAsia="Times New Roman" w:hAnsi="Times New Roman"/>
            <w:sz w:val="18"/>
            <w:szCs w:val="18"/>
            <w:u w:val="single" w:color="auto"/>
            <w:color w:val="0000EE"/>
          </w:rPr>
          <w:t>Thirty-Ninth Supplemental Indenture, dated as of June 23, 2026, by and between Fiserv, Inc. and U.S. Bank Trust Company, National</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Association (including Form of 3.750% Senior Notes due 2030) (incorporated by reference to Exhibit 4.1 to the Company’s Current Report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Form 8-K filed on June 23, 2026).</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540" w:right="180" w:hanging="552"/>
        <w:spacing w:after="0" w:line="266" w:lineRule="auto"/>
        <w:tabs>
          <w:tab w:leader="none" w:pos="5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0">
        <w:r>
          <w:rPr>
            <w:rFonts w:ascii="Times New Roman" w:cs="Times New Roman" w:eastAsia="Times New Roman" w:hAnsi="Times New Roman"/>
            <w:sz w:val="18"/>
            <w:szCs w:val="18"/>
            <w:u w:val="single" w:color="auto"/>
            <w:color w:val="0000EE"/>
          </w:rPr>
          <w:t>Fortieth Supplemental Indenture, dated as of June 23, 2026, by and between Fiserv, Inc. and U.S. Bank Trust Company, National Association</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(including Form of 4.250% Senior Notes due 2034) (incorporated by reference to Exhibit 4.2 to the Company’s Current Report on Form 8-K</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filed on June 23, 2026).</w:t>
        </w:r>
      </w:hyperlink>
    </w:p>
    <w:p>
      <w:pPr>
        <w:spacing w:after="0" w:line="68" w:lineRule="exact"/>
        <w:rPr>
          <w:rFonts w:ascii="Times New Roman" w:cs="Times New Roman" w:eastAsia="Times New Roman" w:hAnsi="Times New Roman"/>
          <w:sz w:val="18"/>
          <w:szCs w:val="18"/>
          <w:u w:val="single" w:color="auto"/>
          <w:color w:val="0000EE"/>
        </w:rPr>
      </w:pPr>
    </w:p>
    <w:p>
      <w:pPr>
        <w:ind w:left="540" w:right="80" w:hanging="552"/>
        <w:spacing w:after="0" w:line="266" w:lineRule="auto"/>
        <w:tabs>
          <w:tab w:leader="none" w:pos="5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21">
        <w:r>
          <w:rPr>
            <w:rFonts w:ascii="Times New Roman" w:cs="Times New Roman" w:eastAsia="Times New Roman" w:hAnsi="Times New Roman"/>
            <w:sz w:val="18"/>
            <w:szCs w:val="18"/>
            <w:u w:val="single" w:color="auto"/>
            <w:color w:val="0000EE"/>
          </w:rPr>
          <w:t>Agency Agreement, dated as of June 23, 2026, by and among Fiserv, Inc., as issuer, U.S. Bank Europe DAC, UK Branch, as paying agent, and</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U.S. Bank Trust Company, National Association, as trustee and security registrar (incorporated by reference to Exhibit 4.3 to the Company’s</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Current Report on Form 8-K filed on June 23, 2026).</w:t>
        </w:r>
      </w:hyperlink>
    </w:p>
    <w:p>
      <w:pPr>
        <w:sectPr>
          <w:pgSz w:w="11900" w:h="16838" w:orient="portrait"/>
          <w:cols w:equalWidth="0" w:num="1">
            <w:col w:w="10940"/>
          </w:cols>
          <w:pgMar w:left="440" w:top="266"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FISERV,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Paul M. Todd</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Paul M. Todd</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18" Type="http://schemas.openxmlformats.org/officeDocument/2006/relationships/hyperlink" Target="http://www.sec.gov/Archives/edgar/data/798354/000119312507244247/dex48.htm" TargetMode="External"/><Relationship Id="rId19" Type="http://schemas.openxmlformats.org/officeDocument/2006/relationships/hyperlink" Target="http://www.sec.gov/Archives/edgar/data/798354/000119312526279413/d38671dex41.htm" TargetMode="External"/><Relationship Id="rId20" Type="http://schemas.openxmlformats.org/officeDocument/2006/relationships/hyperlink" Target="http://www.sec.gov/Archives/edgar/data/798354/000119312526279413/d38671dex42.htm" TargetMode="External"/><Relationship Id="rId21" Type="http://schemas.openxmlformats.org/officeDocument/2006/relationships/hyperlink" Target="http://www.sec.gov/Archives/edgar/data/798354/000119312526279413/d38671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2026-06-23T15:47:04Z</dcterms:created>
  <dcterms:modified xsi:type="dcterms:W3CDTF">2026-06-23T15:47:04Z</dcterms:modified>
</cp:coreProperties>
</file>