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FISERV,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613"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9" w:right="1440" w:bottom="1440" w:gutter="0" w:footer="0" w:header="0"/>
        </w:sectPr>
      </w:pPr>
    </w:p>
    <w:bookmarkStart w:id="2" w:name="page3"/>
    <w:bookmarkEnd w:id="2"/>
    <w:p>
      <w:pPr>
        <w:jc w:val="center"/>
        <w:ind w:left="1960" w:right="29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3336290" cy="3713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3713480"/>
                    </a:xfrm>
                    <a:prstGeom prst="rect">
                      <a:avLst/>
                    </a:prstGeom>
                    <a:noFill/>
                  </pic:spPr>
                </pic:pic>
              </a:graphicData>
            </a:graphic>
          </wp:anchor>
        </w:drawing>
      </w:r>
    </w:p>
    <w:p>
      <w:pPr>
        <w:sectPr>
          <w:pgSz w:w="11900" w:h="16838" w:orient="portrait"/>
          <w:cols w:equalWidth="0" w:num="1">
            <w:col w:w="10380"/>
          </w:cols>
          <w:pgMar w:left="1280" w:top="270" w:right="239" w:bottom="1440" w:gutter="0" w:footer="0" w:header="0"/>
        </w:sectPr>
      </w:pPr>
    </w:p>
    <w:p>
      <w:pPr>
        <w:spacing w:after="0" w:line="325"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62611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11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FISERV,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255 FISERV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BROOKFIELD, WI 53045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1395095</wp:posOffset>
            </wp:positionV>
            <wp:extent cx="60325"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5"/>
              </w:rPr>
              <w:t>Meeting Information</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540" w:type="dxa"/>
            <w:vAlign w:val="bottom"/>
            <w:vMerge w:val="continue"/>
          </w:tcPr>
          <w:p>
            <w:pPr>
              <w:spacing w:after="0"/>
              <w:rPr>
                <w:sz w:val="24"/>
                <w:szCs w:val="24"/>
                <w:color w:val="auto"/>
              </w:rPr>
            </w:pP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w w:val="94"/>
              </w:rPr>
              <w:t>Annual Meeting</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8"/>
                <w:szCs w:val="18"/>
                <w:b w:val="1"/>
                <w:bCs w:val="1"/>
                <w:color w:val="auto"/>
                <w:w w:val="99"/>
              </w:rPr>
              <w:t>For holders as of:</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w w:val="94"/>
              </w:rPr>
              <w:t>March 27, 2017</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0"/>
                <w:szCs w:val="20"/>
                <w:color w:val="auto"/>
              </w:rPr>
            </w:pPr>
            <w:r>
              <w:rPr>
                <w:rFonts w:ascii="Arial" w:cs="Arial" w:eastAsia="Arial" w:hAnsi="Arial"/>
                <w:sz w:val="18"/>
                <w:szCs w:val="18"/>
                <w:b w:val="1"/>
                <w:bCs w:val="1"/>
                <w:color w:val="auto"/>
                <w:w w:val="95"/>
              </w:rPr>
              <w:t xml:space="preserve">Date: </w:t>
            </w:r>
            <w:r>
              <w:rPr>
                <w:rFonts w:ascii="Arial" w:cs="Arial" w:eastAsia="Arial" w:hAnsi="Arial"/>
                <w:sz w:val="18"/>
                <w:szCs w:val="18"/>
                <w:color w:val="auto"/>
                <w:w w:val="95"/>
              </w:rPr>
              <w:t>May 24, 2017</w:t>
            </w:r>
          </w:p>
        </w:tc>
        <w:tc>
          <w:tcPr>
            <w:tcW w:w="200" w:type="dxa"/>
            <w:vAlign w:val="bottom"/>
          </w:tcPr>
          <w:p>
            <w:pPr>
              <w:spacing w:after="0"/>
              <w:rPr>
                <w:sz w:val="23"/>
                <w:szCs w:val="23"/>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 xml:space="preserve">Time:  </w:t>
            </w:r>
            <w:r>
              <w:rPr>
                <w:rFonts w:ascii="Arial" w:cs="Arial" w:eastAsia="Arial" w:hAnsi="Arial"/>
                <w:sz w:val="18"/>
                <w:szCs w:val="18"/>
                <w:color w:val="auto"/>
                <w:w w:val="97"/>
              </w:rPr>
              <w:t>10:00 AM CT</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Fiserv</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Brookfield, WI 53045</w:t>
      </w:r>
    </w:p>
    <w:p>
      <w:pPr>
        <w:spacing w:after="0" w:line="3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(see reverse side).</w:t>
      </w:r>
    </w:p>
    <w:p>
      <w:pPr>
        <w:spacing w:after="0" w:line="107" w:lineRule="exact"/>
        <w:rPr>
          <w:sz w:val="20"/>
          <w:szCs w:val="20"/>
          <w:color w:val="auto"/>
        </w:rPr>
      </w:pPr>
    </w:p>
    <w:p>
      <w:pPr>
        <w:jc w:val="both"/>
        <w:ind w:right="84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3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520" w:space="720"/>
            <w:col w:w="5140"/>
          </w:cols>
          <w:pgMar w:left="1280" w:top="270" w:right="239" w:bottom="1440" w:gutter="0" w:footer="0" w:header="0"/>
          <w:type w:val="continuous"/>
        </w:sectPr>
      </w:pPr>
    </w:p>
    <w:bookmarkStart w:id="3" w:name="page4"/>
    <w:bookmarkEnd w:id="3"/>
    <w:p>
      <w:pPr>
        <w:jc w:val="center"/>
        <w:ind w:right="49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490"/>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160020</wp:posOffset>
            </wp:positionV>
            <wp:extent cx="6980555" cy="255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0555" cy="2555875"/>
                    </a:xfrm>
                    <a:prstGeom prst="rect">
                      <a:avLst/>
                    </a:prstGeom>
                    <a:noFill/>
                  </pic:spPr>
                </pic:pic>
              </a:graphicData>
            </a:graphic>
          </wp:anchor>
        </w:drawing>
      </w:r>
    </w:p>
    <w:p>
      <w:pPr>
        <w:spacing w:after="0" w:line="34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7" w:lineRule="exact"/>
        <w:rPr>
          <w:sz w:val="20"/>
          <w:szCs w:val="20"/>
          <w:color w:val="auto"/>
        </w:rPr>
      </w:pPr>
    </w:p>
    <w:p>
      <w:pPr>
        <w:ind w:left="10"/>
        <w:spacing w:after="0"/>
        <w:tabs>
          <w:tab w:leader="none" w:pos="5269" w:val="left"/>
        </w:tabs>
        <w:rPr>
          <w:sz w:val="20"/>
          <w:szCs w:val="20"/>
          <w:color w:val="auto"/>
        </w:rPr>
      </w:pPr>
      <w:r>
        <w:rPr>
          <w:rFonts w:ascii="Arial" w:cs="Arial" w:eastAsia="Arial" w:hAnsi="Arial"/>
          <w:sz w:val="18"/>
          <w:szCs w:val="18"/>
          <w:color w:val="auto"/>
        </w:rPr>
        <w:t>Notice of Annual Meeting and Proxy Statement</w:t>
      </w:r>
      <w:r>
        <w:rPr>
          <w:sz w:val="20"/>
          <w:szCs w:val="20"/>
          <w:color w:val="auto"/>
        </w:rPr>
        <w:tab/>
      </w:r>
      <w:r>
        <w:rPr>
          <w:rFonts w:ascii="Arial" w:cs="Arial" w:eastAsia="Arial" w:hAnsi="Arial"/>
          <w:sz w:val="16"/>
          <w:szCs w:val="16"/>
          <w:color w:val="auto"/>
        </w:rPr>
        <w:t>Annual Report for the Year Ended December 31, 2016</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How to View Online:</w:t>
      </w:r>
    </w:p>
    <w:p>
      <w:pPr>
        <w:spacing w:after="0" w:line="81" w:lineRule="exact"/>
        <w:rPr>
          <w:sz w:val="20"/>
          <w:szCs w:val="20"/>
          <w:color w:val="auto"/>
        </w:rPr>
      </w:pPr>
    </w:p>
    <w:p>
      <w:pPr>
        <w:ind w:left="10" w:right="180"/>
        <w:spacing w:after="0" w:line="270"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29055"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visit: </w:t>
      </w:r>
      <w:r>
        <w:rPr>
          <w:rFonts w:ascii="Arial" w:cs="Arial" w:eastAsia="Arial" w:hAnsi="Arial"/>
          <w:sz w:val="18"/>
          <w:szCs w:val="18"/>
          <w:i w:val="1"/>
          <w:iCs w:val="1"/>
          <w:color w:val="auto"/>
        </w:rPr>
        <w:t>www.proxyvote.com.</w:t>
      </w:r>
    </w:p>
    <w:p>
      <w:pPr>
        <w:spacing w:after="0" w:line="9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7" w:lineRule="exact"/>
        <w:rPr>
          <w:sz w:val="20"/>
          <w:szCs w:val="20"/>
          <w:color w:val="auto"/>
        </w:rPr>
      </w:pPr>
    </w:p>
    <w:p>
      <w:pPr>
        <w:ind w:left="10" w:right="40"/>
        <w:spacing w:after="0" w:line="277" w:lineRule="auto"/>
        <w:rPr>
          <w:sz w:val="20"/>
          <w:szCs w:val="20"/>
          <w:color w:val="auto"/>
        </w:rPr>
      </w:pPr>
      <w:r>
        <w:rPr>
          <w:rFonts w:ascii="Arial" w:cs="Arial" w:eastAsia="Arial" w:hAnsi="Arial"/>
          <w:sz w:val="18"/>
          <w:szCs w:val="18"/>
          <w:color w:val="auto"/>
        </w:rPr>
        <w:t>If you want to receive a paper or e-mail copy of these documents and/or documents for future meetings, you must request such documents. There is NO charge for requesting a copy. Please choose one of the following methods to make your request:</w:t>
      </w:r>
    </w:p>
    <w:p>
      <w:pPr>
        <w:spacing w:after="0" w:line="8" w:lineRule="exact"/>
        <w:rPr>
          <w:sz w:val="20"/>
          <w:szCs w:val="20"/>
          <w:color w:val="auto"/>
        </w:rPr>
      </w:pPr>
    </w:p>
    <w:tbl>
      <w:tblPr>
        <w:tblLayout w:type="fixed"/>
        <w:tblInd w:w="155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00" w:type="dxa"/>
            <w:vAlign w:val="bottom"/>
          </w:tcPr>
          <w:p>
            <w:pPr>
              <w:ind w:left="320"/>
              <w:spacing w:after="0"/>
              <w:rPr>
                <w:sz w:val="20"/>
                <w:szCs w:val="20"/>
                <w:color w:val="auto"/>
              </w:rPr>
            </w:pPr>
            <w:r>
              <w:rPr>
                <w:rFonts w:ascii="Arial" w:cs="Arial" w:eastAsia="Arial" w:hAnsi="Arial"/>
                <w:sz w:val="18"/>
                <w:szCs w:val="18"/>
                <w:color w:val="auto"/>
              </w:rPr>
              <w:t>www.proxyvote.com</w:t>
            </w:r>
          </w:p>
        </w:tc>
      </w:t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87"/>
              </w:rPr>
              <w:t>2)</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00" w:type="dxa"/>
            <w:vAlign w:val="bottom"/>
          </w:tcPr>
          <w:p>
            <w:pPr>
              <w:ind w:left="320"/>
              <w:spacing w:after="0"/>
              <w:rPr>
                <w:sz w:val="20"/>
                <w:szCs w:val="20"/>
                <w:color w:val="auto"/>
              </w:rPr>
            </w:pPr>
            <w:r>
              <w:rPr>
                <w:rFonts w:ascii="Arial" w:cs="Arial" w:eastAsia="Arial" w:hAnsi="Arial"/>
                <w:sz w:val="18"/>
                <w:szCs w:val="18"/>
                <w:color w:val="auto"/>
              </w:rPr>
              <w:t>1-800-579-1639</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00" w:type="dxa"/>
            <w:vAlign w:val="bottom"/>
          </w:tcPr>
          <w:p>
            <w:pPr>
              <w:ind w:left="320"/>
              <w:spacing w:after="0"/>
              <w:rPr>
                <w:sz w:val="20"/>
                <w:szCs w:val="20"/>
                <w:color w:val="auto"/>
              </w:rPr>
            </w:pPr>
            <w:r>
              <w:rPr>
                <w:rFonts w:ascii="Arial" w:cs="Arial" w:eastAsia="Arial" w:hAnsi="Arial"/>
                <w:sz w:val="18"/>
                <w:szCs w:val="18"/>
                <w:color w:val="auto"/>
                <w:w w:val="90"/>
              </w:rPr>
              <w:t>sendmaterial@proxyvote.com</w:t>
            </w:r>
          </w:p>
        </w:tc>
      </w:tr>
    </w:tbl>
    <w:p>
      <w:pPr>
        <w:spacing w:after="0" w:line="26" w:lineRule="exact"/>
        <w:rPr>
          <w:sz w:val="20"/>
          <w:szCs w:val="20"/>
          <w:color w:val="auto"/>
        </w:rPr>
      </w:pPr>
    </w:p>
    <w:p>
      <w:pPr>
        <w:ind w:left="170" w:right="1120" w:hanging="170"/>
        <w:spacing w:after="0" w:line="284" w:lineRule="auto"/>
        <w:tabs>
          <w:tab w:leader="none" w:pos="17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329055" cy="1117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3" w:lineRule="exact"/>
        <w:rPr>
          <w:sz w:val="20"/>
          <w:szCs w:val="20"/>
          <w:color w:val="auto"/>
        </w:rPr>
      </w:pPr>
    </w:p>
    <w:p>
      <w:pPr>
        <w:ind w:left="10" w:right="10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10, 2017 to facilitate timely delivery.</w:t>
      </w:r>
    </w:p>
    <w:p>
      <w:pPr>
        <w:spacing w:after="0" w:line="153" w:lineRule="exact"/>
        <w:rPr>
          <w:sz w:val="20"/>
          <w:szCs w:val="20"/>
          <w:color w:val="auto"/>
        </w:rPr>
      </w:pPr>
    </w:p>
    <w:p>
      <w:pPr>
        <w:jc w:val="center"/>
        <w:ind w:right="490"/>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49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142875</wp:posOffset>
            </wp:positionV>
            <wp:extent cx="6980555" cy="140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0555" cy="1406525"/>
                    </a:xfrm>
                    <a:prstGeom prst="rect">
                      <a:avLst/>
                    </a:prstGeom>
                    <a:noFill/>
                  </pic:spPr>
                </pic:pic>
              </a:graphicData>
            </a:graphic>
          </wp:anchor>
        </w:drawing>
      </w:r>
    </w:p>
    <w:p>
      <w:pPr>
        <w:spacing w:after="0" w:line="322" w:lineRule="exact"/>
        <w:rPr>
          <w:sz w:val="20"/>
          <w:szCs w:val="20"/>
          <w:color w:val="auto"/>
        </w:rPr>
      </w:pPr>
    </w:p>
    <w:p>
      <w:pPr>
        <w:ind w:left="10" w:right="500"/>
        <w:spacing w:after="0" w:line="28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329055" cy="1117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905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76" w:lineRule="exact"/>
        <w:rPr>
          <w:sz w:val="20"/>
          <w:szCs w:val="20"/>
          <w:color w:val="auto"/>
        </w:rPr>
      </w:pPr>
    </w:p>
    <w:p>
      <w:pPr>
        <w:ind w:left="10" w:right="360"/>
        <w:spacing w:after="0" w:line="282"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by telephone by first requesting a paper copy of the materials, which will include a proxy card. Have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hand when calling and then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-271145</wp:posOffset>
            </wp:positionV>
            <wp:extent cx="60325"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6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144" w:lineRule="exact"/>
        <w:rPr>
          <w:sz w:val="20"/>
          <w:szCs w:val="20"/>
          <w:color w:val="auto"/>
        </w:rPr>
      </w:pPr>
    </w:p>
    <w:p>
      <w:pPr>
        <w:ind w:left="10"/>
        <w:spacing w:after="0" w:line="28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To obtain directions to the meeting, please contact Investor Relations at (800) 425-FISV or investor.relations@fiserv.com.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you will need to request a ballot to vote these shares.</w:t>
      </w:r>
    </w:p>
    <w:p>
      <w:pPr>
        <w:sectPr>
          <w:pgSz w:w="11900" w:h="16838" w:orient="portrait"/>
          <w:cols w:equalWidth="0" w:num="1">
            <w:col w:w="10510"/>
          </w:cols>
          <w:pgMar w:left="950" w:top="270" w:right="439" w:bottom="1440" w:gutter="0" w:footer="0" w:header="0"/>
        </w:sectPr>
      </w:pPr>
    </w:p>
    <w:bookmarkStart w:id="4" w:name="page5"/>
    <w:bookmarkEnd w:id="4"/>
    <w:p>
      <w:pPr>
        <w:ind w:left="108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183515</wp:posOffset>
            </wp:positionV>
            <wp:extent cx="19297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9765" cy="171450"/>
                    </a:xfrm>
                    <a:prstGeom prst="rect">
                      <a:avLst/>
                    </a:prstGeom>
                    <a:noFill/>
                  </pic:spPr>
                </pic:pic>
              </a:graphicData>
            </a:graphic>
          </wp:anchor>
        </w:drawing>
        <w:t>Voting Items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all the nominees listed:</w:t>
      </w:r>
    </w:p>
    <w:p>
      <w:pPr>
        <w:spacing w:after="0" w:line="121" w:lineRule="exact"/>
        <w:rPr>
          <w:sz w:val="20"/>
          <w:szCs w:val="20"/>
          <w:color w:val="auto"/>
        </w:rPr>
      </w:pPr>
    </w:p>
    <w:p>
      <w:pPr>
        <w:ind w:left="502" w:hanging="502"/>
        <w:spacing w:after="0"/>
        <w:tabs>
          <w:tab w:leader="none" w:pos="502"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86" w:lineRule="exact"/>
        <w:rPr>
          <w:rFonts w:ascii="Arial" w:cs="Arial" w:eastAsia="Arial" w:hAnsi="Arial"/>
          <w:sz w:val="18"/>
          <w:szCs w:val="18"/>
          <w:color w:val="auto"/>
        </w:rPr>
      </w:pPr>
    </w:p>
    <w:p>
      <w:pPr>
        <w:ind w:left="622"/>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08" w:lineRule="exact"/>
        <w:rPr>
          <w:sz w:val="20"/>
          <w:szCs w:val="20"/>
          <w:color w:val="auto"/>
        </w:rPr>
      </w:pPr>
    </w:p>
    <w:tbl>
      <w:tblPr>
        <w:tblLayout w:type="fixed"/>
        <w:tblInd w:w="622" w:type="dxa"/>
        <w:tblCellMar>
          <w:top w:w="0" w:type="dxa"/>
          <w:left w:w="0" w:type="dxa"/>
          <w:bottom w:w="0" w:type="dxa"/>
          <w:right w:w="0" w:type="dxa"/>
        </w:tblCellMar>
      </w:tblPr>
      <w:tr>
        <w:trPr>
          <w:trHeight w:val="230"/>
        </w:trPr>
        <w:tc>
          <w:tcPr>
            <w:tcW w:w="320" w:type="dxa"/>
            <w:vAlign w:val="bottom"/>
          </w:tcPr>
          <w:p>
            <w:pPr>
              <w:jc w:val="right"/>
              <w:spacing w:after="0"/>
              <w:rPr>
                <w:sz w:val="20"/>
                <w:szCs w:val="20"/>
                <w:color w:val="auto"/>
              </w:rPr>
            </w:pPr>
            <w:r>
              <w:rPr>
                <w:rFonts w:ascii="Arial" w:cs="Arial" w:eastAsia="Arial" w:hAnsi="Arial"/>
                <w:sz w:val="18"/>
                <w:szCs w:val="18"/>
                <w:color w:val="auto"/>
                <w:w w:val="84"/>
              </w:rPr>
              <w:t>01)</w:t>
            </w:r>
          </w:p>
        </w:tc>
        <w:tc>
          <w:tcPr>
            <w:tcW w:w="2500" w:type="dxa"/>
            <w:vAlign w:val="bottom"/>
          </w:tcPr>
          <w:p>
            <w:pPr>
              <w:ind w:left="80"/>
              <w:spacing w:after="0"/>
              <w:rPr>
                <w:sz w:val="20"/>
                <w:szCs w:val="20"/>
                <w:color w:val="auto"/>
              </w:rPr>
            </w:pPr>
            <w:r>
              <w:rPr>
                <w:rFonts w:ascii="Arial" w:cs="Arial" w:eastAsia="Arial" w:hAnsi="Arial"/>
                <w:sz w:val="18"/>
                <w:szCs w:val="18"/>
                <w:color w:val="auto"/>
              </w:rPr>
              <w:t>Alison Davis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380" w:type="dxa"/>
            <w:vAlign w:val="bottom"/>
          </w:tcPr>
          <w:p>
            <w:pPr>
              <w:ind w:left="80"/>
              <w:spacing w:after="0"/>
              <w:rPr>
                <w:sz w:val="20"/>
                <w:szCs w:val="20"/>
                <w:color w:val="auto"/>
              </w:rPr>
            </w:pPr>
            <w:r>
              <w:rPr>
                <w:rFonts w:ascii="Arial" w:cs="Arial" w:eastAsia="Arial" w:hAnsi="Arial"/>
                <w:sz w:val="18"/>
                <w:szCs w:val="18"/>
                <w:color w:val="auto"/>
              </w:rPr>
              <w:t>Kim M. Robak</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02)</w:t>
            </w:r>
          </w:p>
        </w:tc>
        <w:tc>
          <w:tcPr>
            <w:tcW w:w="2500" w:type="dxa"/>
            <w:vAlign w:val="bottom"/>
          </w:tcPr>
          <w:p>
            <w:pPr>
              <w:ind w:left="100"/>
              <w:spacing w:after="0"/>
              <w:rPr>
                <w:sz w:val="20"/>
                <w:szCs w:val="20"/>
                <w:color w:val="auto"/>
              </w:rPr>
            </w:pPr>
            <w:r>
              <w:rPr>
                <w:rFonts w:ascii="Arial" w:cs="Arial" w:eastAsia="Arial" w:hAnsi="Arial"/>
                <w:sz w:val="18"/>
                <w:szCs w:val="18"/>
                <w:color w:val="auto"/>
              </w:rPr>
              <w:t>John Y. Kim</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380" w:type="dxa"/>
            <w:vAlign w:val="bottom"/>
          </w:tcPr>
          <w:p>
            <w:pPr>
              <w:ind w:left="80"/>
              <w:spacing w:after="0"/>
              <w:rPr>
                <w:sz w:val="20"/>
                <w:szCs w:val="20"/>
                <w:color w:val="auto"/>
              </w:rPr>
            </w:pPr>
            <w:r>
              <w:rPr>
                <w:rFonts w:ascii="Arial" w:cs="Arial" w:eastAsia="Arial" w:hAnsi="Arial"/>
                <w:sz w:val="18"/>
                <w:szCs w:val="18"/>
                <w:color w:val="auto"/>
              </w:rPr>
              <w:t>JD Sherman</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03)</w:t>
            </w:r>
          </w:p>
        </w:tc>
        <w:tc>
          <w:tcPr>
            <w:tcW w:w="2500" w:type="dxa"/>
            <w:vAlign w:val="bottom"/>
          </w:tcPr>
          <w:p>
            <w:pPr>
              <w:ind w:left="100"/>
              <w:spacing w:after="0"/>
              <w:rPr>
                <w:sz w:val="20"/>
                <w:szCs w:val="20"/>
                <w:color w:val="auto"/>
              </w:rPr>
            </w:pPr>
            <w:r>
              <w:rPr>
                <w:rFonts w:ascii="Arial" w:cs="Arial" w:eastAsia="Arial" w:hAnsi="Arial"/>
                <w:sz w:val="18"/>
                <w:szCs w:val="18"/>
                <w:color w:val="auto"/>
              </w:rPr>
              <w:t>Dennis F. Lynch</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380" w:type="dxa"/>
            <w:vAlign w:val="bottom"/>
          </w:tcPr>
          <w:p>
            <w:pPr>
              <w:ind w:left="80"/>
              <w:spacing w:after="0"/>
              <w:rPr>
                <w:sz w:val="20"/>
                <w:szCs w:val="20"/>
                <w:color w:val="auto"/>
              </w:rPr>
            </w:pPr>
            <w:r>
              <w:rPr>
                <w:rFonts w:ascii="Arial" w:cs="Arial" w:eastAsia="Arial" w:hAnsi="Arial"/>
                <w:sz w:val="18"/>
                <w:szCs w:val="18"/>
                <w:color w:val="auto"/>
                <w:w w:val="95"/>
              </w:rPr>
              <w:t>Doyle R. Simons</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04)</w:t>
            </w:r>
          </w:p>
        </w:tc>
        <w:tc>
          <w:tcPr>
            <w:tcW w:w="2500" w:type="dxa"/>
            <w:vAlign w:val="bottom"/>
          </w:tcPr>
          <w:p>
            <w:pPr>
              <w:ind w:left="100"/>
              <w:spacing w:after="0"/>
              <w:rPr>
                <w:sz w:val="20"/>
                <w:szCs w:val="20"/>
                <w:color w:val="auto"/>
              </w:rPr>
            </w:pPr>
            <w:r>
              <w:rPr>
                <w:rFonts w:ascii="Arial" w:cs="Arial" w:eastAsia="Arial" w:hAnsi="Arial"/>
                <w:sz w:val="18"/>
                <w:szCs w:val="18"/>
                <w:color w:val="auto"/>
              </w:rPr>
              <w:t>Denis J. O’Leary</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380" w:type="dxa"/>
            <w:vAlign w:val="bottom"/>
          </w:tcPr>
          <w:p>
            <w:pPr>
              <w:ind w:left="80"/>
              <w:spacing w:after="0"/>
              <w:rPr>
                <w:sz w:val="20"/>
                <w:szCs w:val="20"/>
                <w:color w:val="auto"/>
              </w:rPr>
            </w:pPr>
            <w:r>
              <w:rPr>
                <w:rFonts w:ascii="Arial" w:cs="Arial" w:eastAsia="Arial" w:hAnsi="Arial"/>
                <w:sz w:val="18"/>
                <w:szCs w:val="18"/>
                <w:color w:val="auto"/>
                <w:w w:val="90"/>
              </w:rPr>
              <w:t>Jeffery W. Yabuki</w:t>
            </w:r>
          </w:p>
        </w:tc>
      </w:tr>
      <w:tr>
        <w:trPr>
          <w:trHeight w:val="230"/>
        </w:trPr>
        <w:tc>
          <w:tcPr>
            <w:tcW w:w="320" w:type="dxa"/>
            <w:vAlign w:val="bottom"/>
          </w:tcPr>
          <w:p>
            <w:pPr>
              <w:jc w:val="right"/>
              <w:spacing w:after="0"/>
              <w:rPr>
                <w:sz w:val="20"/>
                <w:szCs w:val="20"/>
                <w:color w:val="auto"/>
              </w:rPr>
            </w:pPr>
            <w:r>
              <w:rPr>
                <w:rFonts w:ascii="Arial" w:cs="Arial" w:eastAsia="Arial" w:hAnsi="Arial"/>
                <w:sz w:val="18"/>
                <w:szCs w:val="18"/>
                <w:color w:val="auto"/>
                <w:w w:val="84"/>
              </w:rPr>
              <w:t>05)</w:t>
            </w:r>
          </w:p>
        </w:tc>
        <w:tc>
          <w:tcPr>
            <w:tcW w:w="2500" w:type="dxa"/>
            <w:vAlign w:val="bottom"/>
          </w:tcPr>
          <w:p>
            <w:pPr>
              <w:ind w:left="100"/>
              <w:spacing w:after="0"/>
              <w:rPr>
                <w:sz w:val="20"/>
                <w:szCs w:val="20"/>
                <w:color w:val="auto"/>
              </w:rPr>
            </w:pPr>
            <w:r>
              <w:rPr>
                <w:rFonts w:ascii="Arial" w:cs="Arial" w:eastAsia="Arial" w:hAnsi="Arial"/>
                <w:sz w:val="18"/>
                <w:szCs w:val="18"/>
                <w:color w:val="auto"/>
              </w:rPr>
              <w:t>Glenn M. Renwick</w:t>
            </w: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1" w:lineRule="exact"/>
        <w:rPr>
          <w:sz w:val="20"/>
          <w:szCs w:val="20"/>
          <w:color w:val="auto"/>
        </w:rPr>
      </w:pPr>
    </w:p>
    <w:p>
      <w:pPr>
        <w:ind w:left="502" w:hanging="502"/>
        <w:spacing w:after="0"/>
        <w:tabs>
          <w:tab w:leader="none" w:pos="5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named executive officers of Fiserv, Inc.</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1 YEAR on the following proposal:</w:t>
      </w:r>
    </w:p>
    <w:p>
      <w:pPr>
        <w:spacing w:after="0" w:line="121" w:lineRule="exact"/>
        <w:rPr>
          <w:sz w:val="20"/>
          <w:szCs w:val="20"/>
          <w:color w:val="auto"/>
        </w:rPr>
      </w:pPr>
    </w:p>
    <w:p>
      <w:pPr>
        <w:ind w:left="502" w:hanging="502"/>
        <w:spacing w:after="0"/>
        <w:tabs>
          <w:tab w:leader="none" w:pos="5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vote on the frequency of advisory votes on the compensation of named executive officers.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21" w:lineRule="exact"/>
        <w:rPr>
          <w:sz w:val="20"/>
          <w:szCs w:val="20"/>
          <w:color w:val="auto"/>
        </w:rPr>
      </w:pPr>
    </w:p>
    <w:p>
      <w:pPr>
        <w:ind w:left="502" w:hanging="502"/>
        <w:spacing w:after="0"/>
        <w:tabs>
          <w:tab w:leader="none" w:pos="5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of Fiserv, Inc. for 2017.</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AGAINST the following proposal:</w:t>
      </w:r>
    </w:p>
    <w:p>
      <w:pPr>
        <w:spacing w:after="0" w:line="121" w:lineRule="exact"/>
        <w:rPr>
          <w:sz w:val="20"/>
          <w:szCs w:val="20"/>
          <w:color w:val="auto"/>
        </w:rPr>
      </w:pPr>
    </w:p>
    <w:p>
      <w:pPr>
        <w:ind w:left="502" w:hanging="502"/>
        <w:spacing w:after="0"/>
        <w:tabs>
          <w:tab w:leader="none" w:pos="5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shareholder proposal seeking an amendment to Fiserv, Inc.’s proxy access by-law.</w:t>
      </w:r>
    </w:p>
    <w:p>
      <w:pPr>
        <w:spacing w:after="0" w:line="221"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other matters properly come before the meeting or any adjournment or postponement thereof, it is intended that shares represented by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voted in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243205</wp:posOffset>
            </wp:positionV>
            <wp:extent cx="60325"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ectPr>
          <w:pgSz w:w="11900" w:h="16838" w:orient="portrait"/>
          <w:cols w:equalWidth="0" w:num="1">
            <w:col w:w="10962"/>
          </w:cols>
          <w:pgMar w:left="478" w:top="297" w:right="4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1830070</wp:posOffset>
            </wp:positionV>
            <wp:extent cx="701865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86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1872615</wp:posOffset>
            </wp:positionV>
            <wp:extent cx="7018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86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2944495</wp:posOffset>
            </wp:positionV>
            <wp:extent cx="60325"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e-mail communication regarding electronic delivery</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You received this e-mail because our records show that (1) you are an employee of FISERV, INC. who has regular access to the company’s e-mail in the ordinary course of performing your duties and are expected to log-on to e-mail routinely to receive communications or (2) you have expressly consented to receive FISERV, INC. communications and vote by proxy via the Internet. You may have given this consent during a prior vote at ProxyVote.com.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 Regarding Availability of Proxy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2017 FISERV, INC.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 DATE: May 24,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 March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337738108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e-mail relates to all shares in the following account(s):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FISERV, INC. - COMMON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 401K</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can enter your voting instructions and view the shareholder material at the Internet site below. If your browser supports secure transactions, you will automatically be directed to a secure 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https://www.proxyvote.com/00123456789012345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need your CONTROL NUMBER and your PIN:</w:t>
      </w:r>
    </w:p>
    <w:p>
      <w:pPr>
        <w:spacing w:after="0" w:line="13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NUMBER: 0123456789012345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an employee of FISERV, INC., your PIN is the last four digits of your Social Security number.</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who consented to receive proxy materials electronically, your PIN is the four-digit number you selected at the time of your enrollment.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have forgotten your PIN please follow the “Forgot PIN” instructions on proxyvote.com.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Internet voting is accepted up to 11:59 p.m. (ET) the day before the meeting/cut off date.</w:t>
      </w:r>
    </w:p>
    <w:p>
      <w:pPr>
        <w:sectPr>
          <w:pgSz w:w="11900" w:h="16838" w:orient="portrait"/>
          <w:cols w:equalWidth="0" w:num="1">
            <w:col w:w="11260"/>
          </w:cols>
          <w:pgMar w:left="240" w:top="274"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materials can also be found at the following Internet site(s):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https://materials.proxyvote.com/Approved/337738/20170327/NPS_317018.PDF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10-K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https://materials.proxyvote.com/Approved/337738/20170327/10K_317020.PDF</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If you would like to cancel your enrollment, or change your e-mail address or PIN, please go to </w:t>
      </w:r>
      <w:r>
        <w:rPr>
          <w:rFonts w:ascii="Arial" w:cs="Arial" w:eastAsia="Arial" w:hAnsi="Arial"/>
          <w:sz w:val="18"/>
          <w:szCs w:val="18"/>
          <w:u w:val="single" w:color="auto"/>
          <w:color w:val="auto"/>
        </w:rPr>
        <w:t>https://www.InvestorDelivery.com</w:t>
      </w:r>
      <w:r>
        <w:rPr>
          <w:rFonts w:ascii="Arial" w:cs="Arial" w:eastAsia="Arial" w:hAnsi="Arial"/>
          <w:sz w:val="18"/>
          <w:szCs w:val="18"/>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8"/>
          <w:szCs w:val="18"/>
          <w:u w:val="single" w:color="auto"/>
          <w:color w:val="auto"/>
        </w:rPr>
        <w:t>https://www.InvestorDelivery.com</w:t>
      </w:r>
      <w:r>
        <w:rPr>
          <w:rFonts w:ascii="Arial" w:cs="Arial" w:eastAsia="Arial" w:hAnsi="Arial"/>
          <w:sz w:val="18"/>
          <w:szCs w:val="18"/>
          <w:color w:val="auto"/>
        </w:rPr>
        <w:t>.</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1980" w:type="dxa"/>
            <w:vAlign w:val="bottom"/>
          </w:tcPr>
          <w:p>
            <w:pPr>
              <w:ind w:left="740"/>
              <w:spacing w:after="0"/>
              <w:rPr>
                <w:sz w:val="20"/>
                <w:szCs w:val="20"/>
                <w:color w:val="auto"/>
              </w:rPr>
            </w:pPr>
            <w:r>
              <w:rPr>
                <w:rFonts w:ascii="Arial" w:cs="Arial" w:eastAsia="Arial" w:hAnsi="Arial"/>
                <w:sz w:val="18"/>
                <w:szCs w:val="18"/>
                <w:color w:val="auto"/>
                <w:w w:val="90"/>
              </w:rPr>
              <w:t>M012345678901</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charges for this service. There may be costs associated with electronic access, such as usage charges from Internet access providers and telephone companies, which must be borne by the shareholder.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sectPr>
      <w:pgSz w:w="11900" w:h="16838" w:orient="portrait"/>
      <w:cols w:equalWidth="0" w:num="1">
        <w:col w:w="11060"/>
      </w:cols>
      <w:pgMar w:left="2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2019-12-05T14:31:22Z</dcterms:created>
  <dcterms:modified xsi:type="dcterms:W3CDTF">2019-12-05T14:31:22Z</dcterms:modified>
</cp:coreProperties>
</file>