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06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1-38962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39-1506125</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067"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067" w:gutter="0" w:footer="0" w:header="0"/>
          <w:type w:val="continuous"/>
        </w:sectPr>
      </w:pPr>
    </w:p>
    <w:p>
      <w:pPr>
        <w:spacing w:after="0" w:line="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600 N. Vel R. Phillips Avenue, Milwaukee, WI 53203</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(262) 879-5000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067"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FISV</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FISV27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FISV30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FISV31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4.500% Senior Notes due 2031</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FISV31A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2.875%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FISV28C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3.500%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FISV32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4.000% Senior Notes due 2036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FISV36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067"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16, 2026, Fiserv, Inc. (the “Company”) entered into an Underwriting Agreement (the “Underwriting Agreement”) with Citigroup Global Markets Limited, J.P. Morgan Securities plc, TD Global Finance unlimited company and Wells Fargo Securities International Limited, as representatives of the several underwriters listed therein (the “Underwriters”), pursuant to which the Company agreed to sell, and the Underwriters agreed to purchase, subject to the terms and conditions set forth therein, €500,000,000 aggregate principal amount of the Company’s 3.750% Senior Notes due 2030 (the “2030 Notes”) and €500,000,000 aggregate principal amount of the Company’s 4.250% Senior Notes due 2034 (the “2034 Notes” and, together with the 2030 Notes, the “Notes”), in a public offering (the “Offering”). The Offering is expected to close on June 23, 2026, subject to customary closing conditions.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of the Company, conditions to closing, indemnification rights and obligations of the parties and termination provisions. The description of the Underwriting Agreement set forth above is qualified by reference to the Underwriting Agreement filed as Exhibit 1.1 to this Current Report on Form 8-K and incorporated herein by reference.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Notes are registered under the Securities Act of 1933, as amended, pursuant to a Registration Statement on Form S-3 (Registration No. 333-277241) that the Company filed with the Securities and Exchange Commission on February 22, 2024, as amended by the Post-Effective Amendment No. 1 to the Registration Statement that the Company filed with the Securities and Exchange Commission on April 24, 2025. The Company is also filing the Underwriting Agreement as part of this Current Report on Form 8-K for purposes of such Registration Statement.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0" w:type="dxa"/>
            <w:vAlign w:val="bottom"/>
          </w:tcPr>
          <w:p>
            <w:pPr>
              <w:spacing w:after="0"/>
              <w:rPr>
                <w:sz w:val="20"/>
                <w:szCs w:val="20"/>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297"/>
        </w:trPr>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w:t>
            </w:r>
          </w:p>
        </w:tc>
        <w:tc>
          <w:tcPr>
            <w:tcW w:w="7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Exhibits. The following exhibit is being filed herewith:</w:t>
            </w:r>
          </w:p>
        </w:tc>
        <w:tc>
          <w:tcPr>
            <w:tcW w:w="0" w:type="dxa"/>
            <w:vAlign w:val="bottom"/>
          </w:tcPr>
          <w:p>
            <w:pPr>
              <w:spacing w:after="0"/>
              <w:rPr>
                <w:sz w:val="1"/>
                <w:szCs w:val="1"/>
                <w:color w:val="auto"/>
              </w:rPr>
            </w:pPr>
          </w:p>
        </w:tc>
      </w:tr>
      <w:tr>
        <w:trPr>
          <w:trHeight w:val="453"/>
        </w:trPr>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Exhibit Index to Current Report on Form 8-K</w:t>
            </w:r>
          </w:p>
        </w:tc>
        <w:tc>
          <w:tcPr>
            <w:tcW w:w="0" w:type="dxa"/>
            <w:vAlign w:val="bottom"/>
          </w:tcPr>
          <w:p>
            <w:pPr>
              <w:spacing w:after="0"/>
              <w:rPr>
                <w:sz w:val="1"/>
                <w:szCs w:val="1"/>
                <w:color w:val="auto"/>
              </w:rPr>
            </w:pPr>
          </w:p>
        </w:tc>
      </w:tr>
      <w:tr>
        <w:trPr>
          <w:trHeight w:val="36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40" w:type="dxa"/>
            <w:vAlign w:val="bottom"/>
          </w:tcPr>
          <w:p>
            <w:pPr>
              <w:spacing w:after="0"/>
              <w:rPr>
                <w:sz w:val="24"/>
                <w:szCs w:val="24"/>
                <w:color w:val="auto"/>
              </w:rPr>
            </w:pPr>
          </w:p>
        </w:tc>
        <w:tc>
          <w:tcPr>
            <w:tcW w:w="7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w:t>
            </w:r>
          </w:p>
        </w:tc>
        <w:tc>
          <w:tcPr>
            <w:tcW w:w="40" w:type="dxa"/>
            <w:vAlign w:val="bottom"/>
          </w:tcPr>
          <w:p>
            <w:pPr>
              <w:spacing w:after="0"/>
              <w:rPr>
                <w:sz w:val="14"/>
                <w:szCs w:val="14"/>
                <w:color w:val="auto"/>
              </w:rPr>
            </w:pPr>
          </w:p>
        </w:tc>
        <w:tc>
          <w:tcPr>
            <w:tcW w:w="7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Underwriting Agreement, dated June 16, 2026, among the Company and the underwriters named therein.</w:t>
            </w: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FISERV,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M.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Paul M. Todd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€500,000,000 3.750% SENIOR NOTES DUE 2030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€500,000,000 4.250% SENIOR NOTES DUE 2034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June 16,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Centre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Canary Wharf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E14 5LB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Bank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Canary Wharf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E14 5JP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Global Finance unlimited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5th Floor, One Molesworth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2, D02 RF29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International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King William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EC4R 9AT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As Representatives of the several Underwriters named in Schedule A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And, solely for purposes of Section 20 hereof, each Underwriter.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0" w:firstLine="436"/>
        <w:spacing w:after="0" w:line="259"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Introductory. </w:t>
      </w:r>
      <w:r>
        <w:rPr>
          <w:rFonts w:ascii="Times New Roman" w:cs="Times New Roman" w:eastAsia="Times New Roman" w:hAnsi="Times New Roman"/>
          <w:sz w:val="18"/>
          <w:szCs w:val="18"/>
          <w:color w:val="auto"/>
        </w:rPr>
        <w:t>Fiserv, Inc., a Wisconsin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agrees with Citigroup Global Markets Limited, J.P Morgan Securities plc,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TD Global Finance unlimited company and Wells Fargo Securities International Limited (together,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and each of the several Underwriters named in Schedule A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to issue and sell to the several Underwriters, on the terms and conditions set forth herein, €500,000,000 principal amount of its 3.750% Senior Notes due 2030 (the “</w:t>
      </w:r>
      <w:r>
        <w:rPr>
          <w:rFonts w:ascii="Times New Roman" w:cs="Times New Roman" w:eastAsia="Times New Roman" w:hAnsi="Times New Roman"/>
          <w:sz w:val="18"/>
          <w:szCs w:val="18"/>
          <w:b w:val="1"/>
          <w:bCs w:val="1"/>
          <w:color w:val="auto"/>
        </w:rPr>
        <w:t>2030 Notes</w:t>
      </w:r>
      <w:r>
        <w:rPr>
          <w:rFonts w:ascii="Times New Roman" w:cs="Times New Roman" w:eastAsia="Times New Roman" w:hAnsi="Times New Roman"/>
          <w:sz w:val="18"/>
          <w:szCs w:val="18"/>
          <w:color w:val="auto"/>
        </w:rPr>
        <w:t>”) and €500,000,000 principal amount of its 4.250% Senior Notes due 2034 (the “</w:t>
      </w:r>
      <w:r>
        <w:rPr>
          <w:rFonts w:ascii="Times New Roman" w:cs="Times New Roman" w:eastAsia="Times New Roman" w:hAnsi="Times New Roman"/>
          <w:sz w:val="18"/>
          <w:szCs w:val="18"/>
          <w:b w:val="1"/>
          <w:bCs w:val="1"/>
          <w:color w:val="auto"/>
        </w:rPr>
        <w:t>2034 Notes”</w:t>
      </w:r>
      <w:r>
        <w:rPr>
          <w:rFonts w:ascii="Times New Roman" w:cs="Times New Roman" w:eastAsia="Times New Roman" w:hAnsi="Times New Roman"/>
          <w:sz w:val="18"/>
          <w:szCs w:val="18"/>
          <w:color w:val="auto"/>
        </w:rPr>
        <w:t xml:space="preserve"> and, together with the 2030 Notes, the </w:t>
      </w:r>
      <w:r>
        <w:rPr>
          <w:rFonts w:ascii="Times New Roman" w:cs="Times New Roman" w:eastAsia="Times New Roman" w:hAnsi="Times New Roman"/>
          <w:sz w:val="18"/>
          <w:szCs w:val="18"/>
          <w:b w:val="1"/>
          <w:bCs w:val="1"/>
          <w:color w:val="auto"/>
        </w:rPr>
        <w:t>“Offered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w:t>
      </w:r>
      <w:r>
        <w:rPr>
          <w:rFonts w:ascii="Times New Roman" w:cs="Times New Roman" w:eastAsia="Times New Roman" w:hAnsi="Times New Roman"/>
          <w:sz w:val="18"/>
          <w:szCs w:val="18"/>
          <w:color w:val="auto"/>
        </w:rPr>
        <w:t>) to be issued under the indenture, dated as of November 20, 2007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 supplemented by one or more supplemental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indentures, to be dated as of June 23, 2026 (the “</w:t>
      </w:r>
      <w:r>
        <w:rPr>
          <w:rFonts w:ascii="Times New Roman" w:cs="Times New Roman" w:eastAsia="Times New Roman" w:hAnsi="Times New Roman"/>
          <w:sz w:val="18"/>
          <w:szCs w:val="18"/>
          <w:b w:val="1"/>
          <w:bCs w:val="1"/>
          <w:color w:val="auto"/>
        </w:rPr>
        <w:t>Supplemental Indentures</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in each case between the Company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20" w:firstLine="436"/>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of the Company. The Company represents, warrants to and agrees with each of the Underwriters that, as of the date hereof:</w:t>
      </w:r>
    </w:p>
    <w:p>
      <w:pPr>
        <w:spacing w:after="0" w:line="51" w:lineRule="exact"/>
        <w:rPr>
          <w:rFonts w:ascii="Times New Roman" w:cs="Times New Roman" w:eastAsia="Times New Roman" w:hAnsi="Times New Roman"/>
          <w:sz w:val="18"/>
          <w:szCs w:val="18"/>
          <w:color w:val="auto"/>
        </w:rPr>
      </w:pPr>
    </w:p>
    <w:p>
      <w:pPr>
        <w:ind w:left="440" w:right="60" w:firstLine="419"/>
        <w:spacing w:after="0" w:line="255" w:lineRule="auto"/>
        <w:tabs>
          <w:tab w:leader="none" w:pos="11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and Effectiveness of Registration Statement; Certain Defined Terms</w:t>
      </w:r>
      <w:r>
        <w:rPr>
          <w:rFonts w:ascii="Times New Roman" w:cs="Times New Roman" w:eastAsia="Times New Roman" w:hAnsi="Times New Roman"/>
          <w:sz w:val="18"/>
          <w:szCs w:val="18"/>
          <w:color w:val="auto"/>
        </w:rPr>
        <w:t>. The Company has filed with the Commission a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on Form S-3 (No. 333-277241), including a related prospectus or prospectuses, covering the registration of the Offered Securities under the Act, which registration statement became effective upon filing with the Commission.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at any particular time means such registration statement in the form then filed with the Commission, including any amendment thereto, any document incorporated by reference therein and all 430B Information and all 430C Information with respect to such registration statement as of such time that, in any case, has not been superseded or modified.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without reference to a particular time means the Registration Statement as of the Effective Time. For purposes of this definition, 430B Information shall be considered to be included in the Registration Statement as of the time specified in Rule 430B.</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2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430B Information</w:t>
      </w:r>
      <w:r>
        <w:rPr>
          <w:rFonts w:ascii="Times New Roman" w:cs="Times New Roman" w:eastAsia="Times New Roman" w:hAnsi="Times New Roman"/>
          <w:sz w:val="18"/>
          <w:szCs w:val="18"/>
          <w:color w:val="auto"/>
        </w:rPr>
        <w:t>” means information included in a prospectus or prospectus supplement then deemed to be a part of the Registration Statement pursuant to Rule 430B(e) or retroactively deemed to be a part of the Registration Statement pursuant to Rule 430B(f).</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430C Information</w:t>
      </w:r>
      <w:r>
        <w:rPr>
          <w:rFonts w:ascii="Times New Roman" w:cs="Times New Roman" w:eastAsia="Times New Roman" w:hAnsi="Times New Roman"/>
          <w:sz w:val="18"/>
          <w:szCs w:val="18"/>
          <w:color w:val="auto"/>
        </w:rPr>
        <w:t>” means information included in a prospectus or prospectus supplement then deemed to be a part of the Registration Statement pursuant to Rule 430C.</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4:20 P.M. (London time) on the date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defined in Section 3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Time</w:t>
      </w:r>
      <w:r>
        <w:rPr>
          <w:rFonts w:ascii="Times New Roman" w:cs="Times New Roman" w:eastAsia="Times New Roman" w:hAnsi="Times New Roman"/>
          <w:sz w:val="18"/>
          <w:szCs w:val="18"/>
          <w:color w:val="auto"/>
        </w:rPr>
        <w:t>” has the meaning defined in Section 3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of the Registration Statement relating to the Offered Securities means the time of the first contract of sale for the Offered Securities.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means the Statutory Prospectus that discloses the public offering price, other 430B Information and other final terms of the Offered Securities and otherwise satisfies Section 10(a) of the Act.</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Use Issuer Free Writing Prospectus</w:t>
      </w:r>
      <w:r>
        <w:rPr>
          <w:rFonts w:ascii="Times New Roman" w:cs="Times New Roman" w:eastAsia="Times New Roman" w:hAnsi="Times New Roman"/>
          <w:sz w:val="18"/>
          <w:szCs w:val="18"/>
          <w:color w:val="auto"/>
        </w:rPr>
        <w:t>” means any Issuer Free Writing Prospectus that is intended for general distribution to prospective investors, as evidenced by its being so specified in Schedule B to this Agreement.</w:t>
      </w:r>
    </w:p>
    <w:p>
      <w:pPr>
        <w:spacing w:after="0" w:line="155"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Offered Securities in the form filed or required to be filed with the Commission or, if not required to be filed, in the form retained in the Company’s records pursuant to Rule 433(g).</w:t>
      </w:r>
    </w:p>
    <w:p>
      <w:pPr>
        <w:spacing w:after="0" w:line="171"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Use Issuer Free Writing Prospectus</w:t>
      </w:r>
      <w:r>
        <w:rPr>
          <w:rFonts w:ascii="Times New Roman" w:cs="Times New Roman" w:eastAsia="Times New Roman" w:hAnsi="Times New Roman"/>
          <w:sz w:val="18"/>
          <w:szCs w:val="18"/>
          <w:color w:val="auto"/>
        </w:rPr>
        <w:t>” means any Issuer Free Writing Prospectus that is not a General Use Issuer Free Writing Prospectus.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means the rules and regulations of the Commission under the Act.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Laws</w:t>
      </w:r>
      <w:r>
        <w:rPr>
          <w:rFonts w:ascii="Times New Roman" w:cs="Times New Roman" w:eastAsia="Times New Roman" w:hAnsi="Times New Roman"/>
          <w:sz w:val="18"/>
          <w:szCs w:val="18"/>
          <w:color w:val="auto"/>
        </w:rPr>
        <w:t>” means, collectively, the Sarbanes-Oxley Act of 2002 (“</w:t>
      </w:r>
      <w:r>
        <w:rPr>
          <w:rFonts w:ascii="Times New Roman" w:cs="Times New Roman" w:eastAsia="Times New Roman" w:hAnsi="Times New Roman"/>
          <w:sz w:val="18"/>
          <w:szCs w:val="18"/>
          <w:b w:val="1"/>
          <w:bCs w:val="1"/>
          <w:color w:val="auto"/>
        </w:rPr>
        <w:t>Sarbanes-Oxley</w:t>
      </w:r>
      <w:r>
        <w:rPr>
          <w:rFonts w:ascii="Times New Roman" w:cs="Times New Roman" w:eastAsia="Times New Roman" w:hAnsi="Times New Roman"/>
          <w:sz w:val="18"/>
          <w:szCs w:val="18"/>
          <w:color w:val="auto"/>
        </w:rPr>
        <w:t>”), the Act, the Exchange Act, the Trust Indenture Act, the Rules and Regulations, the auditing principles, rules, standards and practices applicable to auditors of “issuers” (as defined in Sarbanes-Oxley) promulgated or approved by the Public Company Accounting Oversight Board and, as applicable, the rules of the NASDAQ Stock Market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Statutory Prospectus</w:t>
      </w:r>
      <w:r>
        <w:rPr>
          <w:rFonts w:ascii="Times New Roman" w:cs="Times New Roman" w:eastAsia="Times New Roman" w:hAnsi="Times New Roman"/>
          <w:sz w:val="18"/>
          <w:szCs w:val="18"/>
          <w:color w:val="auto"/>
        </w:rPr>
        <w:t>” with reference to any particular time means the prospectus relating to the Offered Securities that is included in the Registration Statement immediately prior to that time, including all 430B Information and all 430C Information with respect to the Registration Statement at such time. For purposes of the foregoing definition, 430B Information shall be considered to be included in the Statutory Prospectus only as of the actual time that form of prospectus (including a prospectus supplement) is filed with the Commission pursuant to Rule 424(b) and not retroactively.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specified, a reference to a “Rule” is to the indicated rule under the Act.</w:t>
      </w:r>
    </w:p>
    <w:p>
      <w:pPr>
        <w:spacing w:after="0" w:line="115" w:lineRule="exact"/>
        <w:rPr>
          <w:sz w:val="20"/>
          <w:szCs w:val="20"/>
          <w:color w:val="auto"/>
        </w:rPr>
      </w:pPr>
    </w:p>
    <w:p>
      <w:pPr>
        <w:ind w:left="1120" w:hanging="261"/>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Act Requirements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6" w:name="page7"/>
    <w:bookmarkEnd w:id="6"/>
    <w:p>
      <w:pPr>
        <w:ind w:left="121" w:right="20" w:firstLine="408"/>
        <w:spacing w:after="0" w:line="256" w:lineRule="auto"/>
        <w:tabs>
          <w:tab w:leader="none" w:pos="7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each of (A) the time the Registration Statement initially became or was deemed to have become effective, (B) the time of each amendment thereto for the purposes of complying with Section 10(a)(3) of the Act (whether by post-effective amendment, incorporated report filed pursuant to Section 13 or 15(d) of the Exchange Act or form of prospectus), (C) the Effective Time and (D) the Closing Time, the Registration Statement conformed or will conform in all material respects to the requirements of the Act, the Trust Indenture Act and the Rules and Regulations, and the Registration Statement did not, as of the Effective Time, include any untrue statement of a material fact or omit to state any material fact required to be stated therein or necessary to make the statements therein not misleading.</w:t>
      </w:r>
    </w:p>
    <w:p>
      <w:pPr>
        <w:spacing w:after="0" w:line="79" w:lineRule="exact"/>
        <w:rPr>
          <w:rFonts w:ascii="Times New Roman" w:cs="Times New Roman" w:eastAsia="Times New Roman" w:hAnsi="Times New Roman"/>
          <w:sz w:val="18"/>
          <w:szCs w:val="18"/>
          <w:color w:val="auto"/>
        </w:rPr>
      </w:pPr>
    </w:p>
    <w:p>
      <w:pPr>
        <w:ind w:left="121" w:right="40" w:firstLine="408"/>
        <w:spacing w:after="0" w:line="261" w:lineRule="auto"/>
        <w:tabs>
          <w:tab w:leader="none" w:pos="78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of (A) its date, (B) the time of filing the Final Prospectus pursuant to Rule 424(b) and (C) the Closing Time, the Final Prospectus will conform in all material respects to the requirements of the Act, the Trust Indenture Act and the Rules and Regulations, and will not include any untrue statement of a material fact or omit to state any material fact necessary in order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left="121" w:right="40" w:firstLine="408"/>
        <w:spacing w:after="0" w:line="266" w:lineRule="auto"/>
        <w:tabs>
          <w:tab w:leader="none" w:pos="8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preceding clauses (i) and (ii) do not apply to statements in or omissions from any such document based upon written information furnished to the Company by or on behalf of any Underwriter through the Representatives specifically for use therein, it being understood and agreed that the only such information is that described as such in Section 8(b) hereof.</w:t>
      </w:r>
    </w:p>
    <w:p>
      <w:pPr>
        <w:spacing w:after="0" w:line="65" w:lineRule="exact"/>
        <w:rPr>
          <w:rFonts w:ascii="Times New Roman" w:cs="Times New Roman" w:eastAsia="Times New Roman" w:hAnsi="Times New Roman"/>
          <w:sz w:val="18"/>
          <w:szCs w:val="18"/>
          <w:color w:val="auto"/>
        </w:rPr>
      </w:pPr>
    </w:p>
    <w:p>
      <w:pPr>
        <w:ind w:left="241" w:hanging="241"/>
        <w:spacing w:after="0"/>
        <w:tabs>
          <w:tab w:leader="none" w:pos="2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Shelf Registration Statement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firstLine="408"/>
        <w:spacing w:after="0" w:line="257" w:lineRule="auto"/>
        <w:tabs>
          <w:tab w:leader="none" w:pos="7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Well-Known Seasoned Issuer Status</w:t>
      </w:r>
      <w:r>
        <w:rPr>
          <w:rFonts w:ascii="Times New Roman" w:cs="Times New Roman" w:eastAsia="Times New Roman" w:hAnsi="Times New Roman"/>
          <w:sz w:val="18"/>
          <w:szCs w:val="18"/>
          <w:color w:val="auto"/>
        </w:rPr>
        <w:t>. At each of (A) the time of initial filing of the Registration Statement, (B) the time of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 amendment thereto for the purposes of complying with Section 10(a)(3) of the Act (whether such amendment was by post-effective amendment, incorporated report filed pursuant to Section 13 or 15(d) of the Exchange Act or form of prospectus), (C) the time the Company or any person acting on its behalf (within the meaning, for this clause only, of Rule 163(c)) made any offer relating to the Offered Securities in reliance on the exemption of Rule 163, and (D) the Applicable Time, the Company was a “well known seasoned issuer,” as defined in Rule 405, including not being an “ineligible issuer,” as defined in Rule 405 at such time.</w:t>
      </w:r>
    </w:p>
    <w:p>
      <w:pPr>
        <w:spacing w:after="0" w:line="74" w:lineRule="exact"/>
        <w:rPr>
          <w:rFonts w:ascii="Times New Roman" w:cs="Times New Roman" w:eastAsia="Times New Roman" w:hAnsi="Times New Roman"/>
          <w:sz w:val="18"/>
          <w:szCs w:val="18"/>
          <w:color w:val="auto"/>
        </w:rPr>
      </w:pPr>
    </w:p>
    <w:p>
      <w:pPr>
        <w:ind w:left="121" w:right="820" w:firstLine="408"/>
        <w:spacing w:after="0" w:line="284" w:lineRule="auto"/>
        <w:tabs>
          <w:tab w:leader="none" w:pos="78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Automatic Shelf Registration Statement</w:t>
      </w:r>
      <w:r>
        <w:rPr>
          <w:rFonts w:ascii="Times New Roman" w:cs="Times New Roman" w:eastAsia="Times New Roman" w:hAnsi="Times New Roman"/>
          <w:sz w:val="18"/>
          <w:szCs w:val="18"/>
          <w:color w:val="auto"/>
        </w:rPr>
        <w:t>. The Registration Statement is an “automatic shelf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as defined in Rule 405.</w:t>
      </w:r>
    </w:p>
    <w:p>
      <w:pPr>
        <w:spacing w:after="0" w:line="50" w:lineRule="exact"/>
        <w:rPr>
          <w:rFonts w:ascii="Times New Roman" w:cs="Times New Roman" w:eastAsia="Times New Roman" w:hAnsi="Times New Roman"/>
          <w:sz w:val="18"/>
          <w:szCs w:val="18"/>
          <w:color w:val="auto"/>
        </w:rPr>
      </w:pPr>
    </w:p>
    <w:p>
      <w:pPr>
        <w:ind w:left="121" w:right="100" w:firstLine="408"/>
        <w:spacing w:after="0" w:line="284" w:lineRule="auto"/>
        <w:tabs>
          <w:tab w:leader="none" w:pos="8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 to Use Automatic Shelf Registration Form</w:t>
      </w:r>
      <w:r>
        <w:rPr>
          <w:rFonts w:ascii="Times New Roman" w:cs="Times New Roman" w:eastAsia="Times New Roman" w:hAnsi="Times New Roman"/>
          <w:sz w:val="18"/>
          <w:szCs w:val="18"/>
          <w:color w:val="auto"/>
        </w:rPr>
        <w:t>. The Company has not received from the Commission any notice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Rule 401(g)(2) objecting to use of the automatic shelf registration statement form.</w:t>
      </w:r>
    </w:p>
    <w:p>
      <w:pPr>
        <w:spacing w:after="0" w:line="93" w:lineRule="exact"/>
        <w:rPr>
          <w:sz w:val="20"/>
          <w:szCs w:val="20"/>
          <w:color w:val="auto"/>
        </w:rPr>
      </w:pPr>
    </w:p>
    <w:p>
      <w:pPr>
        <w:ind w:left="454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41"/>
          </w:cols>
          <w:pgMar w:left="1299" w:top="270" w:right="459" w:bottom="1440" w:gutter="0" w:footer="0" w:header="0"/>
        </w:sectPr>
      </w:pPr>
    </w:p>
    <w:bookmarkStart w:id="7" w:name="page8"/>
    <w:bookmarkEnd w:id="7"/>
    <w:p>
      <w:pPr>
        <w:ind w:left="544" w:firstLine="408"/>
        <w:spacing w:after="0" w:line="284" w:lineRule="auto"/>
        <w:tabs>
          <w:tab w:leader="none" w:pos="124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Filing Fees</w:t>
      </w:r>
      <w:r>
        <w:rPr>
          <w:rFonts w:ascii="Times New Roman" w:cs="Times New Roman" w:eastAsia="Times New Roman" w:hAnsi="Times New Roman"/>
          <w:sz w:val="18"/>
          <w:szCs w:val="18"/>
          <w:color w:val="auto"/>
        </w:rPr>
        <w:t>. The Company has paid or shall pay the required Commission filing fees relating to the Offered Securities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required by Rule 456(b)(1) without regard to the proviso therein and otherwise in accordance with Rules 456(b) and 457(r).</w:t>
      </w:r>
    </w:p>
    <w:p>
      <w:pPr>
        <w:spacing w:after="0" w:line="50" w:lineRule="exact"/>
        <w:rPr>
          <w:rFonts w:ascii="Times New Roman" w:cs="Times New Roman" w:eastAsia="Times New Roman" w:hAnsi="Times New Roman"/>
          <w:sz w:val="18"/>
          <w:szCs w:val="18"/>
          <w:color w:val="auto"/>
        </w:rPr>
      </w:pPr>
    </w:p>
    <w:p>
      <w:pPr>
        <w:jc w:val="both"/>
        <w:ind w:left="4" w:right="560" w:firstLine="419"/>
        <w:spacing w:after="0" w:line="267" w:lineRule="auto"/>
        <w:tabs>
          <w:tab w:leader="none" w:pos="6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Ineligible Issuer Status</w:t>
      </w:r>
      <w:r>
        <w:rPr>
          <w:rFonts w:ascii="Times New Roman" w:cs="Times New Roman" w:eastAsia="Times New Roman" w:hAnsi="Times New Roman"/>
          <w:sz w:val="18"/>
          <w:szCs w:val="18"/>
          <w:color w:val="auto"/>
        </w:rPr>
        <w:t>. At (i) the earliest time after the filing of the Registration Statement that the Company or another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made a bona fide offer (within the meaning of Rule 164(h)(2)) of the Offered Securities and (ii) the date of this Agreement, the Company was not and is not an “ineligible issuer,” as defined in Rule 405.</w:t>
      </w:r>
    </w:p>
    <w:p>
      <w:pPr>
        <w:spacing w:after="0" w:line="65"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6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Disclosure Package</w:t>
      </w:r>
      <w:r>
        <w:rPr>
          <w:rFonts w:ascii="Times New Roman" w:cs="Times New Roman" w:eastAsia="Times New Roman" w:hAnsi="Times New Roman"/>
          <w:sz w:val="18"/>
          <w:szCs w:val="18"/>
          <w:color w:val="auto"/>
        </w:rPr>
        <w:t>. At the Applicable Time, neither (i) the General Use Issuer Free Writing Prospectus(es) issued at or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Time, the preliminary prospectus supplement, dated June 16, 2026, the base prospectus, dated April 24, 2025 (which, collectively, is the most recent Statutory Prospectus distributed to investors generally), and the other information, if any, stated in Schedule B to this Agreement to be included in the General Disclosure Package, all considered together (collectively, the “</w:t>
      </w:r>
      <w:r>
        <w:rPr>
          <w:rFonts w:ascii="Times New Roman" w:cs="Times New Roman" w:eastAsia="Times New Roman" w:hAnsi="Times New Roman"/>
          <w:sz w:val="18"/>
          <w:szCs w:val="18"/>
          <w:b w:val="1"/>
          <w:bCs w:val="1"/>
          <w:color w:val="auto"/>
        </w:rPr>
        <w:t>General Disclosure Package</w:t>
      </w:r>
      <w:r>
        <w:rPr>
          <w:rFonts w:ascii="Times New Roman" w:cs="Times New Roman" w:eastAsia="Times New Roman" w:hAnsi="Times New Roman"/>
          <w:sz w:val="18"/>
          <w:szCs w:val="18"/>
          <w:color w:val="auto"/>
        </w:rPr>
        <w:t>”), nor</w:t>
      </w:r>
    </w:p>
    <w:p>
      <w:pPr>
        <w:spacing w:after="0" w:line="1" w:lineRule="exact"/>
        <w:rPr>
          <w:rFonts w:ascii="Times New Roman" w:cs="Times New Roman" w:eastAsia="Times New Roman" w:hAnsi="Times New Roman"/>
          <w:sz w:val="18"/>
          <w:szCs w:val="18"/>
          <w:color w:val="auto"/>
        </w:rPr>
      </w:pPr>
    </w:p>
    <w:p>
      <w:pPr>
        <w:ind w:left="4" w:right="160" w:hanging="4"/>
        <w:spacing w:after="0" w:line="252" w:lineRule="auto"/>
        <w:tabs>
          <w:tab w:leader="none" w:pos="2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or any Issuer Free Writing Prospectus based upon written information furnished to the Company by or on behalf of any Underwriter through the Representatives specifically for use therein, it being understood and agreed that the only such information furnished by any Underwriter consists of the information described as such in Section 8(b) hereof.</w:t>
      </w:r>
    </w:p>
    <w:p>
      <w:pPr>
        <w:spacing w:after="0" w:line="79" w:lineRule="exact"/>
        <w:rPr>
          <w:rFonts w:ascii="Times New Roman" w:cs="Times New Roman" w:eastAsia="Times New Roman" w:hAnsi="Times New Roman"/>
          <w:sz w:val="18"/>
          <w:szCs w:val="18"/>
          <w:color w:val="auto"/>
        </w:rPr>
      </w:pPr>
    </w:p>
    <w:p>
      <w:pPr>
        <w:ind w:left="4" w:right="40" w:firstLine="419"/>
        <w:spacing w:after="0" w:line="256" w:lineRule="auto"/>
        <w:tabs>
          <w:tab w:leader="none" w:pos="65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Each Issuer Free Writing Prospectus, as of its issue date and at all subsequent times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public offer and sale of the Offered Securities or until any earlier date that the Company notified or notifies the Representatives as described in Section 5(n) hereof, did not, does not and will not include any information that conflicted, conflicts or will conflict with the information then contained in the Registration Statement. This paragraph (f) does not apply to statements in or omissions from any Issuer Free Writing Prospectus based upon written information furnished to the Company by or on behalf of any Underwriter through the Representatives specifically for use therein, it being understood and agreed that the only such information furnished by any Underwriter consists of the information described as such in Section 8(b) hereof.</w:t>
      </w:r>
    </w:p>
    <w:p>
      <w:pPr>
        <w:spacing w:after="0" w:line="74"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Organization of the Company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4"/>
          </w:cols>
          <w:pgMar w:left="876" w:top="268" w:right="499" w:bottom="1440" w:gutter="0" w:footer="0" w:header="0"/>
        </w:sectPr>
      </w:pPr>
    </w:p>
    <w:bookmarkStart w:id="8" w:name="page9"/>
    <w:bookmarkEnd w:id="8"/>
    <w:p>
      <w:pPr>
        <w:ind w:left="121" w:right="140" w:firstLine="408"/>
        <w:spacing w:after="0" w:line="254" w:lineRule="auto"/>
        <w:tabs>
          <w:tab w:leader="none" w:pos="7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been duly organized and is validly existing as a corporation under the laws of the State of Wisconsin, with all requisite corporate power and authority under such laws to own, lease and operate its properties, to conduct its business as now being conducted as described in the Registration Statement, the General Disclosure Package and the Final Prospectus and to enter into and perform its obligations under this Agreement, the Indenture and the Offered Securities, except where the failure to have such power and authority would not, individually or in the aggregate, reasonably be expected to have a material adverse effect on the financial condition, results of operations, business or properties of the Company and its subsidiaries, taken as a whole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or a material adverse effect on the ability of the Company to consummate the transactions contemplated by this Agreement, the Indenture and the Offered Securities.</w:t>
      </w:r>
    </w:p>
    <w:p>
      <w:pPr>
        <w:spacing w:after="0" w:line="83" w:lineRule="exact"/>
        <w:rPr>
          <w:rFonts w:ascii="Times New Roman" w:cs="Times New Roman" w:eastAsia="Times New Roman" w:hAnsi="Times New Roman"/>
          <w:sz w:val="18"/>
          <w:szCs w:val="18"/>
          <w:color w:val="auto"/>
        </w:rPr>
      </w:pPr>
    </w:p>
    <w:p>
      <w:pPr>
        <w:ind w:left="121" w:right="160" w:firstLine="408"/>
        <w:spacing w:after="0" w:line="261" w:lineRule="auto"/>
        <w:tabs>
          <w:tab w:leader="none" w:pos="78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qualified or registered as a foreign corporation and is in good standing (or the equivalent thereof), where applicable, in each jurisdiction in which such qualification or registration is required, whether by reason of the ownership or leasing of properties or the conduct of business, except where the failure to so qualify or register, or be in good standing (or the equivalent thereof), would not, individually or in the aggregate, reasonably be expected to have a Material Adverse Effect.</w:t>
      </w:r>
    </w:p>
    <w:p>
      <w:pPr>
        <w:spacing w:after="0" w:line="69"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Subsidiaries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741" w:hanging="212"/>
        <w:spacing w:after="0"/>
        <w:tabs>
          <w:tab w:leader="none" w:pos="7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“significant subsidiary” of the Company (as such term is defined in Rule 1-02 of Regulation S-X under the Act) (each, a</w:t>
      </w:r>
    </w:p>
    <w:p>
      <w:pPr>
        <w:spacing w:after="0" w:line="27" w:lineRule="exact"/>
        <w:rPr>
          <w:sz w:val="20"/>
          <w:szCs w:val="20"/>
          <w:color w:val="auto"/>
        </w:rPr>
      </w:pPr>
    </w:p>
    <w:p>
      <w:pPr>
        <w:ind w:left="12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has been duly organized and validly existing as a corporation, limited partnership, limited liability company or other entity, as the case may be, in good standing (or the equivalent thereof), where applicable, under the laws of its jurisdiction of organization, with all requisite power and authority to own, lease and operate its properties, and to conduct its business as now being conducted as described in the Registration Statement, the General Disclosure Package and the Final Prospectus, except where the failure to have such power and authority, or be in good standing (or the equivalent thereof), would not, individually or in the aggregate, reasonably be expected to have a Material Adverse Effect.</w:t>
      </w:r>
    </w:p>
    <w:p>
      <w:pPr>
        <w:spacing w:after="0" w:line="82" w:lineRule="exact"/>
        <w:rPr>
          <w:sz w:val="20"/>
          <w:szCs w:val="20"/>
          <w:color w:val="auto"/>
        </w:rPr>
      </w:pPr>
    </w:p>
    <w:p>
      <w:pPr>
        <w:ind w:left="121" w:right="120" w:firstLine="408"/>
        <w:spacing w:after="0" w:line="258" w:lineRule="auto"/>
        <w:tabs>
          <w:tab w:leader="none" w:pos="7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Significant Subsidiary is duly qualified or registered as a foreign corporation, limited partnership or limited liability company or other entity, as the case may be, to transact business and is in good standing (or the equivalent thereof), where applicable, in each jurisdiction in which such qualification or registration is required, whether by reason of the ownership or leasing of properties or the conduct of business, except where the failure to so qualify or register, or be in good standing (or the equivalent thereof), would not reasonably be expected to have a Material Adverse Effect.</w:t>
      </w:r>
    </w:p>
    <w:p>
      <w:pPr>
        <w:spacing w:after="0" w:line="116" w:lineRule="exact"/>
        <w:rPr>
          <w:sz w:val="20"/>
          <w:szCs w:val="20"/>
          <w:color w:val="auto"/>
        </w:rPr>
      </w:pPr>
    </w:p>
    <w:p>
      <w:pPr>
        <w:ind w:left="454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41"/>
          </w:cols>
          <w:pgMar w:left="1299" w:top="270" w:right="459" w:bottom="1440" w:gutter="0" w:footer="0" w:header="0"/>
        </w:sectPr>
      </w:pPr>
    </w:p>
    <w:bookmarkStart w:id="9" w:name="page10"/>
    <w:bookmarkEnd w:id="9"/>
    <w:p>
      <w:pPr>
        <w:ind w:left="640" w:hanging="22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by the Company and has been duly qualified under the Trust Indenture Act.</w:t>
      </w:r>
    </w:p>
    <w:p>
      <w:pPr>
        <w:spacing w:after="0" w:line="11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Time, the Indenture will have been duly executed and delivered by the Company.</w:t>
      </w:r>
    </w:p>
    <w:p>
      <w:pPr>
        <w:spacing w:after="0" w:line="117" w:lineRule="exact"/>
        <w:rPr>
          <w:rFonts w:ascii="Times New Roman" w:cs="Times New Roman" w:eastAsia="Times New Roman" w:hAnsi="Times New Roman"/>
          <w:sz w:val="18"/>
          <w:szCs w:val="18"/>
          <w:color w:val="auto"/>
        </w:rPr>
      </w:pPr>
    </w:p>
    <w:p>
      <w:pPr>
        <w:ind w:left="540" w:firstLine="408"/>
        <w:spacing w:after="0" w:line="261" w:lineRule="auto"/>
        <w:tabs>
          <w:tab w:leader="none" w:pos="125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due authorization, execution and delivery of the Indenture by the Trustee, at the Closing Time, the Indenture will constitute a valid and legally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24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conforms in all material respects to the description thereof in the Registration Statement, the General Disclosure Package and the Final Prospectus.</w:t>
      </w:r>
    </w:p>
    <w:p>
      <w:pPr>
        <w:spacing w:after="0" w:line="52" w:lineRule="exact"/>
        <w:rPr>
          <w:sz w:val="20"/>
          <w:szCs w:val="20"/>
          <w:color w:val="auto"/>
        </w:rPr>
      </w:pPr>
    </w:p>
    <w:p>
      <w:pPr>
        <w:ind w:left="640" w:hanging="2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Offered Securities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Offered Securities have each been duly authorized by the Company.</w:t>
      </w:r>
    </w:p>
    <w:p>
      <w:pPr>
        <w:spacing w:after="0" w:line="117" w:lineRule="exact"/>
        <w:rPr>
          <w:rFonts w:ascii="Times New Roman" w:cs="Times New Roman" w:eastAsia="Times New Roman" w:hAnsi="Times New Roman"/>
          <w:sz w:val="18"/>
          <w:szCs w:val="18"/>
          <w:color w:val="auto"/>
        </w:rPr>
      </w:pPr>
    </w:p>
    <w:p>
      <w:pPr>
        <w:ind w:left="540" w:right="300" w:firstLine="408"/>
        <w:spacing w:after="0" w:line="261" w:lineRule="auto"/>
        <w:tabs>
          <w:tab w:leader="none" w:pos="120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Offered Securities, when executed by the Company, authenticated by the Trustee in accordance with the terms of the Indenture and delivered by the Company to the Underwriters against payment of the requisite consideration therefor specified in this Agreement, will constitute valid and legally binding obligations of the Company, enforceable against the Company in accordance with their respective terms, subject to the Enforceability Exceptions.</w:t>
      </w:r>
    </w:p>
    <w:p>
      <w:pPr>
        <w:spacing w:after="0" w:line="71" w:lineRule="exact"/>
        <w:rPr>
          <w:rFonts w:ascii="Times New Roman" w:cs="Times New Roman" w:eastAsia="Times New Roman" w:hAnsi="Times New Roman"/>
          <w:sz w:val="18"/>
          <w:szCs w:val="18"/>
          <w:color w:val="auto"/>
        </w:rPr>
      </w:pPr>
    </w:p>
    <w:p>
      <w:pPr>
        <w:ind w:left="540" w:right="280" w:firstLine="408"/>
        <w:spacing w:after="0" w:line="282" w:lineRule="auto"/>
        <w:tabs>
          <w:tab w:leader="none" w:pos="12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Time, the Offered Securities will conform in all material respects to the description thereof in the Registration Statement, the General Disclosure Package, the Final Prospectus and the Indenture.</w:t>
      </w:r>
    </w:p>
    <w:p>
      <w:pPr>
        <w:spacing w:after="0" w:line="51" w:lineRule="exact"/>
        <w:rPr>
          <w:rFonts w:ascii="Times New Roman" w:cs="Times New Roman" w:eastAsia="Times New Roman" w:hAnsi="Times New Roman"/>
          <w:sz w:val="18"/>
          <w:szCs w:val="18"/>
          <w:color w:val="auto"/>
        </w:rPr>
      </w:pPr>
    </w:p>
    <w:p>
      <w:pPr>
        <w:ind w:right="160" w:firstLine="419"/>
        <w:spacing w:after="0" w:line="284" w:lineRule="auto"/>
        <w:tabs>
          <w:tab w:leader="none" w:pos="6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Stock Duly Authorized and Validly Issued</w:t>
      </w:r>
      <w:r>
        <w:rPr>
          <w:rFonts w:ascii="Times New Roman" w:cs="Times New Roman" w:eastAsia="Times New Roman" w:hAnsi="Times New Roman"/>
          <w:sz w:val="18"/>
          <w:szCs w:val="18"/>
          <w:color w:val="auto"/>
        </w:rPr>
        <w:t>. Except as otherwise described in the Registration Statement, the General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and the Final Prospectus:</w:t>
      </w:r>
    </w:p>
    <w:p>
      <w:pPr>
        <w:spacing w:after="0" w:line="52" w:lineRule="exact"/>
        <w:rPr>
          <w:rFonts w:ascii="Times New Roman" w:cs="Times New Roman" w:eastAsia="Times New Roman" w:hAnsi="Times New Roman"/>
          <w:sz w:val="18"/>
          <w:szCs w:val="18"/>
          <w:color w:val="auto"/>
        </w:rPr>
      </w:pPr>
    </w:p>
    <w:p>
      <w:pPr>
        <w:ind w:left="540" w:right="200" w:firstLine="408"/>
        <w:spacing w:after="0" w:line="282" w:lineRule="auto"/>
        <w:tabs>
          <w:tab w:leader="none" w:pos="11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capital stock of the Company has been duly authorized and validly issued and is fully paid and nonassessable;</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880" w:top="268" w:right="479" w:bottom="1440" w:gutter="0" w:footer="0" w:header="0"/>
        </w:sectPr>
      </w:pPr>
    </w:p>
    <w:bookmarkStart w:id="10" w:name="page11"/>
    <w:bookmarkEnd w:id="10"/>
    <w:p>
      <w:pPr>
        <w:ind w:left="540" w:right="60" w:firstLine="408"/>
        <w:spacing w:after="0" w:line="261" w:lineRule="auto"/>
        <w:tabs>
          <w:tab w:leader="none" w:pos="120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of the issued and outstanding capital stock or other equity interests of each Significant Subsidiary has been duly authorized and validly issued, is fully paid and nonassessable and, except as disclosed in the Registration Statement, the General Disclosure Package and the Final Prospectus, is owned by the Company, directly or through subsidiaries, free and clear of any security interest, mortgage, pledge, lien or encumbrance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540" w:right="40" w:firstLine="408"/>
        <w:spacing w:after="0" w:line="261" w:lineRule="auto"/>
        <w:tabs>
          <w:tab w:leader="none" w:pos="12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issued and outstanding capital stock or other equity interests of the Company or any of the Significant Subsidiaries was issued in violation of any preemptive or similar rights arising by operation of law, under the charter, bylaws or other organizational documents of the Company or any of the Significant Subsidiaries or under any agreement to which the Company or any of the Significant Subsidiaries is a party.</w:t>
      </w:r>
    </w:p>
    <w:p>
      <w:pPr>
        <w:spacing w:after="0" w:line="69" w:lineRule="exact"/>
        <w:rPr>
          <w:rFonts w:ascii="Times New Roman" w:cs="Times New Roman" w:eastAsia="Times New Roman" w:hAnsi="Times New Roman"/>
          <w:sz w:val="18"/>
          <w:szCs w:val="18"/>
          <w:color w:val="auto"/>
        </w:rPr>
      </w:pPr>
    </w:p>
    <w:p>
      <w:pPr>
        <w:ind w:right="20" w:firstLine="419"/>
        <w:spacing w:after="0" w:line="256" w:lineRule="auto"/>
        <w:tabs>
          <w:tab w:leader="none" w:pos="6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government, governmental authority, agency or instrumentality or court (collectively “</w:t>
      </w:r>
      <w:r>
        <w:rPr>
          <w:rFonts w:ascii="Times New Roman" w:cs="Times New Roman" w:eastAsia="Times New Roman" w:hAnsi="Times New Roman"/>
          <w:sz w:val="18"/>
          <w:szCs w:val="18"/>
          <w:b w:val="1"/>
          <w:bCs w:val="1"/>
          <w:color w:val="auto"/>
        </w:rPr>
        <w:t>Governmental Entities</w:t>
      </w:r>
      <w:r>
        <w:rPr>
          <w:rFonts w:ascii="Times New Roman" w:cs="Times New Roman" w:eastAsia="Times New Roman" w:hAnsi="Times New Roman"/>
          <w:sz w:val="18"/>
          <w:szCs w:val="18"/>
          <w:color w:val="auto"/>
        </w:rPr>
        <w:t>”) is necessary or required for the execution, delivery or performance by the Company of its obligations under this Agreement, the Indenture or the Offered Securities, or the consummation by the Company of the transactions contemplated by this Agreement or the Indenture, except as may be required under the securities laws of the various states in which the Offered Securities will be offered and sold or as may be required by the federal and state securities laws, other than those that have been made or obtained or otherwise described in the Registration Statement, the General Disclosure Package and the Final Prospectus.</w:t>
      </w:r>
    </w:p>
    <w:p>
      <w:pPr>
        <w:spacing w:after="0" w:line="74"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Property</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40" w:firstLine="408"/>
        <w:spacing w:after="0" w:line="261" w:lineRule="auto"/>
        <w:tabs>
          <w:tab w:leader="none" w:pos="115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good and marketable title to all of their respective real properties and good title to their respective personal properties, in each case free and clear of all Liens except (A) as disclosed in the Registration Statement, the General Disclosure Package and the Final Prospectus or (B) as would not, individually or in the aggregate, reasonably be expected to have a Material Adverse Effect.</w:t>
      </w:r>
    </w:p>
    <w:p>
      <w:pPr>
        <w:spacing w:after="0" w:line="71" w:lineRule="exact"/>
        <w:rPr>
          <w:rFonts w:ascii="Times New Roman" w:cs="Times New Roman" w:eastAsia="Times New Roman" w:hAnsi="Times New Roman"/>
          <w:sz w:val="18"/>
          <w:szCs w:val="18"/>
          <w:color w:val="auto"/>
        </w:rPr>
      </w:pPr>
    </w:p>
    <w:p>
      <w:pPr>
        <w:jc w:val="both"/>
        <w:ind w:left="540" w:right="180" w:firstLine="408"/>
        <w:spacing w:after="0" w:line="261" w:lineRule="auto"/>
        <w:tabs>
          <w:tab w:leader="none" w:pos="120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leases and subleases material to the business of the Company and its subsidiaries, taken as a whole, and under which the Company or any of its subsidiaries holds properties described in the Registration Statement, the General Disclosure Package and the Final Prospectus, are in full force and effect, except for such failures to be in full force and effect that would not, individually or in the aggregate, reasonably be expected to have a Material Adverse Effect.</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20"/>
          </w:cols>
          <w:pgMar w:left="880" w:top="270" w:right="499" w:bottom="1440" w:gutter="0" w:footer="0" w:header="0"/>
        </w:sectPr>
      </w:pPr>
    </w:p>
    <w:bookmarkStart w:id="11" w:name="page12"/>
    <w:bookmarkEnd w:id="11"/>
    <w:p>
      <w:pPr>
        <w:ind w:left="261" w:hanging="261"/>
        <w:spacing w:after="0"/>
        <w:tabs>
          <w:tab w:leader="none" w:pos="2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Defaults and Conflicts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21" w:right="760" w:firstLine="408"/>
        <w:spacing w:after="0" w:line="282" w:lineRule="auto"/>
        <w:tabs>
          <w:tab w:leader="none" w:pos="73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the Significant Subsidiaries is in violation of its charter, bylaws, or other organizational documents, as the case may be.</w:t>
      </w:r>
    </w:p>
    <w:p>
      <w:pPr>
        <w:spacing w:after="0" w:line="53" w:lineRule="exact"/>
        <w:rPr>
          <w:rFonts w:ascii="Times New Roman" w:cs="Times New Roman" w:eastAsia="Times New Roman" w:hAnsi="Times New Roman"/>
          <w:sz w:val="18"/>
          <w:szCs w:val="18"/>
          <w:color w:val="auto"/>
        </w:rPr>
      </w:pPr>
    </w:p>
    <w:p>
      <w:pPr>
        <w:ind w:left="121" w:right="320" w:firstLine="408"/>
        <w:spacing w:after="0" w:line="258" w:lineRule="auto"/>
        <w:tabs>
          <w:tab w:leader="none" w:pos="78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the Significant Subsidiaries is in default in the performance or observance of any obligation, agreement, covenant or condition contained in any contract, indenture, mortgage, deed of trust, loan or credit agreement, note, lease or other agreement or instrument to which it is a party or by which it is bound or to which its properties or assets is subject (collectively, “</w:t>
      </w:r>
      <w:r>
        <w:rPr>
          <w:rFonts w:ascii="Times New Roman" w:cs="Times New Roman" w:eastAsia="Times New Roman" w:hAnsi="Times New Roman"/>
          <w:sz w:val="18"/>
          <w:szCs w:val="18"/>
          <w:b w:val="1"/>
          <w:bCs w:val="1"/>
          <w:color w:val="auto"/>
        </w:rPr>
        <w:t>Agreements and Instruments</w:t>
      </w:r>
      <w:r>
        <w:rPr>
          <w:rFonts w:ascii="Times New Roman" w:cs="Times New Roman" w:eastAsia="Times New Roman" w:hAnsi="Times New Roman"/>
          <w:sz w:val="18"/>
          <w:szCs w:val="18"/>
          <w:color w:val="auto"/>
        </w:rPr>
        <w:t>”), except for such defaults under Agreements and Instruments that would not, individually or in the aggregate, reasonably be expected to have a Material Adverse Effect.</w:t>
      </w:r>
    </w:p>
    <w:p>
      <w:pPr>
        <w:spacing w:after="0" w:line="75" w:lineRule="exact"/>
        <w:rPr>
          <w:rFonts w:ascii="Times New Roman" w:cs="Times New Roman" w:eastAsia="Times New Roman" w:hAnsi="Times New Roman"/>
          <w:sz w:val="18"/>
          <w:szCs w:val="18"/>
          <w:color w:val="auto"/>
        </w:rPr>
      </w:pPr>
    </w:p>
    <w:p>
      <w:pPr>
        <w:ind w:left="121" w:firstLine="408"/>
        <w:spacing w:after="0" w:line="252" w:lineRule="auto"/>
        <w:tabs>
          <w:tab w:leader="none" w:pos="83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Indenture by the Company, the issuance, execution, sale and delivery of the Offered Securities by the Company, the consummation by the Company of the transactions contemplated by this Agreement and the Indenture, and compliance by the Company with the terms of this Agreement, the Indenture and the Offered Securities, do not and will not, whether with or without the giving of notice or passage of time or both, violate, conflict with or constitute a breach of, or default or Debt Repayment Triggering Event (as defined below) under, or result in the creation or imposition of any Lien upon any properties or assets of the Company or Significant Subsidiaries pursuant to, any Agreements and Instruments, except for such violations, conflicts, breaches, defaults, Debt Repayment Triggering Events or Liens that would not, individually or in the aggregate, reasonably be expected to have a Material Adverse Effect, nor will the same result in any violation of the provisions of the charter, bylaws or other organizational documents of the Company or any Significant Subsidiary or any violation by the Company or its subsidiaries of any applicable laws, statutes, rules, regulations, judgments, orders, writs or decrees of any Governmental Entity, except for violations that would not, individually or in the aggregate, reasonably be expected to have a Material Adverse Effect; it being understood that, as used herein,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87"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60" w:lineRule="exact"/>
        <w:rPr>
          <w:sz w:val="20"/>
          <w:szCs w:val="20"/>
          <w:color w:val="auto"/>
        </w:rPr>
      </w:pPr>
    </w:p>
    <w:p>
      <w:pPr>
        <w:ind w:left="4541"/>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21"/>
          </w:cols>
          <w:pgMar w:left="1299" w:top="268" w:right="479" w:bottom="1440" w:gutter="0" w:footer="0" w:header="0"/>
        </w:sectPr>
      </w:pPr>
    </w:p>
    <w:bookmarkStart w:id="12" w:name="page13"/>
    <w:bookmarkEnd w:id="12"/>
    <w:p>
      <w:pPr>
        <w:ind w:left="261" w:hanging="261"/>
        <w:spacing w:after="0"/>
        <w:tabs>
          <w:tab w:leader="none" w:pos="2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Possession of Licenses and Permits; Compliance with Government Regulations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8"/>
          <w:szCs w:val="18"/>
          <w:color w:val="auto"/>
        </w:rPr>
        <w:t>(i) The Company and its subsidiaries possess such permits, licenses, approvals, consents and other authorizations (collectively,</w:t>
      </w:r>
    </w:p>
    <w:p>
      <w:pPr>
        <w:spacing w:after="0" w:line="27" w:lineRule="exact"/>
        <w:rPr>
          <w:sz w:val="20"/>
          <w:szCs w:val="20"/>
          <w:color w:val="auto"/>
        </w:rPr>
      </w:pPr>
    </w:p>
    <w:p>
      <w:pPr>
        <w:ind w:left="12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Licenses</w:t>
      </w:r>
      <w:r>
        <w:rPr>
          <w:rFonts w:ascii="Times New Roman" w:cs="Times New Roman" w:eastAsia="Times New Roman" w:hAnsi="Times New Roman"/>
          <w:sz w:val="18"/>
          <w:szCs w:val="18"/>
          <w:color w:val="auto"/>
        </w:rPr>
        <w:t>”) issued by the appropriate Governmental Entities necessary to conduct the business now conducted by them,</w:t>
      </w:r>
    </w:p>
    <w:p>
      <w:pPr>
        <w:spacing w:after="0" w:line="9" w:lineRule="exact"/>
        <w:rPr>
          <w:sz w:val="20"/>
          <w:szCs w:val="20"/>
          <w:color w:val="auto"/>
        </w:rPr>
      </w:pPr>
    </w:p>
    <w:p>
      <w:pPr>
        <w:ind w:left="121"/>
        <w:spacing w:after="0"/>
        <w:rPr>
          <w:sz w:val="20"/>
          <w:szCs w:val="20"/>
          <w:color w:val="auto"/>
        </w:rPr>
      </w:pPr>
      <w:r>
        <w:rPr>
          <w:rFonts w:ascii="Times New Roman" w:cs="Times New Roman" w:eastAsia="Times New Roman" w:hAnsi="Times New Roman"/>
          <w:sz w:val="18"/>
          <w:szCs w:val="18"/>
          <w:color w:val="auto"/>
        </w:rPr>
        <w:t>except where the failure to possess any such Governmental License would not reasonably be expected to have a Material Adverse Effect;</w:t>
      </w:r>
    </w:p>
    <w:p>
      <w:pPr>
        <w:spacing w:after="0" w:line="9" w:lineRule="exact"/>
        <w:rPr>
          <w:sz w:val="20"/>
          <w:szCs w:val="20"/>
          <w:color w:val="auto"/>
        </w:rPr>
      </w:pPr>
    </w:p>
    <w:p>
      <w:pPr>
        <w:ind w:left="121"/>
        <w:spacing w:after="0"/>
        <w:rPr>
          <w:sz w:val="20"/>
          <w:szCs w:val="20"/>
          <w:color w:val="auto"/>
        </w:rPr>
      </w:pPr>
      <w:r>
        <w:rPr>
          <w:rFonts w:ascii="Times New Roman" w:cs="Times New Roman" w:eastAsia="Times New Roman" w:hAnsi="Times New Roman"/>
          <w:sz w:val="18"/>
          <w:szCs w:val="18"/>
          <w:color w:val="auto"/>
        </w:rPr>
        <w:t>the Company and its subsidiaries are in compliance with the terms and conditions of all Governmental Licenses, except where the failure</w:t>
      </w:r>
    </w:p>
    <w:p>
      <w:pPr>
        <w:spacing w:after="0" w:line="9" w:lineRule="exact"/>
        <w:rPr>
          <w:sz w:val="20"/>
          <w:szCs w:val="20"/>
          <w:color w:val="auto"/>
        </w:rPr>
      </w:pPr>
    </w:p>
    <w:p>
      <w:pPr>
        <w:ind w:left="121"/>
        <w:spacing w:after="0"/>
        <w:rPr>
          <w:sz w:val="20"/>
          <w:szCs w:val="20"/>
          <w:color w:val="auto"/>
        </w:rPr>
      </w:pPr>
      <w:r>
        <w:rPr>
          <w:rFonts w:ascii="Times New Roman" w:cs="Times New Roman" w:eastAsia="Times New Roman" w:hAnsi="Times New Roman"/>
          <w:sz w:val="18"/>
          <w:szCs w:val="18"/>
          <w:color w:val="auto"/>
        </w:rPr>
        <w:t>so to comply would not, individually or in the aggregate, reasonably be expected to have a Material Adverse Effect.</w:t>
      </w:r>
    </w:p>
    <w:p>
      <w:pPr>
        <w:spacing w:after="0" w:line="99" w:lineRule="exact"/>
        <w:rPr>
          <w:sz w:val="20"/>
          <w:szCs w:val="20"/>
          <w:color w:val="auto"/>
        </w:rPr>
      </w:pPr>
    </w:p>
    <w:p>
      <w:pPr>
        <w:ind w:left="121" w:right="300" w:firstLine="408"/>
        <w:spacing w:after="0" w:line="312" w:lineRule="auto"/>
        <w:tabs>
          <w:tab w:leader="none" w:pos="786"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Governmental Licenses are valid and in full force and effect, except where the invalidity of Governmental Licenses or the failure of Governmental Licenses to be in full force and effect would not reasonably be expected to have a Material Adverse Effect.</w:t>
      </w:r>
    </w:p>
    <w:p>
      <w:pPr>
        <w:spacing w:after="0" w:line="31" w:lineRule="exact"/>
        <w:rPr>
          <w:rFonts w:ascii="Times New Roman" w:cs="Times New Roman" w:eastAsia="Times New Roman" w:hAnsi="Times New Roman"/>
          <w:sz w:val="17"/>
          <w:szCs w:val="17"/>
          <w:color w:val="auto"/>
        </w:rPr>
      </w:pPr>
    </w:p>
    <w:p>
      <w:pPr>
        <w:ind w:left="121" w:right="100" w:firstLine="408"/>
        <w:spacing w:after="0" w:line="266" w:lineRule="auto"/>
        <w:tabs>
          <w:tab w:leader="none" w:pos="83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 compliance with all governmental regulations applicable to their respective operations, except where any failure to be in such compliance would not, individually or in the aggregate, reasonably be expected to have a Material Adverse Effect.</w:t>
      </w:r>
    </w:p>
    <w:p>
      <w:pPr>
        <w:spacing w:after="0" w:line="65"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Possession of Intellectual Property</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21" w:firstLine="408"/>
        <w:spacing w:after="0" w:line="256" w:lineRule="auto"/>
        <w:tabs>
          <w:tab w:leader="none" w:pos="73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possess, or can acquire on reasonable terms, adequate patents, patent rights, licenses, inventions, copyrights, know how (including trade secrets and other unpatented and/or unpatentable proprietary or confidential information, systems or procedures), trademarks, service marks, trade names, domain names, universal resource locators, or other intellectual property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presently employed by it in connection with the business now operated by it or reasonably necessary in order to conduct such business, except where the failure to own, possess or acquire any such Intellectual Property would not reasonably be expected to have a Material Adverse Effect.</w:t>
      </w:r>
    </w:p>
    <w:p>
      <w:pPr>
        <w:spacing w:after="0" w:line="79" w:lineRule="exact"/>
        <w:rPr>
          <w:rFonts w:ascii="Times New Roman" w:cs="Times New Roman" w:eastAsia="Times New Roman" w:hAnsi="Times New Roman"/>
          <w:sz w:val="18"/>
          <w:szCs w:val="18"/>
          <w:color w:val="auto"/>
        </w:rPr>
      </w:pPr>
    </w:p>
    <w:p>
      <w:pPr>
        <w:ind w:left="121" w:right="60" w:firstLine="408"/>
        <w:spacing w:after="0" w:line="256" w:lineRule="auto"/>
        <w:tabs>
          <w:tab w:leader="none" w:pos="78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any notice or is otherwise aware of, or is engaged in any proceedings relating to, any infringement by any of them of, or conflict with, asserted rights of others with respect to any Intellectual Property, or of any facts or circumstances which would render any Intellectual Property owned, possessed or used by the Company or any of its subsidiaries invalid or inadequate to protect the interest of the Company or any of its subsidiaries therein, and which infringement or conflict (if the subject of any unfavorable decision, ruling or finding) or invalidity or inadequacy would, individually or in the aggregate, reasonably be expected to have a Material Adverse Effect.</w:t>
      </w:r>
    </w:p>
    <w:p>
      <w:pPr>
        <w:spacing w:after="0" w:line="120"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41"/>
          </w:cols>
          <w:pgMar w:left="1299" w:top="268" w:right="459" w:bottom="1440" w:gutter="0" w:footer="0" w:header="0"/>
        </w:sectPr>
      </w:pPr>
    </w:p>
    <w:bookmarkStart w:id="13" w:name="page14"/>
    <w:bookmarkEnd w:id="13"/>
    <w:p>
      <w:pPr>
        <w:ind w:firstLine="419"/>
        <w:spacing w:after="0" w:line="255"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Environmental Laws</w:t>
      </w:r>
      <w:r>
        <w:rPr>
          <w:rFonts w:ascii="Times New Roman" w:cs="Times New Roman" w:eastAsia="Times New Roman" w:hAnsi="Times New Roman"/>
          <w:sz w:val="18"/>
          <w:szCs w:val="18"/>
          <w:color w:val="auto"/>
        </w:rPr>
        <w:t>. Except as disclosed in the Registration Statement, the General Disclosure Package and the Final Prospectus, neither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nor any of its subsidiaries (i) is in violation of any statute, rule, regulation, decision or order of any Governmental Entity,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owns or operates any real property contaminated with any substance that is subject to any environmental laws, (iii) is liable for any off-site disposal or contamination pursuant to any environmental laws, or (iv) is subject to any claim relating to any environmental laws, in each case, which violation, contamination, liability or claim would, individually or in the aggregate, reasonably be expected to have a Material Adverse Effect; and the Company is not aware of any pending investigation which might lead to such a claim.</w:t>
      </w:r>
    </w:p>
    <w:p>
      <w:pPr>
        <w:spacing w:after="0" w:line="76" w:lineRule="exact"/>
        <w:rPr>
          <w:rFonts w:ascii="Times New Roman" w:cs="Times New Roman" w:eastAsia="Times New Roman" w:hAnsi="Times New Roman"/>
          <w:sz w:val="18"/>
          <w:szCs w:val="18"/>
          <w:color w:val="auto"/>
        </w:rPr>
      </w:pPr>
    </w:p>
    <w:p>
      <w:pPr>
        <w:ind w:right="440" w:firstLine="419"/>
        <w:spacing w:after="0" w:line="267" w:lineRule="auto"/>
        <w:tabs>
          <w:tab w:leader="none" w:pos="65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Accurate Disclosure</w:t>
      </w:r>
      <w:r>
        <w:rPr>
          <w:rFonts w:ascii="Times New Roman" w:cs="Times New Roman" w:eastAsia="Times New Roman" w:hAnsi="Times New Roman"/>
          <w:sz w:val="18"/>
          <w:szCs w:val="18"/>
          <w:color w:val="auto"/>
        </w:rPr>
        <w:t>. The statements included in or incorporated by reference in the Registration Statement, the General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and the Final Prospectus under the headings “Description of the Notes” and “Government Regulation,” insofar as such statements summarize legal matters or agreements discussed therein, are accurate and fair summaries of such legal matters and agreements.</w:t>
      </w:r>
    </w:p>
    <w:p>
      <w:pPr>
        <w:spacing w:after="0" w:line="65" w:lineRule="exact"/>
        <w:rPr>
          <w:rFonts w:ascii="Times New Roman" w:cs="Times New Roman" w:eastAsia="Times New Roman" w:hAnsi="Times New Roman"/>
          <w:sz w:val="18"/>
          <w:szCs w:val="18"/>
          <w:color w:val="auto"/>
        </w:rPr>
      </w:pPr>
    </w:p>
    <w:p>
      <w:pPr>
        <w:ind w:right="40" w:firstLine="419"/>
        <w:spacing w:after="0" w:line="284" w:lineRule="auto"/>
        <w:tabs>
          <w:tab w:leader="none" w:pos="6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Neither the Company nor any of its subsidiaries has taken, directly or indirectly, any action designed to,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might reasonably be expected to, cause or result in stabilization or manipulation of the price of the Offered Securities.</w:t>
      </w:r>
    </w:p>
    <w:p>
      <w:pPr>
        <w:spacing w:after="0" w:line="50" w:lineRule="exact"/>
        <w:rPr>
          <w:rFonts w:ascii="Times New Roman" w:cs="Times New Roman" w:eastAsia="Times New Roman" w:hAnsi="Times New Roman"/>
          <w:sz w:val="18"/>
          <w:szCs w:val="18"/>
          <w:color w:val="auto"/>
        </w:rPr>
      </w:pPr>
    </w:p>
    <w:p>
      <w:pPr>
        <w:ind w:firstLine="419"/>
        <w:spacing w:after="0" w:line="267" w:lineRule="auto"/>
        <w:tabs>
          <w:tab w:leader="none" w:pos="6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Statistical and Market-Related Data</w:t>
      </w:r>
      <w:r>
        <w:rPr>
          <w:rFonts w:ascii="Times New Roman" w:cs="Times New Roman" w:eastAsia="Times New Roman" w:hAnsi="Times New Roman"/>
          <w:sz w:val="18"/>
          <w:szCs w:val="18"/>
          <w:color w:val="auto"/>
        </w:rPr>
        <w:t>. Any third party statistical and market-related data included or incorporated by reference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General Disclosure Package or the Final Prospectus are based on or derived from sources that the Company believes to be reliable and accurate.</w:t>
      </w:r>
    </w:p>
    <w:p>
      <w:pPr>
        <w:spacing w:after="0" w:line="6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 and Compliance with the Sarbanes-Oxley Act</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40" w:right="180" w:firstLine="408"/>
        <w:spacing w:after="0" w:line="266" w:lineRule="auto"/>
        <w:tabs>
          <w:tab w:leader="none" w:pos="11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Registration Statement, the General Disclosure Package and the Final Prospectus, the Company, its subsidiaries and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are in compliance in all material respects with Sarbanes-Oxley and all applicable Exchange Rules.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68" w:right="459" w:bottom="1440" w:gutter="0" w:footer="0" w:header="0"/>
        </w:sectPr>
      </w:pPr>
    </w:p>
    <w:bookmarkStart w:id="14" w:name="page15"/>
    <w:bookmarkEnd w:id="14"/>
    <w:p>
      <w:pPr>
        <w:ind w:left="540" w:firstLine="408"/>
        <w:spacing w:after="0" w:line="254" w:lineRule="auto"/>
        <w:tabs>
          <w:tab w:leader="none" w:pos="120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Times New Roman" w:cs="Times New Roman" w:eastAsia="Times New Roman" w:hAnsi="Times New Roman"/>
          <w:sz w:val="18"/>
          <w:szCs w:val="18"/>
          <w:b w:val="1"/>
          <w:bCs w:val="1"/>
          <w:color w:val="auto"/>
        </w:rPr>
        <w:t>Internal Controls</w:t>
      </w:r>
      <w:r>
        <w:rPr>
          <w:rFonts w:ascii="Times New Roman" w:cs="Times New Roman" w:eastAsia="Times New Roman" w:hAnsi="Times New Roman"/>
          <w:sz w:val="18"/>
          <w:szCs w:val="18"/>
          <w:color w:val="auto"/>
        </w:rPr>
        <w:t>”) sufficient to provide reasonable assurances that (A) transactions are executed in accordance with management’s general or specific authorizations, (B) transactions are recorded as necessary to permit preparation of financial statements in conformity with U.S. Generally Accepted Accounting Principles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incorporated by reference in the Registration Statement, the General Disclosure Package and the Final Prospectus has been prepared in all material respects in accordance with the Commission’s rules and guidelines applicable thereto.</w:t>
      </w:r>
    </w:p>
    <w:p>
      <w:pPr>
        <w:spacing w:after="0" w:line="76"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Controls are overseen by the audit committee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of the Board in accordance with Exchange</w:t>
      </w:r>
    </w:p>
    <w:p>
      <w:pPr>
        <w:spacing w:after="0" w:line="3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w:t>
      </w:r>
    </w:p>
    <w:p>
      <w:pPr>
        <w:spacing w:after="0" w:line="98" w:lineRule="exact"/>
        <w:rPr>
          <w:rFonts w:ascii="Times New Roman" w:cs="Times New Roman" w:eastAsia="Times New Roman" w:hAnsi="Times New Roman"/>
          <w:sz w:val="18"/>
          <w:szCs w:val="18"/>
          <w:color w:val="auto"/>
        </w:rPr>
      </w:pPr>
    </w:p>
    <w:p>
      <w:pPr>
        <w:ind w:left="540" w:firstLine="408"/>
        <w:spacing w:after="0" w:line="258" w:lineRule="auto"/>
        <w:tabs>
          <w:tab w:leader="none" w:pos="124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publicly disclosed or reported to the Audit Committee or the Board, and the Company does not reasonably expect to publicly disclose or report to the Audit Committee or the Board within the next 90 days, a significant deficiency, material weakness or fraud involving management or other employees who have a significant role in Internal Controls, any material violation of, or material failure to comply with, the Securities Laws, or any matter which, if determined adversely, would reasonably be expected to have a Material Adverse Effect.</w:t>
      </w:r>
    </w:p>
    <w:p>
      <w:pPr>
        <w:spacing w:after="0" w:line="73" w:lineRule="exact"/>
        <w:rPr>
          <w:rFonts w:ascii="Times New Roman" w:cs="Times New Roman" w:eastAsia="Times New Roman" w:hAnsi="Times New Roman"/>
          <w:sz w:val="18"/>
          <w:szCs w:val="18"/>
          <w:color w:val="auto"/>
        </w:rPr>
      </w:pPr>
    </w:p>
    <w:p>
      <w:pPr>
        <w:ind w:right="260" w:firstLine="419"/>
        <w:spacing w:after="0" w:line="275" w:lineRule="auto"/>
        <w:tabs>
          <w:tab w:leader="none" w:pos="71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Litigation</w:t>
      </w:r>
      <w:r>
        <w:rPr>
          <w:rFonts w:ascii="Times New Roman" w:cs="Times New Roman" w:eastAsia="Times New Roman" w:hAnsi="Times New Roman"/>
          <w:sz w:val="17"/>
          <w:szCs w:val="17"/>
          <w:color w:val="auto"/>
        </w:rPr>
        <w:t>. Except as disclosed in the Registration Statement, the General Disclosure Package and the Final Prospectus, there is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action, suit, proceeding, inquiry or investigation before or brought by any Governmental Entity, now pending, or, to the knowledge of the Company, threatened, against or affecting the Company or any of its subsidiaries, which (i) is required to be disclosed under the Act, (ii) would reasonably be expected to be determined adversely to the Company or such subsidiary and, if so adversely determined, would reasonably be expected to have a Material Adverse Effect or (iii) could materially and adversely affect the consummation of the transactions contemplated by this Agreement, the Indenture or the Offered Securities or the performance by the Company of its obligations hereunder or thereunder.</w:t>
      </w:r>
    </w:p>
    <w:p>
      <w:pPr>
        <w:spacing w:after="0" w:line="60" w:lineRule="exact"/>
        <w:rPr>
          <w:rFonts w:ascii="Times New Roman" w:cs="Times New Roman" w:eastAsia="Times New Roman" w:hAnsi="Times New Roman"/>
          <w:sz w:val="17"/>
          <w:szCs w:val="17"/>
          <w:color w:val="auto"/>
        </w:rPr>
      </w:pPr>
    </w:p>
    <w:p>
      <w:pPr>
        <w:ind w:left="680" w:hanging="26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5" w:name="page16"/>
    <w:bookmarkEnd w:id="15"/>
    <w:p>
      <w:pPr>
        <w:ind w:left="540" w:right="60" w:firstLine="408"/>
        <w:spacing w:after="0" w:line="255" w:lineRule="auto"/>
        <w:tabs>
          <w:tab w:leader="none" w:pos="11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financial statements included or incorporated by reference in the Registration Statement, the General Disclosure Package and the Final Prospectus, together with the related schedules and notes, present fairly, in all material respects, the financial position of the Company and its consolidated subsidiaries as of the dates shown and their results of operations and cash flows for the periods shown, and, except as otherwise disclosed in the Registration Statement, the General Disclosure Package and the Final Prospectus, such financial statements have been prepared in conformity with U.S. Generally Accepted Accounting Principles applied on a consistent basis, and the financial statement schedules included in the Registration Statement present fairly, in all material respects, the information contained therein.</w:t>
      </w:r>
    </w:p>
    <w:p>
      <w:pPr>
        <w:spacing w:after="0" w:line="80" w:lineRule="exact"/>
        <w:rPr>
          <w:rFonts w:ascii="Times New Roman" w:cs="Times New Roman" w:eastAsia="Times New Roman" w:hAnsi="Times New Roman"/>
          <w:sz w:val="18"/>
          <w:szCs w:val="18"/>
          <w:color w:val="auto"/>
        </w:rPr>
      </w:pPr>
    </w:p>
    <w:p>
      <w:pPr>
        <w:ind w:left="540" w:right="260" w:firstLine="408"/>
        <w:spacing w:after="0" w:line="266" w:lineRule="auto"/>
        <w:tabs>
          <w:tab w:leader="none" w:pos="120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included or incorporated by reference therein, no historical or pro forma financial statements are required to be included or incorporated by reference in the Registration Statement, the General Disclosure Package and the Final Prospectus under the Act and the Rules and Regulations.</w:t>
      </w:r>
    </w:p>
    <w:p>
      <w:pPr>
        <w:spacing w:after="0" w:line="67" w:lineRule="exact"/>
        <w:rPr>
          <w:rFonts w:ascii="Times New Roman" w:cs="Times New Roman" w:eastAsia="Times New Roman" w:hAnsi="Times New Roman"/>
          <w:sz w:val="18"/>
          <w:szCs w:val="18"/>
          <w:color w:val="auto"/>
        </w:rPr>
      </w:pPr>
    </w:p>
    <w:p>
      <w:pPr>
        <w:ind w:left="540" w:right="20" w:firstLine="408"/>
        <w:spacing w:after="0" w:line="266" w:lineRule="auto"/>
        <w:tabs>
          <w:tab w:leader="none" w:pos="125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incorporated by reference in the Registration Statement, the General Disclosure Package and the Final Prospectus has been prepared in all material respects in accordance with the Commission’s rules and guidelines applicable thereto.</w:t>
      </w:r>
    </w:p>
    <w:p>
      <w:pPr>
        <w:spacing w:after="0" w:line="65" w:lineRule="exact"/>
        <w:rPr>
          <w:rFonts w:ascii="Times New Roman" w:cs="Times New Roman" w:eastAsia="Times New Roman" w:hAnsi="Times New Roman"/>
          <w:sz w:val="18"/>
          <w:szCs w:val="18"/>
          <w:color w:val="auto"/>
        </w:rPr>
      </w:pPr>
    </w:p>
    <w:p>
      <w:pPr>
        <w:ind w:firstLine="419"/>
        <w:spacing w:after="0" w:line="281" w:lineRule="auto"/>
        <w:tabs>
          <w:tab w:leader="none" w:pos="67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Material Adverse Change in Business</w:t>
      </w:r>
      <w:r>
        <w:rPr>
          <w:rFonts w:ascii="Times New Roman" w:cs="Times New Roman" w:eastAsia="Times New Roman" w:hAnsi="Times New Roman"/>
          <w:sz w:val="17"/>
          <w:szCs w:val="17"/>
          <w:color w:val="auto"/>
        </w:rPr>
        <w:t>. Except as disclosed in the Registration Statement, the General Disclosure Package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Final Prospectus, since the end of the period covered by the latest audited financial statements included in the Registration Statement, the General Disclosure Package and the Final Prospectus, there has been no change, nor any development or event involving a prospective change, in the financial condition, results of operations, business or properties of the Company and its subsidiaries, taken as a whole, that is material and adverse.</w:t>
      </w:r>
    </w:p>
    <w:p>
      <w:pPr>
        <w:spacing w:after="0" w:line="56" w:lineRule="exact"/>
        <w:rPr>
          <w:rFonts w:ascii="Times New Roman" w:cs="Times New Roman" w:eastAsia="Times New Roman" w:hAnsi="Times New Roman"/>
          <w:sz w:val="17"/>
          <w:szCs w:val="17"/>
          <w:color w:val="auto"/>
        </w:rPr>
      </w:pPr>
    </w:p>
    <w:p>
      <w:pPr>
        <w:ind w:right="80" w:firstLine="419"/>
        <w:spacing w:after="0" w:line="261" w:lineRule="auto"/>
        <w:tabs>
          <w:tab w:leader="none" w:pos="6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after giving effect to the offering and sale of the Offered Securities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the proceeds thereof as described in the Registration Statement, the General Disclosure Package and the Final Prospectus, will not be required to register as an “investment company,” as defined in the Investment Company Act of 1940, as amended (the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560" w:firstLine="419"/>
        <w:spacing w:after="0" w:line="284" w:lineRule="auto"/>
        <w:tabs>
          <w:tab w:leader="none" w:pos="7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Ratings</w:t>
      </w:r>
      <w:r>
        <w:rPr>
          <w:rFonts w:ascii="Times New Roman" w:cs="Times New Roman" w:eastAsia="Times New Roman" w:hAnsi="Times New Roman"/>
          <w:sz w:val="18"/>
          <w:szCs w:val="18"/>
          <w:color w:val="auto"/>
        </w:rPr>
        <w:t>. No “nationally recognized statistical rating organization” as such term is defined for purposes of Section 3(a)(62)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has indicated to the Company that it is considering any of the actions described in Section 7(c)(ii) hereof.</w:t>
      </w:r>
    </w:p>
    <w:p>
      <w:pPr>
        <w:spacing w:after="0" w:line="50" w:lineRule="exact"/>
        <w:rPr>
          <w:rFonts w:ascii="Times New Roman" w:cs="Times New Roman" w:eastAsia="Times New Roman" w:hAnsi="Times New Roman"/>
          <w:sz w:val="18"/>
          <w:szCs w:val="18"/>
          <w:color w:val="auto"/>
        </w:rPr>
      </w:pPr>
    </w:p>
    <w:p>
      <w:pPr>
        <w:ind w:right="460" w:firstLine="419"/>
        <w:spacing w:after="0" w:line="267" w:lineRule="auto"/>
        <w:tabs>
          <w:tab w:leader="none" w:pos="7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The shareholder’s equity and long-term indebtedness of the Company as of March 31, 2026 was as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General Disclosure Package and the Final Prospectus in the column entitled “Actual” under the caption “Capitalization”; and there has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16" w:name="page17"/>
    <w:bookmarkEnd w:id="16"/>
    <w:p>
      <w:pPr>
        <w:ind w:left="4" w:right="4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been any subsequent (i) issuance of capital stock of the Company, except for subsequent issuances, if any, pursuant to any outstanding securities, benefit or compensation plans disclosed in the Registration Statement, the General Disclosure Package and the Final Prospectus or</w:t>
      </w:r>
    </w:p>
    <w:p>
      <w:pPr>
        <w:spacing w:after="0" w:line="1" w:lineRule="exact"/>
        <w:rPr>
          <w:sz w:val="20"/>
          <w:szCs w:val="20"/>
          <w:color w:val="auto"/>
        </w:rPr>
      </w:pPr>
    </w:p>
    <w:p>
      <w:pPr>
        <w:ind w:left="4" w:right="160" w:hanging="4"/>
        <w:spacing w:after="0" w:line="260" w:lineRule="auto"/>
        <w:tabs>
          <w:tab w:leader="none" w:pos="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 in the outstanding principal amount of long-term indebtedness, except as otherwise disclosed in the Registration Statement, the General Disclosure Package and the Final Prospectus or under instruments outstanding at March 31, 2026.</w:t>
      </w:r>
    </w:p>
    <w:p>
      <w:pPr>
        <w:spacing w:after="0" w:line="71" w:lineRule="exact"/>
        <w:rPr>
          <w:rFonts w:ascii="Times New Roman" w:cs="Times New Roman" w:eastAsia="Times New Roman" w:hAnsi="Times New Roman"/>
          <w:sz w:val="18"/>
          <w:szCs w:val="18"/>
          <w:color w:val="auto"/>
        </w:rPr>
      </w:pPr>
    </w:p>
    <w:p>
      <w:pPr>
        <w:ind w:left="744" w:hanging="321"/>
        <w:spacing w:after="0"/>
        <w:tabs>
          <w:tab w:leader="none" w:pos="7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Corrupt Practices Act</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44" w:right="80" w:firstLine="408"/>
        <w:spacing w:after="0" w:line="254" w:lineRule="auto"/>
        <w:tabs>
          <w:tab w:leader="none" w:pos="1159"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employee, agent, affiliate or other person acting on behalf of the Company or any of its subsidiaries has taken any action (in each case, while acting on behalf of the Company or any of its subsidiaries), directly or indirectly, that would result in a violation by such persons of either (A)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(B) the U.K. Bribery Act 2010 (the “</w:t>
      </w:r>
      <w:r>
        <w:rPr>
          <w:rFonts w:ascii="Times New Roman" w:cs="Times New Roman" w:eastAsia="Times New Roman" w:hAnsi="Times New Roman"/>
          <w:sz w:val="18"/>
          <w:szCs w:val="18"/>
          <w:b w:val="1"/>
          <w:bCs w:val="1"/>
          <w:color w:val="auto"/>
        </w:rPr>
        <w:t>Bribery Act</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jc w:val="both"/>
        <w:ind w:left="544" w:right="460" w:firstLine="408"/>
        <w:spacing w:after="0" w:line="266" w:lineRule="auto"/>
        <w:tabs>
          <w:tab w:leader="none" w:pos="1209"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subsidiaries and, to the knowledge of the Company, its other affiliates have conducted their businesses in compliance with the FCPA and the Bribery Act and have instituted, maintain and enforce policies and procedures designed to ensure continued compliance with all applicable anti-bribery and anti-corruption laws.</w:t>
      </w:r>
    </w:p>
    <w:p>
      <w:pPr>
        <w:spacing w:after="0" w:line="65"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Anti-Money Laundering Laws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44" w:right="20" w:firstLine="408"/>
        <w:spacing w:after="0" w:line="261" w:lineRule="auto"/>
        <w:tabs>
          <w:tab w:leader="none" w:pos="1159"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in all material respects with applicable financial recordkeeping and reporting requirements, including those of the Currency and Foreign Transactions Reporting Act of 1970, as amended, the applicable anti-money laundering statutes of all jurisdictions where the Company or any of its subsidiaries conducts business and the rules and regulations thereunder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44" w:firstLine="408"/>
        <w:spacing w:after="0" w:line="282" w:lineRule="auto"/>
        <w:tabs>
          <w:tab w:leader="none" w:pos="1209"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by or before any Governmental Entity involving the Company or any of its subsidiaries with respect to the Anti-Money Laundering Laws is pending or, to the knowledge of the Company, threatened.</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4"/>
          </w:cols>
          <w:pgMar w:left="876" w:top="270" w:right="459" w:bottom="1440" w:gutter="0" w:footer="0" w:header="0"/>
        </w:sectPr>
      </w:pPr>
    </w:p>
    <w:bookmarkStart w:id="17" w:name="page18"/>
    <w:bookmarkEnd w:id="17"/>
    <w:p>
      <w:pPr>
        <w:ind w:left="321" w:hanging="321"/>
        <w:spacing w:after="0"/>
        <w:tabs>
          <w:tab w:leader="none" w:pos="32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Sanctions; OFAC</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21" w:right="180" w:firstLine="408"/>
        <w:spacing w:after="0" w:line="256" w:lineRule="auto"/>
        <w:tabs>
          <w:tab w:leader="none" w:pos="7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employee,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currently the subject or target of any sanctions administered or enforced by (A) the United States Government, including, without limitation, the U.S. Department of the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(B) the United Nations Security Council, (C) the European Union, (D) HM Treasury, or (E)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w:t>
      </w:r>
    </w:p>
    <w:p>
      <w:pPr>
        <w:spacing w:after="0" w:line="79" w:lineRule="exact"/>
        <w:rPr>
          <w:rFonts w:ascii="Times New Roman" w:cs="Times New Roman" w:eastAsia="Times New Roman" w:hAnsi="Times New Roman"/>
          <w:sz w:val="18"/>
          <w:szCs w:val="18"/>
          <w:color w:val="auto"/>
        </w:rPr>
      </w:pPr>
    </w:p>
    <w:p>
      <w:pPr>
        <w:jc w:val="both"/>
        <w:ind w:left="121" w:firstLine="408"/>
        <w:spacing w:after="0" w:line="261" w:lineRule="auto"/>
        <w:tabs>
          <w:tab w:leader="none" w:pos="78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use the proceeds of the sale of the Offered Securities, or lend, contribute or otherwise make available such proceeds to any subsidiaries, joint venture partners or other Person, to fund or facilitate any activities of or business with any Person, or in any country or territory, that, at the time of such funding, is the subject of Sanctions or in any other manner that will result in a violation by the Company or its subsidiaries of Sanctions.</w:t>
      </w:r>
    </w:p>
    <w:p>
      <w:pPr>
        <w:spacing w:after="0" w:line="71" w:lineRule="exact"/>
        <w:rPr>
          <w:rFonts w:ascii="Times New Roman" w:cs="Times New Roman" w:eastAsia="Times New Roman" w:hAnsi="Times New Roman"/>
          <w:sz w:val="18"/>
          <w:szCs w:val="18"/>
          <w:color w:val="auto"/>
        </w:rPr>
      </w:pPr>
    </w:p>
    <w:p>
      <w:pPr>
        <w:ind w:left="121" w:firstLine="408"/>
        <w:spacing w:after="0" w:line="254" w:lineRule="auto"/>
        <w:tabs>
          <w:tab w:leader="none" w:pos="8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in this Section 2(ee) shall not apply to, nor are they sought by or given to, any person if and to the extent that the making of, or compliance with, or receipt or acceptance of, such representations would breach any provision of (A) Council Regulation (EC) No. 2271/96, as amended from time to time (the “</w:t>
      </w:r>
      <w:r>
        <w:rPr>
          <w:rFonts w:ascii="Times New Roman" w:cs="Times New Roman" w:eastAsia="Times New Roman" w:hAnsi="Times New Roman"/>
          <w:sz w:val="18"/>
          <w:szCs w:val="18"/>
          <w:b w:val="1"/>
          <w:bCs w:val="1"/>
          <w:color w:val="auto"/>
        </w:rPr>
        <w:t>EU Blocking Regulation</w:t>
      </w:r>
      <w:r>
        <w:rPr>
          <w:rFonts w:ascii="Times New Roman" w:cs="Times New Roman" w:eastAsia="Times New Roman" w:hAnsi="Times New Roman"/>
          <w:sz w:val="18"/>
          <w:szCs w:val="18"/>
          <w:color w:val="auto"/>
        </w:rPr>
        <w:t>”), or any law or regulation implementing the EU Blocking Regulation in any member state of the European Union; (B) Council Regulation (EC) 2271/96 as it forms part of domestic law of the United Kingdom by virtue of the European Union Withdrawal Act 2018 (the “</w:t>
      </w:r>
      <w:r>
        <w:rPr>
          <w:rFonts w:ascii="Times New Roman" w:cs="Times New Roman" w:eastAsia="Times New Roman" w:hAnsi="Times New Roman"/>
          <w:sz w:val="18"/>
          <w:szCs w:val="18"/>
          <w:b w:val="1"/>
          <w:bCs w:val="1"/>
          <w:color w:val="auto"/>
        </w:rPr>
        <w:t>EUWA</w:t>
      </w:r>
      <w:r>
        <w:rPr>
          <w:rFonts w:ascii="Times New Roman" w:cs="Times New Roman" w:eastAsia="Times New Roman" w:hAnsi="Times New Roman"/>
          <w:sz w:val="18"/>
          <w:szCs w:val="18"/>
          <w:color w:val="auto"/>
        </w:rPr>
        <w:t>”) and as amended from time to time (the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Blocking Regulation</w:t>
      </w:r>
      <w:r>
        <w:rPr>
          <w:rFonts w:ascii="Times New Roman" w:cs="Times New Roman" w:eastAsia="Times New Roman" w:hAnsi="Times New Roman"/>
          <w:sz w:val="18"/>
          <w:szCs w:val="18"/>
          <w:color w:val="auto"/>
        </w:rPr>
        <w:t>”), or any law or regulation implementing the U.K. Blocking Regulation in the United Kingdom; or (C)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Deutsche Bank AG, London Branch, Section 7 of the German Foreign Trade Regulation (Außenwirtschaftsverordnung) or, in each case, any other applicable anti-boycott or similar laws or regulations.</w:t>
      </w:r>
    </w:p>
    <w:p>
      <w:pPr>
        <w:spacing w:after="0" w:line="81" w:lineRule="exact"/>
        <w:rPr>
          <w:rFonts w:ascii="Times New Roman" w:cs="Times New Roman" w:eastAsia="Times New Roman" w:hAnsi="Times New Roman"/>
          <w:sz w:val="18"/>
          <w:szCs w:val="18"/>
          <w:color w:val="auto"/>
        </w:rPr>
      </w:pPr>
    </w:p>
    <w:p>
      <w:pPr>
        <w:ind w:left="281" w:hanging="281"/>
        <w:spacing w:after="0"/>
        <w:tabs>
          <w:tab w:leader="none" w:pos="28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21" w:right="400" w:firstLine="408"/>
        <w:spacing w:after="0" w:line="282" w:lineRule="auto"/>
        <w:tabs>
          <w:tab w:leader="none" w:pos="7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General Disclosure Package and the Final Prospectus, or as would not, individually or in the aggregate, reasonably be expected to have a Material Adverse Effect:</w:t>
      </w:r>
    </w:p>
    <w:p>
      <w:pPr>
        <w:spacing w:after="0" w:line="94"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41"/>
          </w:cols>
          <w:pgMar w:left="1299" w:top="268" w:right="459" w:bottom="1440" w:gutter="0" w:footer="0" w:header="0"/>
        </w:sectPr>
      </w:pPr>
    </w:p>
    <w:bookmarkStart w:id="18" w:name="page19"/>
    <w:bookmarkEnd w:id="18"/>
    <w:p>
      <w:pPr>
        <w:ind w:left="1400" w:firstLine="391"/>
        <w:spacing w:after="0" w:line="258" w:lineRule="auto"/>
        <w:tabs>
          <w:tab w:leader="none" w:pos="2078"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Company’s knowledge, there has been no security breach or incident, unauthorized access or disclosure, or other compromise of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1400" w:right="160" w:firstLine="391"/>
        <w:spacing w:after="0" w:line="282" w:lineRule="auto"/>
        <w:tabs>
          <w:tab w:leader="none" w:pos="2068"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not been notified of, and have no knowledge of any event or condition that would result in, any security breach or incident, unauthorized access or disclosure or other compromise to their IT Systems and Data; and</w:t>
      </w:r>
    </w:p>
    <w:p>
      <w:pPr>
        <w:spacing w:after="0" w:line="53" w:lineRule="exact"/>
        <w:rPr>
          <w:rFonts w:ascii="Times New Roman" w:cs="Times New Roman" w:eastAsia="Times New Roman" w:hAnsi="Times New Roman"/>
          <w:sz w:val="18"/>
          <w:szCs w:val="18"/>
          <w:color w:val="auto"/>
        </w:rPr>
      </w:pPr>
    </w:p>
    <w:p>
      <w:pPr>
        <w:ind w:left="1400" w:right="620" w:firstLine="391"/>
        <w:spacing w:after="0" w:line="266" w:lineRule="auto"/>
        <w:tabs>
          <w:tab w:leader="none" w:pos="2068"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w:t>
      </w:r>
    </w:p>
    <w:p>
      <w:pPr>
        <w:spacing w:after="0" w:line="67" w:lineRule="exact"/>
        <w:rPr>
          <w:rFonts w:ascii="Times New Roman" w:cs="Times New Roman" w:eastAsia="Times New Roman" w:hAnsi="Times New Roman"/>
          <w:sz w:val="18"/>
          <w:szCs w:val="18"/>
          <w:color w:val="auto"/>
        </w:rPr>
      </w:pPr>
    </w:p>
    <w:p>
      <w:pPr>
        <w:ind w:left="960" w:right="80" w:firstLine="408"/>
        <w:spacing w:after="0" w:line="258" w:lineRule="auto"/>
        <w:tabs>
          <w:tab w:leader="none" w:pos="162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General Disclosure Package and the Final Prospectus, or as would not, individually or in the aggregate,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73" w:lineRule="exact"/>
        <w:rPr>
          <w:rFonts w:ascii="Times New Roman" w:cs="Times New Roman" w:eastAsia="Times New Roman" w:hAnsi="Times New Roman"/>
          <w:sz w:val="18"/>
          <w:szCs w:val="18"/>
          <w:color w:val="auto"/>
        </w:rPr>
      </w:pPr>
    </w:p>
    <w:p>
      <w:pPr>
        <w:ind w:left="-20" w:right="80" w:firstLine="436"/>
        <w:spacing w:after="0" w:line="258"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Sale and Delivery of Offered Securities</w:t>
      </w:r>
      <w:r>
        <w:rPr>
          <w:rFonts w:ascii="Times New Roman" w:cs="Times New Roman" w:eastAsia="Times New Roman" w:hAnsi="Times New Roman"/>
          <w:sz w:val="18"/>
          <w:szCs w:val="18"/>
          <w:color w:val="auto"/>
        </w:rPr>
        <w:t>. On the basis of the representations, warranties and agreements and subject to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set forth herein, the Company agrees to sell to each of the several Underwriters, and each of the Underwriters agrees, severally and not jointly, to purchase from the Company, at a purchase price of (i) 99.586% of the principal amount of the 2030 Notes set forth opposite the name of such Underwriter in Schedule A hereto and (ii) 99.104% of the principal amount of the 2034 Notes set forth opposite the name of such Underwriter in Schedule A hereto.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60" w:top="270" w:right="45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for the Offered Securities shall be made by wire transfer in immediately available funds to the bank account(s) specified by the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Settlement Lead Manager (as defined herein) against delivery in book entry form through a common depositary (the “</w:t>
      </w:r>
      <w:r>
        <w:rPr>
          <w:rFonts w:ascii="Times New Roman" w:cs="Times New Roman" w:eastAsia="Times New Roman" w:hAnsi="Times New Roman"/>
          <w:sz w:val="18"/>
          <w:szCs w:val="18"/>
          <w:b w:val="1"/>
          <w:bCs w:val="1"/>
          <w:color w:val="auto"/>
        </w:rPr>
        <w:t>Common Depositary</w:t>
      </w:r>
      <w:r>
        <w:rPr>
          <w:rFonts w:ascii="Times New Roman" w:cs="Times New Roman" w:eastAsia="Times New Roman" w:hAnsi="Times New Roman"/>
          <w:sz w:val="18"/>
          <w:szCs w:val="18"/>
          <w:color w:val="auto"/>
        </w:rPr>
        <w: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Euroclear Bank S.A./N.V. (“</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and Clearstream Banking, société anonyme (“</w:t>
      </w:r>
      <w:r>
        <w:rPr>
          <w:rFonts w:ascii="Times New Roman" w:cs="Times New Roman" w:eastAsia="Times New Roman" w:hAnsi="Times New Roman"/>
          <w:sz w:val="18"/>
          <w:szCs w:val="18"/>
          <w:b w:val="1"/>
          <w:bCs w:val="1"/>
          <w:color w:val="auto"/>
        </w:rPr>
        <w:t>Clearstream</w:t>
      </w:r>
      <w:r>
        <w:rPr>
          <w:rFonts w:ascii="Times New Roman" w:cs="Times New Roman" w:eastAsia="Times New Roman" w:hAnsi="Times New Roman"/>
          <w:sz w:val="18"/>
          <w:szCs w:val="18"/>
          <w:color w:val="auto"/>
        </w:rPr>
        <w:t>”), for the account of the Underwriters, of 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global notes representing the Offered Securities with any transfer taxes payable in connection with the sale of the Offered Securities duly paid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at 10:00 A.M., London time, on June 23, 2026, or at such other time not later than seven full business days thereafter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and the Company determine, such time being herein referred to as the “</w:t>
      </w:r>
      <w:r>
        <w:rPr>
          <w:rFonts w:ascii="Times New Roman" w:cs="Times New Roman" w:eastAsia="Times New Roman" w:hAnsi="Times New Roman"/>
          <w:sz w:val="18"/>
          <w:szCs w:val="18"/>
          <w:b w:val="1"/>
          <w:bCs w:val="1"/>
          <w:color w:val="auto"/>
        </w:rPr>
        <w:t>Closing Time</w:t>
      </w:r>
      <w:r>
        <w:rPr>
          <w:rFonts w:ascii="Times New Roman" w:cs="Times New Roman" w:eastAsia="Times New Roman" w:hAnsi="Times New Roman"/>
          <w:sz w:val="18"/>
          <w:szCs w:val="18"/>
          <w:color w:val="auto"/>
        </w:rPr>
        <w:t>” and such date being herein referred to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For purposes of Rule 15c6-1 under the Exchange Act, the Closing Date (if later than the otherwise applicable settlement date)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settlement date for payment of funds and delivery of securities for all the Offered Securities sold pursuant to the offering. Forms of the Offered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so to be delivered or evidence of their issuance will be made available for checking at least 24 hours prior to the Closing Time.</w:t>
      </w:r>
    </w:p>
    <w:p>
      <w:pPr>
        <w:spacing w:after="0" w:line="97" w:lineRule="exact"/>
        <w:rPr>
          <w:sz w:val="20"/>
          <w:szCs w:val="20"/>
          <w:color w:val="auto"/>
        </w:rPr>
      </w:pPr>
    </w:p>
    <w:p>
      <w:pPr>
        <w:ind w:right="40" w:firstLine="436"/>
        <w:spacing w:after="0" w:line="284" w:lineRule="auto"/>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Offering by Underwriters</w:t>
      </w:r>
      <w:r>
        <w:rPr>
          <w:rFonts w:ascii="Times New Roman" w:cs="Times New Roman" w:eastAsia="Times New Roman" w:hAnsi="Times New Roman"/>
          <w:sz w:val="18"/>
          <w:szCs w:val="18"/>
          <w:color w:val="auto"/>
        </w:rPr>
        <w:t>. It is understood that the several Underwriters propose to offer the Offered Securities for sale to the public as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Final Prospectus.</w:t>
      </w:r>
    </w:p>
    <w:p>
      <w:pPr>
        <w:spacing w:after="0" w:line="5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Agreements of the Company</w:t>
      </w:r>
      <w:r>
        <w:rPr>
          <w:rFonts w:ascii="Times New Roman" w:cs="Times New Roman" w:eastAsia="Times New Roman" w:hAnsi="Times New Roman"/>
          <w:sz w:val="18"/>
          <w:szCs w:val="18"/>
          <w:color w:val="auto"/>
        </w:rPr>
        <w:t>. As of the date hereof, the Company agrees with the several Underwriters that:</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4" w:lineRule="auto"/>
        <w:tabs>
          <w:tab w:leader="none" w:pos="11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Prospectuses</w:t>
      </w:r>
      <w:r>
        <w:rPr>
          <w:rFonts w:ascii="Times New Roman" w:cs="Times New Roman" w:eastAsia="Times New Roman" w:hAnsi="Times New Roman"/>
          <w:sz w:val="18"/>
          <w:szCs w:val="18"/>
          <w:color w:val="auto"/>
        </w:rPr>
        <w:t>. The Company has filed or will file each Statutory Prospectus (including the Final Prospectus) pursuant to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Rule 424(b) not later than the time period prescribed by such Rule.</w:t>
      </w:r>
    </w:p>
    <w:p>
      <w:pPr>
        <w:spacing w:after="0" w:line="50"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11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Amendments; Response to Commission Requests</w:t>
      </w:r>
      <w:r>
        <w:rPr>
          <w:rFonts w:ascii="Times New Roman" w:cs="Times New Roman" w:eastAsia="Times New Roman" w:hAnsi="Times New Roman"/>
          <w:sz w:val="18"/>
          <w:szCs w:val="18"/>
          <w:color w:val="auto"/>
        </w:rPr>
        <w:t>. For so long as a prospectus relating to the Offered Securities is (or but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exemption in Rule 172 would be) required to be delivered under the Act by any Underwriter or dealer, the Company will promptly advise the Representatives of any proposal to amend or supplement the Registration Statement or any Statutory Prospectus at any time and will offer the Representatives a reasonable opportunity to comment on any such amendment or supplement; and the Company will also advise the Representatives promptly of (i) the filing of any such amendment or supplement, (ii) any request by the Commission or its staff for any amendment to the Registration Statement, for any supplement to any Statutory Prospectus or for any additional information, (iii) the institution by the Commission of any stop order proceedings in respect of the Registration Statement or the threatening of any proceeding for that purpose, and (iv) the receipt by the Company of any notification with respect to the suspension of the qualification of the Offered Securities in any jurisdiction or the institution or threatening of any proceedings for such purpose. The Company will use its reasonable best efforts to prevent the issuance of any such stop order or the suspension of any such qualification and, if issued, to obtain as soon as possible the withdrawal thereof.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0" w:name="page21"/>
    <w:bookmarkEnd w:id="20"/>
    <w:p>
      <w:pPr>
        <w:ind w:right="20" w:firstLine="419"/>
        <w:spacing w:after="0" w:line="253" w:lineRule="auto"/>
        <w:tabs>
          <w:tab w:leader="none" w:pos="6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Continued Compliance with Securities Laws</w:t>
      </w:r>
      <w:r>
        <w:rPr>
          <w:rFonts w:ascii="Times New Roman" w:cs="Times New Roman" w:eastAsia="Times New Roman" w:hAnsi="Times New Roman"/>
          <w:sz w:val="18"/>
          <w:szCs w:val="18"/>
          <w:color w:val="auto"/>
        </w:rPr>
        <w:t>. If, at any time when a prospectus relating to the Offered Securities is (or but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exemption in Rule 172 would be) required to be delivered under the Act by any Underwriter or dealer, any event occurs as a result of which the Registration Statement, as then amended, would contain an untrue statement of a material fact or omit to state a material fact required to be stated therein or necessary to make the statements therein not misleading, or the General Disclosure Package or the Final Prospectus, as the case may be, would include an untrue statement of a material fact or omit to state any material fact necessary in order to make the statements therein, in the light of the circumstances under which they were made, not misleading, or if it is necessary at any time to amend the Registration Statement or amend or supplement the General Disclosure Package or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7 hereof.</w:t>
      </w:r>
    </w:p>
    <w:p>
      <w:pPr>
        <w:spacing w:after="0" w:line="83" w:lineRule="exact"/>
        <w:rPr>
          <w:rFonts w:ascii="Times New Roman" w:cs="Times New Roman" w:eastAsia="Times New Roman" w:hAnsi="Times New Roman"/>
          <w:sz w:val="18"/>
          <w:szCs w:val="18"/>
          <w:color w:val="auto"/>
        </w:rPr>
      </w:pPr>
    </w:p>
    <w:p>
      <w:pPr>
        <w:jc w:val="both"/>
        <w:ind w:right="540" w:firstLine="419"/>
        <w:spacing w:after="0" w:line="267"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As soon as practicable, but not later than 16 months after the date of this Agreement, the Company will make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its securityholders an earnings statement covering a period of at least 12 months beginning after the date of this Agreement and satisfying the provisions of Section 11(a) of the Act and Rule 158.</w:t>
      </w:r>
    </w:p>
    <w:p>
      <w:pPr>
        <w:spacing w:after="0" w:line="65" w:lineRule="exact"/>
        <w:rPr>
          <w:rFonts w:ascii="Times New Roman" w:cs="Times New Roman" w:eastAsia="Times New Roman" w:hAnsi="Times New Roman"/>
          <w:sz w:val="18"/>
          <w:szCs w:val="18"/>
          <w:color w:val="auto"/>
        </w:rPr>
      </w:pPr>
    </w:p>
    <w:p>
      <w:pPr>
        <w:ind w:firstLine="419"/>
        <w:spacing w:after="0" w:line="257" w:lineRule="auto"/>
        <w:tabs>
          <w:tab w:leader="none" w:pos="6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Furnishing of Prospectuses</w:t>
      </w:r>
      <w:r>
        <w:rPr>
          <w:rFonts w:ascii="Times New Roman" w:cs="Times New Roman" w:eastAsia="Times New Roman" w:hAnsi="Times New Roman"/>
          <w:sz w:val="18"/>
          <w:szCs w:val="18"/>
          <w:color w:val="auto"/>
        </w:rPr>
        <w:t>. The Company will furnish to the Representatives copies of the Registration Statement, including all exhibits,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Statutory Prospectus, the Final Prospectus and all amendments and supplements to such documents, in each case as soon as available and in such quantities as the Representatives reasonably request and the Company hereby consents to the use of such copies for purposes permitted by the Act. The Company will pay the expenses of printing and distributing to the Underwriters all such documents. Each Statutory Prospectus and the Final Prospectus and any amendment or supplement thereto furnished to the Underwriters will be identical to the electronically transmitted copies thereof filed with the Commission pursuant to EDGAR (as defined below), except to the extent permitted by Regulation S-T.</w:t>
      </w:r>
    </w:p>
    <w:p>
      <w:pPr>
        <w:spacing w:after="0" w:line="74" w:lineRule="exact"/>
        <w:rPr>
          <w:rFonts w:ascii="Times New Roman" w:cs="Times New Roman" w:eastAsia="Times New Roman" w:hAnsi="Times New Roman"/>
          <w:sz w:val="18"/>
          <w:szCs w:val="18"/>
          <w:color w:val="auto"/>
        </w:rPr>
      </w:pPr>
    </w:p>
    <w:p>
      <w:pPr>
        <w:ind w:right="100" w:firstLine="419"/>
        <w:spacing w:after="0" w:line="258"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reasonable best efforts to arrange for the qualification of the Offered Securities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determination of their eligibility for investment under the laws of such jurisdictions as the Representatives designate and will continue such qualifications in effect so long as required for the distribution of the Offered Securities by the Underwriters; provided that the Company will not be required to qualify as a foreign corporation or to file a general consent to service of process or subject itself to taxation in any such jurisdiction.</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80"/>
          </w:cols>
          <w:pgMar w:left="880" w:top="268" w:right="439" w:bottom="1440" w:gutter="0" w:footer="0" w:header="0"/>
        </w:sectPr>
      </w:pPr>
    </w:p>
    <w:bookmarkStart w:id="21" w:name="page22"/>
    <w:bookmarkEnd w:id="21"/>
    <w:p>
      <w:pPr>
        <w:ind w:right="40" w:firstLine="419"/>
        <w:spacing w:after="0" w:line="273" w:lineRule="auto"/>
        <w:tabs>
          <w:tab w:leader="none" w:pos="67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Reporting Requirements</w:t>
      </w:r>
      <w:r>
        <w:rPr>
          <w:rFonts w:ascii="Times New Roman" w:cs="Times New Roman" w:eastAsia="Times New Roman" w:hAnsi="Times New Roman"/>
          <w:sz w:val="17"/>
          <w:szCs w:val="17"/>
          <w:color w:val="auto"/>
        </w:rPr>
        <w:t>. For so long as the Offered Securities remain outstanding, the Company will furnish to the Representatives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request, to each of the other Underwriters, as soon as practicable after the end of each fiscal year, a copy of its annual report to stockholders for such year; and the Company will furnish to the Representatives (i) as soon as available, a copy of each report and any definitive proxy statement of the Company filed with the Commission under the Exchange Act or mailed to stockholders,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Electronic Data Gathering, Analysis and Retrieval system (“</w:t>
      </w:r>
      <w:r>
        <w:rPr>
          <w:rFonts w:ascii="Times New Roman" w:cs="Times New Roman" w:eastAsia="Times New Roman" w:hAnsi="Times New Roman"/>
          <w:sz w:val="17"/>
          <w:szCs w:val="17"/>
          <w:b w:val="1"/>
          <w:bCs w:val="1"/>
          <w:color w:val="auto"/>
        </w:rPr>
        <w:t>EDGAR</w:t>
      </w:r>
      <w:r>
        <w:rPr>
          <w:rFonts w:ascii="Times New Roman" w:cs="Times New Roman" w:eastAsia="Times New Roman" w:hAnsi="Times New Roman"/>
          <w:sz w:val="17"/>
          <w:szCs w:val="17"/>
          <w:color w:val="auto"/>
        </w:rPr>
        <w:t>”), it is not required to furnish such reports or statements to the Underwriters.</w:t>
      </w:r>
    </w:p>
    <w:p>
      <w:pPr>
        <w:spacing w:after="0" w:line="63" w:lineRule="exact"/>
        <w:rPr>
          <w:rFonts w:ascii="Times New Roman" w:cs="Times New Roman" w:eastAsia="Times New Roman" w:hAnsi="Times New Roman"/>
          <w:sz w:val="17"/>
          <w:szCs w:val="17"/>
          <w:color w:val="auto"/>
        </w:rPr>
      </w:pPr>
    </w:p>
    <w:p>
      <w:pPr>
        <w:ind w:firstLine="419"/>
        <w:spacing w:after="0" w:line="252"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Expenses</w:t>
      </w:r>
      <w:r>
        <w:rPr>
          <w:rFonts w:ascii="Times New Roman" w:cs="Times New Roman" w:eastAsia="Times New Roman" w:hAnsi="Times New Roman"/>
          <w:sz w:val="18"/>
          <w:szCs w:val="18"/>
          <w:color w:val="auto"/>
        </w:rPr>
        <w:t>. The Company will pay all expenses incident to the performance of its obligations under this Agreement,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limited to any filing fees and other expenses (including reasonable fees and disbursements of counsel to the Underwriters) incurred in connection with qualification of the Offered Securities for sale and determination of their eligibility for investment under the laws of such jurisdictions as the Representatives designate and the preparation and printing (if any) of memoranda relating thereto, any charges of Clearstream and Euroclear in connection with the preparation, issuance and delivery of the Offered Securities, all fees and expenses in connection with listing of the Offered Securities on the NASDAQ Global Market (the “NASDAQ”), any fees charged by investment rating agencies for the rating of the Offered Securities, costs and expenses relating to investor presentations or any “road show” in connection with the offering and sale of the Offered Securities including, without limitation, any travel expenses of the Company’s officers and employees and any other expenses of the Company, including the chartering of airplanes, fees and expenses in connection with the registration of the Offered Securities under the Exchange Act,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 It is understood, however, that, except as provided in this Section 5(h) or Section 8 hereof, the Underwriters will pay all of their own costs and expenses, including the fees and expenses of counsel to the Underwriters and any advertising expenses incurred in connection with the offering of the Offered Securities. Each Underwriter agrees to pay the portion of such expenses represented by such Underwriter’s pro rata share (based on the proportion that the principal amount of Offered Securities set forth opposite each Underwriter’s name in Schedule A bears to the aggregate principal amount of Offered Securities set forth opposite the names of all Underwriters) of the Offered Securities (with respect to each Underwriter, the “</w:t>
      </w:r>
      <w:r>
        <w:rPr>
          <w:rFonts w:ascii="Times New Roman" w:cs="Times New Roman" w:eastAsia="Times New Roman" w:hAnsi="Times New Roman"/>
          <w:sz w:val="18"/>
          <w:szCs w:val="18"/>
          <w:b w:val="1"/>
          <w:bCs w:val="1"/>
          <w:color w:val="auto"/>
        </w:rPr>
        <w:t>Pro Rata Expenses</w:t>
      </w:r>
      <w:r>
        <w:rPr>
          <w:rFonts w:ascii="Times New Roman" w:cs="Times New Roman" w:eastAsia="Times New Roman" w:hAnsi="Times New Roman"/>
          <w:sz w:val="18"/>
          <w:szCs w:val="18"/>
          <w:color w:val="auto"/>
        </w:rPr>
        <w:t>”). Notwithstanding anything contained in the International Capital Market Association Primary Market Handbook, each Underwriter hereby agrees that the Settlement Lead Manager (as defined below) may allocate the Pro Rata Expenses to the account of such Underwriter for settlement of accounts (including payment of such Underwriter’s fees by the Settlement Lead Manager) as soon as practicable but in any case, no later than 90 days following the Closing Date.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0"/>
          </w:cols>
          <w:pgMar w:left="880" w:top="268" w:right="459" w:bottom="1440" w:gutter="0" w:footer="0" w:header="0"/>
        </w:sectPr>
      </w:pPr>
    </w:p>
    <w:bookmarkStart w:id="22" w:name="page23"/>
    <w:bookmarkEnd w:id="22"/>
    <w:p>
      <w:pPr>
        <w:ind w:right="40" w:firstLine="419"/>
        <w:spacing w:after="0" w:line="261" w:lineRule="auto"/>
        <w:tabs>
          <w:tab w:leader="none" w:pos="6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Proceeds</w:t>
      </w:r>
      <w:r>
        <w:rPr>
          <w:rFonts w:ascii="Times New Roman" w:cs="Times New Roman" w:eastAsia="Times New Roman" w:hAnsi="Times New Roman"/>
          <w:sz w:val="18"/>
          <w:szCs w:val="18"/>
          <w:color w:val="auto"/>
        </w:rPr>
        <w:t>. The Company will use the net proceeds received in connection with this offering in the manner described in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section of the Registration Statement, the General Disclosure Package and the Final Prospectus and, except as disclosed in the Registration Statement, the General Disclosure Package and the Final Prospectus, the Company does not intend to use any of the proceeds from the sale of the Offered Securities hereunder to repay any outstanding debt owed to any affiliate of any Underwriter.</w:t>
      </w:r>
    </w:p>
    <w:p>
      <w:pPr>
        <w:spacing w:after="0" w:line="71" w:lineRule="exact"/>
        <w:rPr>
          <w:rFonts w:ascii="Times New Roman" w:cs="Times New Roman" w:eastAsia="Times New Roman" w:hAnsi="Times New Roman"/>
          <w:sz w:val="18"/>
          <w:szCs w:val="18"/>
          <w:color w:val="auto"/>
        </w:rPr>
      </w:pPr>
    </w:p>
    <w:p>
      <w:pPr>
        <w:ind w:right="140" w:firstLine="419"/>
        <w:spacing w:after="0" w:line="267" w:lineRule="auto"/>
        <w:tabs>
          <w:tab w:leader="none" w:pos="6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Neither the Company nor any of its subsidiaries will take, directly or indirectly, any action designed to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constitute or that might reasonably be expected to cause or result in, stabilization or manipulation of the price of any securities of the Company to facilitate the sale or resale of the Offered Securities.</w:t>
      </w:r>
    </w:p>
    <w:p>
      <w:pPr>
        <w:spacing w:after="0" w:line="65" w:lineRule="exact"/>
        <w:rPr>
          <w:rFonts w:ascii="Times New Roman" w:cs="Times New Roman" w:eastAsia="Times New Roman" w:hAnsi="Times New Roman"/>
          <w:sz w:val="18"/>
          <w:szCs w:val="18"/>
          <w:color w:val="auto"/>
        </w:rPr>
      </w:pPr>
    </w:p>
    <w:p>
      <w:pPr>
        <w:ind w:right="40" w:firstLine="419"/>
        <w:spacing w:after="0" w:line="258"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 on Sale of Securities</w:t>
      </w:r>
      <w:r>
        <w:rPr>
          <w:rFonts w:ascii="Times New Roman" w:cs="Times New Roman" w:eastAsia="Times New Roman" w:hAnsi="Times New Roman"/>
          <w:sz w:val="18"/>
          <w:szCs w:val="18"/>
          <w:color w:val="auto"/>
        </w:rPr>
        <w:t>. The Company will not offer, sell, contract to sell, pledge or otherwise dispose of,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file with the Commission a registration statement under the Act relating to United States dollar-denominated debt securities issued by the Company and having a maturity of more than one year from the date of issue, or publicly disclose the intention to make any such offer, sale, pledge, disposition or filing, without the prior written consent of the Representatives for a period beginning on the date hereof and ending one day after the Closing Date.</w:t>
      </w:r>
    </w:p>
    <w:p>
      <w:pPr>
        <w:spacing w:after="0" w:line="75" w:lineRule="exact"/>
        <w:rPr>
          <w:rFonts w:ascii="Times New Roman" w:cs="Times New Roman" w:eastAsia="Times New Roman" w:hAnsi="Times New Roman"/>
          <w:sz w:val="18"/>
          <w:szCs w:val="18"/>
          <w:color w:val="auto"/>
        </w:rPr>
      </w:pPr>
    </w:p>
    <w:p>
      <w:pPr>
        <w:ind w:firstLine="419"/>
        <w:spacing w:after="0" w:line="254" w:lineRule="auto"/>
        <w:tabs>
          <w:tab w:leader="none" w:pos="6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Renewal Deadline. </w:t>
      </w:r>
      <w:r>
        <w:rPr>
          <w:rFonts w:ascii="Times New Roman" w:cs="Times New Roman" w:eastAsia="Times New Roman" w:hAnsi="Times New Roman"/>
          <w:sz w:val="18"/>
          <w:szCs w:val="18"/>
          <w:color w:val="auto"/>
        </w:rPr>
        <w:t>If immediately prior to the Renewal Deadline (as hereinafter defined), any of the Offered Securities remain unsold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the Company will, if it has not already done so, file, prior to the Renewal Deadline and in a form reasonably satisfactory to the Representatives, (A) if it is eligible to do so, a new automatic shelf registration statement relating to the Offered Securities, and (B) if it is no longer eligible to file an automatic shelf registration statement, a new shelf registration statement relating to the Offered Securities, and will use its reasonable best efforts to cause such registration statement to be declared effective within 180 days after the Renewal Deadline. The Company will use its reasonable best efforts to take all other action necessary or appropriate to permit the public offering and sale of the Offered Securities to continue as contemplated in the expired registration statement relating to the Offered Securities. References herein to the Registration Statement shall include such new automatic shelf registration statement or such new shelf registration statement, as the case may be. “</w:t>
      </w:r>
      <w:r>
        <w:rPr>
          <w:rFonts w:ascii="Times New Roman" w:cs="Times New Roman" w:eastAsia="Times New Roman" w:hAnsi="Times New Roman"/>
          <w:sz w:val="18"/>
          <w:szCs w:val="18"/>
          <w:b w:val="1"/>
          <w:bCs w:val="1"/>
          <w:color w:val="auto"/>
        </w:rPr>
        <w:t>Renewal Deadline</w:t>
      </w:r>
      <w:r>
        <w:rPr>
          <w:rFonts w:ascii="Times New Roman" w:cs="Times New Roman" w:eastAsia="Times New Roman" w:hAnsi="Times New Roman"/>
          <w:sz w:val="18"/>
          <w:szCs w:val="18"/>
          <w:color w:val="auto"/>
        </w:rPr>
        <w:t>” means the third anniversary of the initial effective time of the Registration Statement.</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68" w:right="459" w:bottom="1440" w:gutter="0" w:footer="0" w:header="0"/>
        </w:sectPr>
      </w:pPr>
    </w:p>
    <w:bookmarkStart w:id="23" w:name="page24"/>
    <w:bookmarkEnd w:id="23"/>
    <w:p>
      <w:pPr>
        <w:ind w:left="4" w:right="20" w:firstLine="419"/>
        <w:spacing w:after="0" w:line="254" w:lineRule="auto"/>
        <w:tabs>
          <w:tab w:leader="none" w:pos="73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Eligibility of Automatic Shelf Registration Statement Form. </w:t>
      </w:r>
      <w:r>
        <w:rPr>
          <w:rFonts w:ascii="Times New Roman" w:cs="Times New Roman" w:eastAsia="Times New Roman" w:hAnsi="Times New Roman"/>
          <w:sz w:val="18"/>
          <w:szCs w:val="18"/>
          <w:color w:val="auto"/>
        </w:rPr>
        <w:t>If at any time when Offered Securities remain unsold by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receives from the Commission a notice pursuant to Rule 401(g)(2) or otherwise ceases to be eligible to use the automatic shelf registration statement form, the Company will (A) promptly notify the Representatives, (B) promptly file a new registration statement or post-effective amendment on the proper form relating to the Offered Securities, in a form satisfactory to the Representatives, (C) use its reasonable best efforts to cause such registration statement or post-effective amendment to be declared effective as soon as practicable, and (D) promptly notify the Representatives of such effectiveness. The Company will use its reasonable best efforts to take all other action necessary or appropriate to permit the public offering and sale of the Offered Securities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w:t>
      </w:r>
    </w:p>
    <w:p>
      <w:pPr>
        <w:spacing w:after="0" w:line="80" w:lineRule="exact"/>
        <w:rPr>
          <w:rFonts w:ascii="Times New Roman" w:cs="Times New Roman" w:eastAsia="Times New Roman" w:hAnsi="Times New Roman"/>
          <w:sz w:val="18"/>
          <w:szCs w:val="18"/>
          <w:color w:val="auto"/>
        </w:rPr>
      </w:pPr>
    </w:p>
    <w:p>
      <w:pPr>
        <w:ind w:left="4" w:right="140" w:firstLine="419"/>
        <w:spacing w:after="0" w:line="257" w:lineRule="auto"/>
        <w:tabs>
          <w:tab w:leader="none" w:pos="68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Prospectuses. </w:t>
      </w:r>
      <w:r>
        <w:rPr>
          <w:rFonts w:ascii="Times New Roman" w:cs="Times New Roman" w:eastAsia="Times New Roman" w:hAnsi="Times New Roman"/>
          <w:sz w:val="18"/>
          <w:szCs w:val="18"/>
          <w:color w:val="auto"/>
        </w:rPr>
        <w:t>If at any time following issuance of an Issuer Free Writing Prospectus there occurs an event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as a result of which such Issuer Free Writing Prospectus would conflict with the information then contained in the Registration Statement or as a result of which such Issuer Free Writing Prospectus, if republished immediately following such event or development, would include an untrue statement of a material fact or omit to state a material fact necessary in order to make the statements therein, in the light of the circumstances under which they were made, not misleading, (i) the Company will promptly notify the Representatives and (ii) the Company will promptly amend or supplement such Issuer Free Writing Prospectus to eliminate or correct such conflict, untrue statement or omission.</w:t>
      </w:r>
    </w:p>
    <w:p>
      <w:pPr>
        <w:spacing w:after="0" w:line="76" w:lineRule="exact"/>
        <w:rPr>
          <w:rFonts w:ascii="Times New Roman" w:cs="Times New Roman" w:eastAsia="Times New Roman" w:hAnsi="Times New Roman"/>
          <w:sz w:val="18"/>
          <w:szCs w:val="18"/>
          <w:color w:val="auto"/>
        </w:rPr>
      </w:pPr>
    </w:p>
    <w:p>
      <w:pPr>
        <w:ind w:left="4" w:right="140" w:firstLine="419"/>
        <w:spacing w:after="0" w:line="282" w:lineRule="auto"/>
        <w:tabs>
          <w:tab w:leader="none" w:pos="68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cooperate with the Underwriters and use its reasonable best efforts to permit the Offered Securities to be eligible for clearance and settlement through Clearstream and Euroclear.</w:t>
      </w:r>
    </w:p>
    <w:p>
      <w:pPr>
        <w:spacing w:after="0" w:line="53"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68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reasonable best efforts to cause the Offered Securities to be listed on the NASDAQ as promptly as practicable after the issuance of the Offered Securities.</w:t>
      </w:r>
    </w:p>
    <w:p>
      <w:pPr>
        <w:spacing w:after="0" w:line="15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Free Writing Prospectuses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6" w:lineRule="auto"/>
        <w:tabs>
          <w:tab w:leader="none" w:pos="6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The Company represents and agrees that, unless it obtains the prior consent of the Representatives,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Underwriter represents and agrees that, unless it obtains the prior consent of the Company and the Representatives,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w:t>
      </w:r>
      <w:r>
        <w:rPr>
          <w:rFonts w:ascii="Times New Roman" w:cs="Times New Roman" w:eastAsia="Times New Roman" w:hAnsi="Times New Roman"/>
          <w:sz w:val="18"/>
          <w:szCs w:val="18"/>
          <w:b w:val="1"/>
          <w:bCs w:val="1"/>
          <w:color w:val="auto"/>
        </w:rPr>
        <w:t>Permitted Free Writing Prospectus</w:t>
      </w:r>
      <w:r>
        <w:rPr>
          <w:rFonts w:ascii="Times New Roman" w:cs="Times New Roman" w:eastAsia="Times New Roman" w:hAnsi="Times New Roman"/>
          <w:sz w:val="18"/>
          <w:szCs w:val="18"/>
          <w:color w:val="auto"/>
        </w:rPr>
        <w:t>.” The Company represents that it has complied and will comply with the requirements of Rules 164 and 433 applicable to any Permitted Free Writing Prospectus, including timely Commission filing where required, legending and record keeping.</w:t>
      </w:r>
    </w:p>
    <w:p>
      <w:pPr>
        <w:spacing w:after="0" w:line="11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68" w:right="459" w:bottom="1440" w:gutter="0" w:footer="0" w:header="0"/>
        </w:sectPr>
      </w:pPr>
    </w:p>
    <w:bookmarkStart w:id="24" w:name="page25"/>
    <w:bookmarkEnd w:id="24"/>
    <w:p>
      <w:pPr>
        <w:ind w:left="440" w:firstLine="419"/>
        <w:spacing w:after="0" w:line="268" w:lineRule="auto"/>
        <w:tabs>
          <w:tab w:leader="none" w:pos="1118"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Sheets</w:t>
      </w:r>
      <w:r>
        <w:rPr>
          <w:rFonts w:ascii="Times New Roman" w:cs="Times New Roman" w:eastAsia="Times New Roman" w:hAnsi="Times New Roman"/>
          <w:sz w:val="17"/>
          <w:szCs w:val="17"/>
          <w:color w:val="auto"/>
        </w:rPr>
        <w:t>. The Company will prepare a final term sheet relating to the Offered Securities, containing only information that describes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final terms of the Offered Securities and otherwise in a form consented to by the Representatives, and will file such final term sheet within the period required by Rule 433(d)(5)(ii) following the date such final terms have been established for all classes of the offering of the Offered Securities. Any such final term sheet is an Issuer Free Writing Prospectus and a Permitted Free Writing Prospectus for purposes of this Agreement. The Company also consents to the use by any Underwriter of a free writing prospectus that contains only (i)(x) information describing the preliminary terms of the Offered Securities or their offering or (y) information that describes the final terms of the Offered Securities or their offering and that is included in the final term sheet of the Company contemplated in the first sentence of this subsection or (ii) other information that is not “issuer information,” as defined in Rule 433, it being understood that any such free writing prospectus referred to in clause (i) or</w:t>
      </w:r>
    </w:p>
    <w:p>
      <w:pPr>
        <w:spacing w:after="0" w:line="2"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shall not be an Issuer Free Writing Prospectus for purposes of this Agreement.</w:t>
      </w:r>
    </w:p>
    <w:p>
      <w:pPr>
        <w:spacing w:after="0" w:line="205" w:lineRule="exact"/>
        <w:rPr>
          <w:sz w:val="20"/>
          <w:szCs w:val="20"/>
          <w:color w:val="auto"/>
        </w:rPr>
      </w:pPr>
    </w:p>
    <w:p>
      <w:pPr>
        <w:ind w:right="20" w:firstLine="436"/>
        <w:spacing w:after="0" w:line="261"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of the Obligations of the Underwriters</w:t>
      </w:r>
      <w:r>
        <w:rPr>
          <w:rFonts w:ascii="Times New Roman" w:cs="Times New Roman" w:eastAsia="Times New Roman" w:hAnsi="Times New Roman"/>
          <w:sz w:val="18"/>
          <w:szCs w:val="18"/>
          <w:color w:val="auto"/>
        </w:rPr>
        <w:t>. The obligations of the several Underwriters to purchase and pay for the Offered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Closing Date will be subject to the accuracy of the representations and warranties of the Company herein (as though made on such Closing Date), to the accuracy of the statements of Company officers made pursuant to the provisions hereof, to the performance by the Company of its obligations hereunder and to the following additional conditions precedent:</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The Representatives shall have received, at the request of the Company, letters, in a form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acceptable to the Representatives, dated the date hereof and the Closing Date, of Deloitte &amp; Touche LLP, confirming that they are a registered public accounting firm and independent public accountants within the meaning of the Securities Laws and containing statements and information of the type customarily included in accountants’ “comfort letters” to underwriters with respect to the financial statements and certain financial information of the Company and its consolidated subsidiaries contained or incorporated by reference in the Registration Statement, the General Disclosure Package and the Final Prospectus; provided that the letters delivered on the date hereof and the Closing Date, respectively, shall use a “cut-off” date no more than three business days prior to the date hereof and the Closing Date, respectively.</w:t>
      </w:r>
    </w:p>
    <w:p>
      <w:pPr>
        <w:spacing w:after="0" w:line="74"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Prospectus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 shall have been filed with the Commission in accordance with the Rules and Regulations and Section 5(a)</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8" w:right="459" w:bottom="1440" w:gutter="0" w:footer="0" w:header="0"/>
        </w:sectPr>
      </w:pPr>
    </w:p>
    <w:bookmarkStart w:id="25" w:name="page26"/>
    <w:bookmarkEnd w:id="25"/>
    <w:p>
      <w:pPr>
        <w:ind w:left="121" w:right="60" w:firstLine="408"/>
        <w:spacing w:after="0" w:line="266" w:lineRule="auto"/>
        <w:tabs>
          <w:tab w:leader="none" w:pos="78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stop order suspending the effectiveness of the Registration Statement or of any part thereof shall have been issued and no proceedings for that purpose shall have been instituted or, to the knowledge of the Company or any Underwriter, shall be contemplated by the Commission.</w:t>
      </w:r>
    </w:p>
    <w:p>
      <w:pPr>
        <w:spacing w:after="0" w:line="65" w:lineRule="exact"/>
        <w:rPr>
          <w:rFonts w:ascii="Times New Roman" w:cs="Times New Roman" w:eastAsia="Times New Roman" w:hAnsi="Times New Roman"/>
          <w:sz w:val="18"/>
          <w:szCs w:val="18"/>
          <w:color w:val="auto"/>
        </w:rPr>
      </w:pPr>
    </w:p>
    <w:p>
      <w:pPr>
        <w:ind w:left="241" w:hanging="241"/>
        <w:spacing w:after="0"/>
        <w:tabs>
          <w:tab w:leader="none" w:pos="2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Subsequent to the execution and delivery of this Agreement, there shall not have occurred:</w:t>
      </w:r>
    </w:p>
    <w:p>
      <w:pPr>
        <w:spacing w:after="0" w:line="119" w:lineRule="exact"/>
        <w:rPr>
          <w:rFonts w:ascii="Times New Roman" w:cs="Times New Roman" w:eastAsia="Times New Roman" w:hAnsi="Times New Roman"/>
          <w:sz w:val="18"/>
          <w:szCs w:val="18"/>
          <w:color w:val="auto"/>
        </w:rPr>
      </w:pPr>
    </w:p>
    <w:p>
      <w:pPr>
        <w:ind w:left="121" w:firstLine="408"/>
        <w:spacing w:after="0" w:line="266" w:lineRule="auto"/>
        <w:tabs>
          <w:tab w:leader="none" w:pos="73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any development or event involving a prospective change, in the financial condition, results of operations, business or properties of the Company and its subsidiaries, taken as a whole, which, in the reasonable judgment of the Representatives, is material and adverse and makes it impractical or inadvisable to market, or to enforce contracts for the sale of, the Offered Securities;</w:t>
      </w:r>
    </w:p>
    <w:p>
      <w:pPr>
        <w:spacing w:after="0" w:line="68" w:lineRule="exact"/>
        <w:rPr>
          <w:sz w:val="20"/>
          <w:szCs w:val="20"/>
          <w:color w:val="auto"/>
        </w:rPr>
      </w:pPr>
    </w:p>
    <w:p>
      <w:pPr>
        <w:ind w:left="121" w:right="160" w:firstLine="408"/>
        <w:spacing w:after="0" w:line="261" w:lineRule="auto"/>
        <w:tabs>
          <w:tab w:leader="none" w:pos="7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downgrading in the rating of any debt securities of the Company by any “nationally recognized statistical rating organization” (as defined for purposes of Section 3(a)(62) of the Exchange Act), or any public announcement that any such organization has under surveillance or review its rating of any debt securities of the Company (other than an announcement with positive implications of a possible upgrading, and no implication of a possible downgrading, of such rating);</w:t>
      </w:r>
    </w:p>
    <w:p>
      <w:pPr>
        <w:spacing w:after="0" w:line="71" w:lineRule="exact"/>
        <w:rPr>
          <w:rFonts w:ascii="Times New Roman" w:cs="Times New Roman" w:eastAsia="Times New Roman" w:hAnsi="Times New Roman"/>
          <w:sz w:val="18"/>
          <w:szCs w:val="18"/>
          <w:color w:val="auto"/>
        </w:rPr>
      </w:pPr>
    </w:p>
    <w:p>
      <w:pPr>
        <w:ind w:left="121" w:right="180" w:firstLine="408"/>
        <w:spacing w:after="0" w:line="261" w:lineRule="auto"/>
        <w:tabs>
          <w:tab w:leader="none" w:pos="8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U.S. or international financial, political or economic conditions or currency exchange rates or exchange controls the effect of which is such as to make it, in the reasonable judgment of the Representatives, is material and adverse and makes it impractical or inadvisable to market, or to enforce contracts for the sale of, the Offered Securities, whether in the primary market or in respect of dealings in the secondary market;</w:t>
      </w:r>
    </w:p>
    <w:p>
      <w:pPr>
        <w:spacing w:after="0" w:line="71" w:lineRule="exact"/>
        <w:rPr>
          <w:rFonts w:ascii="Times New Roman" w:cs="Times New Roman" w:eastAsia="Times New Roman" w:hAnsi="Times New Roman"/>
          <w:sz w:val="18"/>
          <w:szCs w:val="18"/>
          <w:color w:val="auto"/>
        </w:rPr>
      </w:pPr>
    </w:p>
    <w:p>
      <w:pPr>
        <w:ind w:left="121" w:right="700" w:firstLine="408"/>
        <w:spacing w:after="0" w:line="282" w:lineRule="auto"/>
        <w:tabs>
          <w:tab w:leader="none" w:pos="8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suspension or material limitation of trading in securities generally on the NASDAQ Stock Market, or any setting of minimum or maximum prices for trading on such exchange;</w:t>
      </w:r>
    </w:p>
    <w:p>
      <w:pPr>
        <w:spacing w:after="0" w:line="53" w:lineRule="exact"/>
        <w:rPr>
          <w:rFonts w:ascii="Times New Roman" w:cs="Times New Roman" w:eastAsia="Times New Roman" w:hAnsi="Times New Roman"/>
          <w:sz w:val="18"/>
          <w:szCs w:val="18"/>
          <w:color w:val="auto"/>
        </w:rPr>
      </w:pPr>
    </w:p>
    <w:p>
      <w:pPr>
        <w:ind w:left="781" w:hanging="252"/>
        <w:spacing w:after="0"/>
        <w:tabs>
          <w:tab w:leader="none" w:pos="7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suspension of trading of any securities of the Company on any exchange or in the over-the-counter market;</w:t>
      </w:r>
    </w:p>
    <w:p>
      <w:pPr>
        <w:spacing w:after="0" w:line="117" w:lineRule="exact"/>
        <w:rPr>
          <w:rFonts w:ascii="Times New Roman" w:cs="Times New Roman" w:eastAsia="Times New Roman" w:hAnsi="Times New Roman"/>
          <w:sz w:val="18"/>
          <w:szCs w:val="18"/>
          <w:color w:val="auto"/>
        </w:rPr>
      </w:pPr>
    </w:p>
    <w:p>
      <w:pPr>
        <w:ind w:left="841" w:hanging="312"/>
        <w:spacing w:after="0"/>
        <w:tabs>
          <w:tab w:leader="none" w:pos="8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banking moratorium declared by any U.S. federal or New York authorities;</w:t>
      </w:r>
    </w:p>
    <w:p>
      <w:pPr>
        <w:spacing w:after="0" w:line="117" w:lineRule="exact"/>
        <w:rPr>
          <w:rFonts w:ascii="Times New Roman" w:cs="Times New Roman" w:eastAsia="Times New Roman" w:hAnsi="Times New Roman"/>
          <w:sz w:val="18"/>
          <w:szCs w:val="18"/>
          <w:color w:val="auto"/>
        </w:rPr>
      </w:pPr>
    </w:p>
    <w:p>
      <w:pPr>
        <w:ind w:left="121" w:right="420" w:firstLine="408"/>
        <w:spacing w:after="0" w:line="282" w:lineRule="auto"/>
        <w:tabs>
          <w:tab w:leader="none" w:pos="87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disruption of settlements of securities, payment, or clearance services in the United States, in the Clearstream or Euroclear systems in Europe, or in any other country where such securities are listed; or</w:t>
      </w:r>
    </w:p>
    <w:p>
      <w:pPr>
        <w:spacing w:after="0" w:line="94"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141"/>
          </w:cols>
          <w:pgMar w:left="1299" w:top="270" w:right="459" w:bottom="1440" w:gutter="0" w:footer="0" w:header="0"/>
        </w:sectPr>
      </w:pPr>
    </w:p>
    <w:bookmarkStart w:id="26" w:name="page27"/>
    <w:bookmarkEnd w:id="26"/>
    <w:p>
      <w:pPr>
        <w:ind w:left="540" w:right="120" w:firstLine="408"/>
        <w:spacing w:after="0" w:line="261" w:lineRule="auto"/>
        <w:tabs>
          <w:tab w:leader="none" w:pos="134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attack on, or outbreak or escalation of hostilities or act of terrorism involving, the United States, any declaration of war by Congress or any other national or international calamity or emergency if, in the judgment of the Representatives, the effect of any such attack, outbreak, escalation, act, declaration, calamity or emergency is material and adverse, such as to make it impractical or inadvisable to market, or to enforce contracts for the sale of, the Offered Securities or to enforce contracts for the sale of the Offered Securities.</w:t>
      </w:r>
    </w:p>
    <w:p>
      <w:pPr>
        <w:spacing w:after="0" w:line="69" w:lineRule="exact"/>
        <w:rPr>
          <w:rFonts w:ascii="Times New Roman" w:cs="Times New Roman" w:eastAsia="Times New Roman" w:hAnsi="Times New Roman"/>
          <w:sz w:val="18"/>
          <w:szCs w:val="18"/>
          <w:color w:val="auto"/>
        </w:rPr>
      </w:pPr>
    </w:p>
    <w:p>
      <w:pPr>
        <w:jc w:val="both"/>
        <w:ind w:right="40" w:firstLine="419"/>
        <w:spacing w:after="0" w:line="261" w:lineRule="auto"/>
        <w:tabs>
          <w:tab w:leader="none" w:pos="6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and Negative Assurance Letter of Counsel for Company</w:t>
      </w:r>
      <w:r>
        <w:rPr>
          <w:rFonts w:ascii="Times New Roman" w:cs="Times New Roman" w:eastAsia="Times New Roman" w:hAnsi="Times New Roman"/>
          <w:sz w:val="18"/>
          <w:szCs w:val="18"/>
          <w:color w:val="auto"/>
        </w:rPr>
        <w:t>. The Representatives shall have received an opinion and negative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assurance letter, each dated as of the Closing Date, of Foley &amp; Lardner LLP, counsel for the Company, substantially to the effect set forth in </w:t>
      </w:r>
      <w:r>
        <w:rPr>
          <w:rFonts w:ascii="Times New Roman" w:cs="Times New Roman" w:eastAsia="Times New Roman" w:hAnsi="Times New Roman"/>
          <w:sz w:val="18"/>
          <w:szCs w:val="18"/>
          <w:b w:val="1"/>
          <w:bCs w:val="1"/>
          <w:color w:val="auto"/>
        </w:rPr>
        <w:t xml:space="preserve">Exhibit A-1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Exhibit A-2 </w:t>
      </w:r>
      <w:r>
        <w:rPr>
          <w:rFonts w:ascii="Times New Roman" w:cs="Times New Roman" w:eastAsia="Times New Roman" w:hAnsi="Times New Roman"/>
          <w:sz w:val="18"/>
          <w:szCs w:val="18"/>
          <w:color w:val="auto"/>
        </w:rPr>
        <w:t>hereto, respectively. The Company intends and agrees that Foley &amp; Lardner LLP is authorized to rely upon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made by the Company in this Agreement in connection with rendering its opinions pursuant to this subsection.</w:t>
      </w:r>
    </w:p>
    <w:p>
      <w:pPr>
        <w:spacing w:after="0" w:line="71" w:lineRule="exact"/>
        <w:rPr>
          <w:rFonts w:ascii="Times New Roman" w:cs="Times New Roman" w:eastAsia="Times New Roman" w:hAnsi="Times New Roman"/>
          <w:sz w:val="18"/>
          <w:szCs w:val="18"/>
          <w:color w:val="auto"/>
        </w:rPr>
      </w:pPr>
    </w:p>
    <w:p>
      <w:pPr>
        <w:ind w:right="600" w:firstLine="419"/>
        <w:spacing w:after="0" w:line="284" w:lineRule="auto"/>
        <w:tabs>
          <w:tab w:leader="none" w:pos="6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Company’s General Counsel</w:t>
      </w:r>
      <w:r>
        <w:rPr>
          <w:rFonts w:ascii="Times New Roman" w:cs="Times New Roman" w:eastAsia="Times New Roman" w:hAnsi="Times New Roman"/>
          <w:sz w:val="18"/>
          <w:szCs w:val="18"/>
          <w:color w:val="auto"/>
        </w:rPr>
        <w:t>. The Representatives shall have received an opinion, dated as of the Closing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general counsel or any assistant general counsel, substantially to the effect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hereto.</w:t>
      </w:r>
    </w:p>
    <w:p>
      <w:pPr>
        <w:spacing w:after="0" w:line="50" w:lineRule="exact"/>
        <w:rPr>
          <w:rFonts w:ascii="Times New Roman" w:cs="Times New Roman" w:eastAsia="Times New Roman" w:hAnsi="Times New Roman"/>
          <w:sz w:val="18"/>
          <w:szCs w:val="18"/>
          <w:color w:val="auto"/>
        </w:rPr>
      </w:pPr>
    </w:p>
    <w:p>
      <w:pPr>
        <w:ind w:firstLine="419"/>
        <w:spacing w:after="0" w:line="258" w:lineRule="auto"/>
        <w:tabs>
          <w:tab w:leader="none" w:pos="6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and Negative Assurance Letter of Counsel for Underwriters</w:t>
      </w:r>
      <w:r>
        <w:rPr>
          <w:rFonts w:ascii="Times New Roman" w:cs="Times New Roman" w:eastAsia="Times New Roman" w:hAnsi="Times New Roman"/>
          <w:sz w:val="18"/>
          <w:szCs w:val="18"/>
          <w:color w:val="auto"/>
        </w:rPr>
        <w:t>. The Representatives shall have received from Davis Polk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Wardwell LLP, counsel for the Underwriters, an opinion and negative assurance letter, dated as of the Closing Date, with respect to such matters as the Representatives may require, and the Company shall have furnished to such counsel such documents as they request for the purpose of enabling them to pass upon such matters. In rendering such opinion, Davis Polk &amp; Wardwell LLP may rely as to all matters governed by Wisconsin law upon the opinions of the general counsel or assistant general counsel to the Company and Foley &amp; Lardner LLP.</w:t>
      </w:r>
    </w:p>
    <w:p>
      <w:pPr>
        <w:spacing w:after="0" w:line="75" w:lineRule="exact"/>
        <w:rPr>
          <w:rFonts w:ascii="Times New Roman" w:cs="Times New Roman" w:eastAsia="Times New Roman" w:hAnsi="Times New Roman"/>
          <w:sz w:val="18"/>
          <w:szCs w:val="18"/>
          <w:color w:val="auto"/>
        </w:rPr>
      </w:pPr>
    </w:p>
    <w:p>
      <w:pPr>
        <w:ind w:right="100" w:firstLine="419"/>
        <w:spacing w:after="0" w:line="254" w:lineRule="auto"/>
        <w:tabs>
          <w:tab w:leader="none" w:pos="6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The Representatives shall have received a certificate, dated as of the Closing Date, of an executive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a principal financial or accounting officer of the Company in which such officers shall state that: (i) the representations and warranties of the Company in this Agreement are true and correct; (ii) the Company has complied in all material respects with all agreements and satisfied all conditions on its part to be performed or satisfied hereunder at or prior to the Closing Date; (iii) no stop order suspending the effectiveness of the Registration Statement has been issued and no proceedings for that purpose have been instituted or, to their knowledge, are threatened by the Commission; and (iv) subsequent to the respective dates of the most recent financial statements in the Registration Statement, the General Disclosure Package and the Final Prospectus, there has been no material adverse change, nor any development or event involving a prospective material adverse change, in the financial condition, results of operations, business or properties of the Company and its subsidiaries, taken as a whole, except as set forth in the Registration Statement, the General Disclosure Package and the Final Prospectus.</w:t>
      </w:r>
    </w:p>
    <w:p>
      <w:pPr>
        <w:spacing w:after="0" w:line="1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80"/>
          </w:cols>
          <w:pgMar w:left="880" w:top="270" w:right="439" w:bottom="1440" w:gutter="0" w:footer="0" w:header="0"/>
        </w:sectPr>
      </w:pPr>
    </w:p>
    <w:bookmarkStart w:id="27" w:name="page28"/>
    <w:bookmarkEnd w:id="27"/>
    <w:p>
      <w:pPr>
        <w:ind w:left="440" w:right="160" w:firstLine="419"/>
        <w:spacing w:after="0" w:line="284" w:lineRule="auto"/>
        <w:tabs>
          <w:tab w:leader="none" w:pos="11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w:t>
      </w:r>
      <w:r>
        <w:rPr>
          <w:rFonts w:ascii="Times New Roman" w:cs="Times New Roman" w:eastAsia="Times New Roman" w:hAnsi="Times New Roman"/>
          <w:sz w:val="18"/>
          <w:szCs w:val="18"/>
          <w:color w:val="auto"/>
        </w:rPr>
        <w:t>. The Indenture shall have been duly executed and delivered, and the Underwriters shall have received copies, conformed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thereof.</w:t>
      </w:r>
    </w:p>
    <w:p>
      <w:pPr>
        <w:spacing w:after="0" w:line="50" w:lineRule="exact"/>
        <w:rPr>
          <w:rFonts w:ascii="Times New Roman" w:cs="Times New Roman" w:eastAsia="Times New Roman" w:hAnsi="Times New Roman"/>
          <w:sz w:val="18"/>
          <w:szCs w:val="18"/>
          <w:color w:val="auto"/>
        </w:rPr>
      </w:pPr>
    </w:p>
    <w:p>
      <w:pPr>
        <w:ind w:left="440" w:right="100" w:firstLine="419"/>
        <w:spacing w:after="0" w:line="284" w:lineRule="auto"/>
        <w:tabs>
          <w:tab w:leader="none" w:pos="10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w:t>
      </w:r>
      <w:r>
        <w:rPr>
          <w:rFonts w:ascii="Times New Roman" w:cs="Times New Roman" w:eastAsia="Times New Roman" w:hAnsi="Times New Roman"/>
          <w:sz w:val="18"/>
          <w:szCs w:val="18"/>
          <w:color w:val="auto"/>
        </w:rPr>
        <w:t>. On or prior to the Closing Date, the Offered Securities shall be eligible for clearance and settlement through Clearstream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Euroclear.</w:t>
      </w:r>
    </w:p>
    <w:p>
      <w:pPr>
        <w:spacing w:after="0" w:line="50"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On or prior to the Closing Date, an application for the listing of the Offered Securities shall have been submitted to the</w:t>
      </w:r>
    </w:p>
    <w:p>
      <w:pPr>
        <w:spacing w:after="0" w:line="29"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w:t>
      </w:r>
    </w:p>
    <w:p>
      <w:pPr>
        <w:spacing w:after="0" w:line="20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Representatives may waive on behalf of the Underwriters compliance with any conditions to the obligations of the Underwriters hereunder, whether in respect of the Closing Date or otherwise.</w:t>
      </w:r>
    </w:p>
    <w:p>
      <w:pPr>
        <w:spacing w:after="0" w:line="160" w:lineRule="exact"/>
        <w:rPr>
          <w:sz w:val="20"/>
          <w:szCs w:val="20"/>
          <w:color w:val="auto"/>
        </w:rPr>
      </w:pPr>
    </w:p>
    <w:p>
      <w:pPr>
        <w:ind w:left="620" w:hanging="184"/>
        <w:spacing w:after="0"/>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2" w:lineRule="auto"/>
        <w:tabs>
          <w:tab w:leader="none" w:pos="110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The Company will indemnify and hold harmless each Underwriter, its affiliates and each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partners, members, directors, officers, employees, agents, affiliates and each person, if any, who controls such Underwriter within the meaning of Section 15 of the Act or Section 20 of the Exchange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each as amended or supplemented, or any Issuer Free Writing Prospectus or arise out of or are based upon the omission or alleged omission of a material fact required to be stated therein or necessary in order to make the statements therein (in the case of any Statutory Prospectus, the Final Prospectus or any Issuer Free Writing Prospectus, in the light of the circumstances under which they were made) not misleading, and will reimburse each Indemnified Party for any legal or other expenses reasonably incurred by such Indemnified Party in connection with investigating or defending against any such loss, claim, damage, liability, action, litigation, investigation or proceeding (whether or not such Indemnified Party is a party thereto), whether threatened or commenced, and in connection with the enforcement of this provision with respect to any of the above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based upon written information furnished to the Company by or on behalf of any Underwriter through the Representatives specifically for use therein, it being understood and agreed that the only such information furnished by any Underwriter consists of the information described as such in subsection (b) below.</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8" w:right="459" w:bottom="1440" w:gutter="0" w:footer="0" w:header="0"/>
        </w:sectPr>
      </w:pPr>
    </w:p>
    <w:bookmarkStart w:id="28" w:name="page29"/>
    <w:bookmarkEnd w:id="28"/>
    <w:p>
      <w:pPr>
        <w:ind w:firstLine="419"/>
        <w:spacing w:after="0" w:line="252" w:lineRule="auto"/>
        <w:tabs>
          <w:tab w:leader="none" w:pos="6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of Company</w:t>
      </w:r>
      <w:r>
        <w:rPr>
          <w:rFonts w:ascii="Times New Roman" w:cs="Times New Roman" w:eastAsia="Times New Roman" w:hAnsi="Times New Roman"/>
          <w:sz w:val="18"/>
          <w:szCs w:val="18"/>
          <w:color w:val="auto"/>
        </w:rPr>
        <w:t>. Each Underwriter will, severally and not jointly, indemnify and hold harmless the Company, and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or employees and each person, if any, who controls the Company within the meaning of Section 15 of the Act or Section 20 of the Exchange Act (each, an “</w:t>
      </w:r>
      <w:r>
        <w:rPr>
          <w:rFonts w:ascii="Times New Roman" w:cs="Times New Roman" w:eastAsia="Times New Roman" w:hAnsi="Times New Roman"/>
          <w:sz w:val="18"/>
          <w:szCs w:val="18"/>
          <w:b w:val="1"/>
          <w:bCs w:val="1"/>
          <w:color w:val="auto"/>
        </w:rPr>
        <w:t>Underwriter Indemnified Party</w:t>
      </w:r>
      <w:r>
        <w:rPr>
          <w:rFonts w:ascii="Times New Roman" w:cs="Times New Roman" w:eastAsia="Times New Roman" w:hAnsi="Times New Roman"/>
          <w:sz w:val="18"/>
          <w:szCs w:val="18"/>
          <w:color w:val="auto"/>
        </w:rPr>
        <w:t>”),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each as amended or supplemented, or any Issuer Free Writing Prospectus, or arise out of or are based upon the omission or alleged omission of a material fact required to be stated therein or necessary in order to make the statements therein (in the case of any Statutory Prospectus, the Final Prospectus or any Issuer Free Writing Prospectus, in the light of the circumstances under which they were made) not misleading, in each case to the extent, but only to the extent, that such untrue statement or alleged untrue statement or omission or alleged omission was based upon written information furnished to the Company by or on behalf of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(i) the legal and marketing names of the Underwriters on the front and back cover pages of the Final Prospectus and in the table showing the principal amounts of Offered Securities purchased by the Underwriters under the caption “Underwriting (Conflicts of Interest),” (ii) the information contained in the second paragraph following the table showing the principal amounts of Offered Securities purchased by the Underwriters under the caption “Underwriting (Conflicts of Interest),” (iii) the fifth, sixth and seventh paragraphs following the table showing the underwriting discounts and commissions under the caption “Underwriting (Conflicts of Interest),” and (iv) the first sentence of the first paragraph under the caption “Underwriting (Conflicts of Interest)—Other Relationships.”</w:t>
      </w:r>
    </w:p>
    <w:p>
      <w:pPr>
        <w:spacing w:after="0" w:line="79" w:lineRule="exact"/>
        <w:rPr>
          <w:rFonts w:ascii="Times New Roman" w:cs="Times New Roman" w:eastAsia="Times New Roman" w:hAnsi="Times New Roman"/>
          <w:sz w:val="18"/>
          <w:szCs w:val="18"/>
          <w:color w:val="auto"/>
        </w:rPr>
      </w:pPr>
    </w:p>
    <w:p>
      <w:pPr>
        <w:ind w:right="20" w:firstLine="419"/>
        <w:spacing w:after="0" w:line="267" w:lineRule="auto"/>
        <w:tabs>
          <w:tab w:leader="none" w:pos="66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Promptly after receipt by an indemnified party under this Section 8 of notice of the commencement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action, such indemnified party will, if a claim in respect thereof is to be made against the indemnifying party under subsection (a) or (b) above, notify the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0"/>
          </w:cols>
          <w:pgMar w:left="880" w:top="268" w:right="459" w:bottom="1440" w:gutter="0" w:footer="0" w:header="0"/>
        </w:sectPr>
      </w:pPr>
    </w:p>
    <w:bookmarkStart w:id="29" w:name="page30"/>
    <w:bookmarkEnd w:id="2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rights or defenses) by such failure.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77" w:lineRule="exact"/>
        <w:rPr>
          <w:sz w:val="20"/>
          <w:szCs w:val="20"/>
          <w:color w:val="auto"/>
        </w:rPr>
      </w:pPr>
    </w:p>
    <w:p>
      <w:pPr>
        <w:ind w:right="120" w:firstLine="419"/>
        <w:spacing w:after="0" w:line="253"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If the indemnification provided for in this Section 8 is unavailable or insufficient to hold harmless an indemnified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0"/>
          </w:cols>
          <w:pgMar w:left="880" w:top="270" w:right="459" w:bottom="1440" w:gutter="0" w:footer="0" w:header="0"/>
        </w:sectPr>
      </w:pPr>
    </w:p>
    <w:bookmarkStart w:id="30" w:name="page31"/>
    <w:bookmarkEnd w:id="30"/>
    <w:p>
      <w:pPr>
        <w:ind w:left="420"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Section 8(d) were determined by pro rata allocation (even if the Underwriters were treated as one entity for such purpose) or by any other method of allocation which does not take account of the equitable considerations referred to in this Section 8(d).</w:t>
      </w:r>
    </w:p>
    <w:p>
      <w:pPr>
        <w:spacing w:after="0" w:line="192" w:lineRule="exact"/>
        <w:rPr>
          <w:sz w:val="20"/>
          <w:szCs w:val="20"/>
          <w:color w:val="auto"/>
        </w:rPr>
      </w:pPr>
    </w:p>
    <w:p>
      <w:pPr>
        <w:ind w:left="-20" w:firstLine="436"/>
        <w:spacing w:after="0" w:line="253" w:lineRule="auto"/>
        <w:tabs>
          <w:tab w:leader="none" w:pos="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 of Underwriters</w:t>
      </w:r>
      <w:r>
        <w:rPr>
          <w:rFonts w:ascii="Times New Roman" w:cs="Times New Roman" w:eastAsia="Times New Roman" w:hAnsi="Times New Roman"/>
          <w:sz w:val="18"/>
          <w:szCs w:val="18"/>
          <w:color w:val="auto"/>
        </w:rPr>
        <w:t>. If any Underwriter or Underwriters shall default in the obligation to purchase Offered Securities hereunder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of the Offered Securities that such defaulting Underwriter or Underwriters agreed but failed to purchase does not exceed 10% of the total principal amount of the Offered Securities that the Underwriters are obligated to purchase on the Closing Date, the Representatives may make arrangements satisfactory to the Company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 or Underwriters agreed but failed to purchase on such Closing Date. If any Underwriter or Underwriters shall so default and the aggregate principal amount of the Offered Securities with respect to which such default or defaults occur exceeds 10% of the total principal amount of the Offered Securities that the Underwriters are obligated to purchase on the Closing Date and arrangements satisfactory to the Representatives and the Company for the purchase of such Offered Securities by other persons are not made within 36 hours after such default, this Agreement will terminate without liability on the part of any non-defaulting Underwriter or the Company, except as provided in Section 10. As used in this Agreement, the term “Underwriter” includes any person substituted for an Underwriter under this Section. Nothing herein will relieve a defaulting Underwriter from liability for its default.</w:t>
      </w:r>
    </w:p>
    <w:p>
      <w:pPr>
        <w:spacing w:after="0" w:line="189" w:lineRule="exact"/>
        <w:rPr>
          <w:rFonts w:ascii="Times New Roman" w:cs="Times New Roman" w:eastAsia="Times New Roman" w:hAnsi="Times New Roman"/>
          <w:sz w:val="18"/>
          <w:szCs w:val="18"/>
          <w:color w:val="auto"/>
        </w:rPr>
      </w:pPr>
    </w:p>
    <w:p>
      <w:pPr>
        <w:ind w:left="-20" w:firstLine="436"/>
        <w:spacing w:after="0" w:line="261" w:lineRule="auto"/>
        <w:tabs>
          <w:tab w:leader="none" w:pos="6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 of Certain Representations and Obligations</w:t>
      </w:r>
      <w:r>
        <w:rPr>
          <w:rFonts w:ascii="Times New Roman" w:cs="Times New Roman" w:eastAsia="Times New Roman" w:hAnsi="Times New Roman"/>
          <w:sz w:val="18"/>
          <w:szCs w:val="18"/>
          <w:color w:val="auto"/>
        </w:rPr>
        <w:t>. The respective indemnities, agreements, representations, warranties and other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or its officers and of the several Underwriters set forth in or made pursuant to this Agreement will remain in full force and effect, regardless of any investigation, or statement as to the results thereof, made by or on behalf of any Underwriter, the Company or any of its representatives, officers or directors or any controlling person, and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60" w:top="270" w:right="479" w:bottom="1440" w:gutter="0" w:footer="0" w:header="0"/>
        </w:sectPr>
      </w:pPr>
    </w:p>
    <w:bookmarkStart w:id="31" w:name="page32"/>
    <w:bookmarkEnd w:id="31"/>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survive delivery of and payment for the Offered Securities. If the purchase of the Offered Securities by the Underwriters is not consummated for any reason other than solely because of the termination of this Agreement pursuant to Section 9 hereof, the Company will reimburse the Underwriters for all documented out-of-pocket expenses (including reasonable and documented fees and disbursements of counsel) reasonably incurred by them in connection with the offering of the Offered Securities, and the respective obligations of the Company and the Underwriters pursuant to Section 8 hereof shall remain in effect. In addition, if any Offered Securities have been purchased hereunder, the representations and warranties in Section 2 and all obligations under Section 5 shall also remain in effect.</w:t>
      </w:r>
    </w:p>
    <w:p>
      <w:pPr>
        <w:spacing w:after="0" w:line="185" w:lineRule="exact"/>
        <w:rPr>
          <w:sz w:val="20"/>
          <w:szCs w:val="20"/>
          <w:color w:val="auto"/>
        </w:rPr>
      </w:pPr>
    </w:p>
    <w:p>
      <w:pPr>
        <w:ind w:left="700" w:hanging="264"/>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will be in writing and:</w:t>
      </w:r>
    </w:p>
    <w:p>
      <w:pPr>
        <w:spacing w:after="0" w:line="13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to the Underwriters, will be mailed, delivered or transmitted via facsimile or email and confirmed to the Representatives at:</w:t>
      </w:r>
    </w:p>
    <w:p>
      <w:pPr>
        <w:spacing w:after="0" w:line="27" w:lineRule="exact"/>
        <w:rPr>
          <w:rFonts w:ascii="Times New Roman" w:cs="Times New Roman" w:eastAsia="Times New Roman" w:hAnsi="Times New Roman"/>
          <w:sz w:val="18"/>
          <w:szCs w:val="18"/>
          <w:color w:val="auto"/>
        </w:rPr>
      </w:pPr>
    </w:p>
    <w:p>
      <w:pPr>
        <w:ind w:left="14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Citigroup Global Markets Limited, Citigroup Centre, Canada Square, Canary Wharf, London E14 5LB, United Kingdom, Attention: Debt Syndicate Desk, Facsimile: +44 20 7986 1927; (ii) J.P. Morgan Securities plc, 25 Bank Street, Canary Wharf, London E14 5JP, United Kingdom, Attention: Head of International Syndicate, Email: </w:t>
      </w:r>
      <w:r>
        <w:rPr>
          <w:rFonts w:ascii="Times New Roman" w:cs="Times New Roman" w:eastAsia="Times New Roman" w:hAnsi="Times New Roman"/>
          <w:sz w:val="18"/>
          <w:szCs w:val="18"/>
          <w:u w:val="single" w:color="auto"/>
          <w:color w:val="auto"/>
        </w:rPr>
        <w:t>emea_syndicate@jpmorgan.com</w:t>
      </w:r>
      <w:r>
        <w:rPr>
          <w:rFonts w:ascii="Times New Roman" w:cs="Times New Roman" w:eastAsia="Times New Roman" w:hAnsi="Times New Roman"/>
          <w:sz w:val="18"/>
          <w:szCs w:val="18"/>
          <w:color w:val="auto"/>
        </w:rPr>
        <w:t xml:space="preserve">; (iii) TD Global Finance unlimited company, 5th Floor, One Molesworth Street, Dublin 2, D02 RF29, Ireland, Attention: Head of Syndicate &amp; Origination, Email: </w:t>
      </w:r>
      <w:r>
        <w:rPr>
          <w:rFonts w:ascii="Times New Roman" w:cs="Times New Roman" w:eastAsia="Times New Roman" w:hAnsi="Times New Roman"/>
          <w:sz w:val="18"/>
          <w:szCs w:val="18"/>
          <w:u w:val="single" w:color="auto"/>
          <w:color w:val="auto"/>
        </w:rPr>
        <w:t>transactionadvisorygroup@tdsecurities.com</w:t>
      </w:r>
      <w:r>
        <w:rPr>
          <w:rFonts w:ascii="Times New Roman" w:cs="Times New Roman" w:eastAsia="Times New Roman" w:hAnsi="Times New Roman"/>
          <w:sz w:val="18"/>
          <w:szCs w:val="18"/>
          <w:color w:val="auto"/>
        </w:rPr>
        <w:t xml:space="preserve">, Telephone: +353 1 267 6000 and (iv) Wells Fargo Securities International Limited, 33 King William Street, London EC4R 9AT, United Kingdom, Attention: DCM &amp; Syndicate, Email: </w:t>
      </w:r>
      <w:r>
        <w:rPr>
          <w:rFonts w:ascii="Times New Roman" w:cs="Times New Roman" w:eastAsia="Times New Roman" w:hAnsi="Times New Roman"/>
          <w:sz w:val="18"/>
          <w:szCs w:val="18"/>
          <w:u w:val="single" w:color="auto"/>
          <w:color w:val="auto"/>
        </w:rPr>
        <w:t>damon.mahon@wellsfargo.com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bradley.j.cooper@wellsfargo.com</w:t>
      </w:r>
      <w:r>
        <w:rPr>
          <w:rFonts w:ascii="Times New Roman" w:cs="Times New Roman" w:eastAsia="Times New Roman" w:hAnsi="Times New Roman"/>
          <w:sz w:val="18"/>
          <w:szCs w:val="18"/>
          <w:color w:val="auto"/>
        </w:rPr>
        <w:t>, Telephone: +44 20 3942 8530.</w:t>
      </w:r>
    </w:p>
    <w:p>
      <w:pPr>
        <w:spacing w:after="0" w:line="93" w:lineRule="exact"/>
        <w:rPr>
          <w:rFonts w:ascii="Times New Roman" w:cs="Times New Roman" w:eastAsia="Times New Roman" w:hAnsi="Times New Roman"/>
          <w:sz w:val="18"/>
          <w:szCs w:val="18"/>
          <w:color w:val="auto"/>
        </w:rPr>
      </w:pPr>
    </w:p>
    <w:p>
      <w:pPr>
        <w:ind w:left="1420" w:right="220" w:hanging="439"/>
        <w:spacing w:after="0" w:line="266" w:lineRule="auto"/>
        <w:tabs>
          <w:tab w:leader="none" w:pos="1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sent to the Company, will be mailed, delivered or transmitted via email and confirmed to it at Fiserv, Inc., 600 N. Vel R. Phillips Avenue, Milwaukee, Wisconsin 53203, Attention: Eric C. Nelson, SVP, General Counsel and Secretary, and Ryan Smith, Senior Vice President, Global Tax and Treasury, Email: Eric.Nelson@fiserv.com and </w:t>
      </w:r>
      <w:r>
        <w:rPr>
          <w:rFonts w:ascii="Times New Roman" w:cs="Times New Roman" w:eastAsia="Times New Roman" w:hAnsi="Times New Roman"/>
          <w:sz w:val="18"/>
          <w:szCs w:val="18"/>
          <w:u w:val="single" w:color="auto"/>
          <w:color w:val="auto"/>
        </w:rPr>
        <w:t>Ryan.Smith@fiserv.com</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40" w:right="380"/>
        <w:spacing w:after="0" w:line="282" w:lineRule="auto"/>
        <w:rPr>
          <w:sz w:val="20"/>
          <w:szCs w:val="20"/>
          <w:color w:val="auto"/>
        </w:rPr>
      </w:pPr>
      <w:r>
        <w:rPr>
          <w:rFonts w:ascii="Times New Roman" w:cs="Times New Roman" w:eastAsia="Times New Roman" w:hAnsi="Times New Roman"/>
          <w:sz w:val="18"/>
          <w:szCs w:val="18"/>
          <w:color w:val="auto"/>
        </w:rPr>
        <w:t>provided, however, that any notice to an Underwriter pursuant to Section 8 will be mailed, delivered or transmitted via facsimile or email and confirmed to such Underwriter.</w:t>
      </w:r>
    </w:p>
    <w:p>
      <w:pPr>
        <w:spacing w:after="0" w:line="160" w:lineRule="exact"/>
        <w:rPr>
          <w:sz w:val="20"/>
          <w:szCs w:val="20"/>
          <w:color w:val="auto"/>
        </w:rPr>
      </w:pPr>
    </w:p>
    <w:p>
      <w:pPr>
        <w:ind w:right="700" w:firstLine="436"/>
        <w:spacing w:after="0" w:line="284" w:lineRule="auto"/>
        <w:tabs>
          <w:tab w:leader="none" w:pos="71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indemnified persons referred to in Section 8, and no other person will have any right or obligation hereunder.</w:t>
      </w:r>
    </w:p>
    <w:p>
      <w:pPr>
        <w:spacing w:after="0" w:line="158" w:lineRule="exact"/>
        <w:rPr>
          <w:rFonts w:ascii="Times New Roman" w:cs="Times New Roman" w:eastAsia="Times New Roman" w:hAnsi="Times New Roman"/>
          <w:sz w:val="18"/>
          <w:szCs w:val="18"/>
          <w:color w:val="auto"/>
        </w:rPr>
      </w:pPr>
    </w:p>
    <w:p>
      <w:pPr>
        <w:ind w:right="260" w:firstLine="436"/>
        <w:spacing w:after="0" w:line="284" w:lineRule="auto"/>
        <w:tabs>
          <w:tab w:leader="none" w:pos="71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of Underwriters</w:t>
      </w:r>
      <w:r>
        <w:rPr>
          <w:rFonts w:ascii="Times New Roman" w:cs="Times New Roman" w:eastAsia="Times New Roman" w:hAnsi="Times New Roman"/>
          <w:sz w:val="18"/>
          <w:szCs w:val="18"/>
          <w:color w:val="auto"/>
        </w:rPr>
        <w:t>. The Representatives will act for the several Underwriters in connection with this financing, and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taken by the Representatives jointly will be binding upon all the Underwriters.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2" w:name="page33"/>
    <w:bookmarkEnd w:id="32"/>
    <w:p>
      <w:pPr>
        <w:ind w:right="180" w:firstLine="436"/>
        <w:spacing w:after="0" w:line="284" w:lineRule="auto"/>
        <w:tabs>
          <w:tab w:leader="none" w:pos="7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counterparts shall together constitute one and the same Agreement.</w:t>
      </w:r>
    </w:p>
    <w:p>
      <w:pPr>
        <w:spacing w:after="0" w:line="15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0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Relationship</w:t>
      </w:r>
      <w:r>
        <w:rPr>
          <w:rFonts w:ascii="Times New Roman" w:cs="Times New Roman" w:eastAsia="Times New Roman" w:hAnsi="Times New Roman"/>
          <w:sz w:val="18"/>
          <w:szCs w:val="18"/>
          <w:color w:val="auto"/>
        </w:rPr>
        <w:t>. The Underwriters have been retained solely to act as underwriters in connection with the sale of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that no fiduciary, advisory or agency relationship between the Company on the one hand and the Underwriters on the other hand has been created in respect of any of the transactions contemplated by this Agreement, the Registration Statement, the General Disclosure Package and the Final Prospectus, irrespective of whether the Underwriters have advised or are advising the Company on other matters;</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67" w:lineRule="auto"/>
        <w:tabs>
          <w:tab w:leader="none" w:pos="111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Arm’s Length Negotiations</w:t>
      </w:r>
      <w:r>
        <w:rPr>
          <w:rFonts w:ascii="Times New Roman" w:cs="Times New Roman" w:eastAsia="Times New Roman" w:hAnsi="Times New Roman"/>
          <w:sz w:val="18"/>
          <w:szCs w:val="18"/>
          <w:color w:val="auto"/>
        </w:rPr>
        <w:t>. The price of the Offered Securities set forth in this Agreement was established by the Company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discussions and arm’s-length negotiations with the Representatives and the Company is capable of evaluating and understanding and understands and accepts the terms, risks and conditions of the transactions contemplated by this Agreement;</w:t>
      </w:r>
    </w:p>
    <w:p>
      <w:pPr>
        <w:spacing w:after="0" w:line="65" w:lineRule="exact"/>
        <w:rPr>
          <w:rFonts w:ascii="Times New Roman" w:cs="Times New Roman" w:eastAsia="Times New Roman" w:hAnsi="Times New Roman"/>
          <w:sz w:val="18"/>
          <w:szCs w:val="18"/>
          <w:color w:val="auto"/>
        </w:rPr>
      </w:pPr>
    </w:p>
    <w:p>
      <w:pPr>
        <w:ind w:left="440" w:right="20" w:firstLine="419"/>
        <w:spacing w:after="0" w:line="267" w:lineRule="auto"/>
        <w:tabs>
          <w:tab w:leader="none" w:pos="110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Obligation to Disclose</w:t>
      </w:r>
      <w:r>
        <w:rPr>
          <w:rFonts w:ascii="Times New Roman" w:cs="Times New Roman" w:eastAsia="Times New Roman" w:hAnsi="Times New Roman"/>
          <w:sz w:val="18"/>
          <w:szCs w:val="18"/>
          <w:color w:val="auto"/>
        </w:rPr>
        <w:t>. The Company has been advised that the Underwriters and their affiliates are engaged in a broad range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transactions which may involve interests that differ from those of the Company and that the Underwriters have no obligation to disclose such interests and transactions to the Company by virtue of any fiduciary, advisory or agency relationship; and</w:t>
      </w:r>
    </w:p>
    <w:p>
      <w:pPr>
        <w:spacing w:after="0" w:line="65" w:lineRule="exact"/>
        <w:rPr>
          <w:rFonts w:ascii="Times New Roman" w:cs="Times New Roman" w:eastAsia="Times New Roman" w:hAnsi="Times New Roman"/>
          <w:sz w:val="18"/>
          <w:szCs w:val="18"/>
          <w:color w:val="auto"/>
        </w:rPr>
      </w:pPr>
    </w:p>
    <w:p>
      <w:pPr>
        <w:ind w:left="440" w:right="460" w:firstLine="419"/>
        <w:spacing w:after="0" w:line="261" w:lineRule="auto"/>
        <w:tabs>
          <w:tab w:leader="none" w:pos="111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The Company waives, to the fullest extent permitted by law, any claims it may have against the Underwriters for breach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fiduciary duty or alleged breach of fiduciary duty and agrees that the Underwriters shall have no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laws of the State of New York.</w:t>
      </w:r>
    </w:p>
    <w:p>
      <w:pPr>
        <w:spacing w:after="0" w:line="22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Each of the parties hereto hereby submits to the non-exclusive jurisdiction of the Federal and state courts in the Borough of Manhattan in The City of New York in any suit or proceeding arising out of or relating to this Agreement or the transactions contemplated hereby. Each of the parties hereto irrevocably and unconditionally waives any objection to the laying of venue of any suit or proceeding arising out of or relating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8" w:right="459" w:bottom="1440" w:gutter="0" w:footer="0" w:header="0"/>
        </w:sectPr>
      </w:pPr>
    </w:p>
    <w:bookmarkStart w:id="33" w:name="page34"/>
    <w:bookmarkEnd w:id="33"/>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Each of the Company, the Representatives and the Underwriters hereby irrevocably waives, to the fullest extent permitted by applicable law, any and all right to trial by jury in any legal proceeding arising out of or relating to this Agreement or the transactions contemplated hereby.</w:t>
      </w:r>
    </w:p>
    <w:p>
      <w:pPr>
        <w:spacing w:after="0" w:line="160" w:lineRule="exact"/>
        <w:rPr>
          <w:sz w:val="20"/>
          <w:szCs w:val="20"/>
          <w:color w:val="auto"/>
        </w:rPr>
      </w:pPr>
    </w:p>
    <w:p>
      <w:pPr>
        <w:ind w:right="60" w:firstLine="436"/>
        <w:spacing w:after="0" w:line="257" w:lineRule="auto"/>
        <w:tabs>
          <w:tab w:leader="none" w:pos="71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Signature</w:t>
      </w:r>
      <w:r>
        <w:rPr>
          <w:rFonts w:ascii="Times New Roman" w:cs="Times New Roman" w:eastAsia="Times New Roman" w:hAnsi="Times New Roman"/>
          <w:sz w:val="18"/>
          <w:szCs w:val="18"/>
          <w:color w:val="auto"/>
        </w:rPr>
        <w:t>. The words “execution,” “signed,” “signature,” “delivery,” and words of like import in or relating to this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document to be signed in connection with this Agreement, shall be deemed to include electronic signatures (including .pdf file, .jpeg file or any electronic signature complying with the U.S. federal ESIGN Act of 2000, including Orbit, Adobe Sign, DocuSign, or any other similar platform),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2"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Contractual Recognition of EU Bail-in.</w:t>
      </w:r>
    </w:p>
    <w:p>
      <w:pPr>
        <w:spacing w:after="0" w:line="119"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and to the exclusion of any other term of this Agreement or any other agreements, arrangements, or understanding between the Underwriters and the Company, the Company acknowledges and accepts that a BRRD Liability arising under this Agreement may be subject to the exercise of Bail-in Powers by the Relevant Resolution Authority and acknowledges, accepts, and agrees to be bound by:</w:t>
      </w:r>
    </w:p>
    <w:p>
      <w:pPr>
        <w:spacing w:after="0" w:line="67" w:lineRule="exact"/>
        <w:rPr>
          <w:rFonts w:ascii="Times New Roman" w:cs="Times New Roman" w:eastAsia="Times New Roman" w:hAnsi="Times New Roman"/>
          <w:sz w:val="18"/>
          <w:szCs w:val="18"/>
          <w:color w:val="auto"/>
        </w:rPr>
      </w:pPr>
    </w:p>
    <w:p>
      <w:pPr>
        <w:ind w:left="980" w:right="340" w:firstLine="408"/>
        <w:spacing w:after="0" w:line="266" w:lineRule="auto"/>
        <w:tabs>
          <w:tab w:leader="none" w:pos="1596"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exercise of Bail-in Powers by the Relevant Resolution Authority in relation to any BRRD Liability of the Underwriters to the Company under this Agreement, that (without limitation) may include and result in any of the following, or some combination thereof:</w:t>
      </w:r>
    </w:p>
    <w:p>
      <w:pPr>
        <w:spacing w:after="0" w:line="67"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all, or a portion, of the BRRD Liability or outstanding amounts due thereon;</w:t>
      </w:r>
    </w:p>
    <w:p>
      <w:pPr>
        <w:spacing w:after="0" w:line="117" w:lineRule="exact"/>
        <w:rPr>
          <w:rFonts w:ascii="Times New Roman" w:cs="Times New Roman" w:eastAsia="Times New Roman" w:hAnsi="Times New Roman"/>
          <w:sz w:val="18"/>
          <w:szCs w:val="18"/>
          <w:color w:val="auto"/>
        </w:rPr>
      </w:pPr>
    </w:p>
    <w:p>
      <w:pPr>
        <w:ind w:left="1420" w:right="820" w:firstLine="391"/>
        <w:spacing w:after="0" w:line="282" w:lineRule="auto"/>
        <w:tabs>
          <w:tab w:leader="none" w:pos="2088"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or a portion, of the BRRD Liability into shares, other securities or other obligations of the Underwriters or another person (and the issue to or conferral on the Company of such shares, securities or obligations);</w:t>
      </w:r>
    </w:p>
    <w:p>
      <w:pPr>
        <w:spacing w:after="0" w:line="53"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BRRD Liability;</w:t>
      </w:r>
    </w:p>
    <w:p>
      <w:pPr>
        <w:spacing w:after="0" w:line="117" w:lineRule="exact"/>
        <w:rPr>
          <w:rFonts w:ascii="Times New Roman" w:cs="Times New Roman" w:eastAsia="Times New Roman" w:hAnsi="Times New Roman"/>
          <w:sz w:val="18"/>
          <w:szCs w:val="18"/>
          <w:color w:val="auto"/>
        </w:rPr>
      </w:pPr>
    </w:p>
    <w:p>
      <w:pPr>
        <w:ind w:left="1420" w:right="280" w:firstLine="391"/>
        <w:spacing w:after="0" w:line="282" w:lineRule="auto"/>
        <w:tabs>
          <w:tab w:leader="none" w:pos="2098"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the maturity or the dates on which any payments are due, including by suspending payment for a temporary period;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440" w:top="270" w:right="519" w:bottom="1440" w:gutter="0" w:footer="0" w:header="0"/>
        </w:sectPr>
      </w:pPr>
    </w:p>
    <w:bookmarkStart w:id="34" w:name="page35"/>
    <w:bookmarkEnd w:id="34"/>
    <w:p>
      <w:pPr>
        <w:ind w:left="544" w:right="320" w:firstLine="408"/>
        <w:spacing w:after="0" w:line="282" w:lineRule="auto"/>
        <w:tabs>
          <w:tab w:leader="none" w:pos="12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variation of the terms of this Agreement, as deemed necessary by the Relevant Resolution Authority, to give effect to the exercise of Bail-in Powers by the Relevant Resolution Authority.</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purposes of this Section 18,</w:t>
      </w:r>
    </w:p>
    <w:p>
      <w:pPr>
        <w:spacing w:after="0" w:line="113" w:lineRule="exact"/>
        <w:rPr>
          <w:sz w:val="20"/>
          <w:szCs w:val="20"/>
          <w:color w:val="auto"/>
        </w:rPr>
      </w:pPr>
    </w:p>
    <w:p>
      <w:pPr>
        <w:ind w:left="4"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in relation to a member state of the European Economic Area which has implemented, or which at any time implements, the BRRD, the relevant implementing law, regulation, rule or requirement as described in the EU Bail-in Legislation Schedule from time to time;</w:t>
      </w:r>
    </w:p>
    <w:p>
      <w:pPr>
        <w:spacing w:after="0" w:line="63"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Powers</w:t>
      </w:r>
      <w:r>
        <w:rPr>
          <w:rFonts w:ascii="Times New Roman" w:cs="Times New Roman" w:eastAsia="Times New Roman" w:hAnsi="Times New Roman"/>
          <w:sz w:val="18"/>
          <w:szCs w:val="18"/>
          <w:color w:val="auto"/>
        </w:rPr>
        <w:t>” means in relation to a member state of the European Economic Area which has implemented, or which at any time implements, the BRRD, any Write-down and Conversion Powers as defined in relation to the EU Bail-in Legislation;</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BRRD</w:t>
      </w:r>
      <w:r>
        <w:rPr>
          <w:rFonts w:ascii="Times New Roman" w:cs="Times New Roman" w:eastAsia="Times New Roman" w:hAnsi="Times New Roman"/>
          <w:sz w:val="18"/>
          <w:szCs w:val="18"/>
          <w:color w:val="auto"/>
        </w:rPr>
        <w:t>” means Directive 2014/59/EU establishing a framework for the recovery and resolution of credit institutions and investment firms;</w:t>
      </w:r>
    </w:p>
    <w:p>
      <w:pPr>
        <w:spacing w:after="0" w:line="117"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BRRD Liability</w:t>
      </w:r>
      <w:r>
        <w:rPr>
          <w:rFonts w:ascii="Times New Roman" w:cs="Times New Roman" w:eastAsia="Times New Roman" w:hAnsi="Times New Roman"/>
          <w:sz w:val="18"/>
          <w:szCs w:val="18"/>
          <w:color w:val="auto"/>
        </w:rPr>
        <w:t>” means a liability in respect of which the relevant Write Down and Conversion Powers under the applicable Bail-in Legislation may be exercised;</w:t>
      </w:r>
    </w:p>
    <w:p>
      <w:pPr>
        <w:spacing w:after="0" w:line="47"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document described as such, then in effect, and published by the Loan Market Association (or any successor person) from time to time at http://www.lma.eu.com/pages.aspx?p=499; and</w:t>
      </w:r>
    </w:p>
    <w:p>
      <w:pPr>
        <w:spacing w:after="0" w:line="47" w:lineRule="exact"/>
        <w:rPr>
          <w:sz w:val="20"/>
          <w:szCs w:val="20"/>
          <w:color w:val="auto"/>
        </w:rPr>
      </w:pPr>
    </w:p>
    <w:p>
      <w:pPr>
        <w:ind w:left="4" w:right="5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Resolution Authority</w:t>
      </w:r>
      <w:r>
        <w:rPr>
          <w:rFonts w:ascii="Times New Roman" w:cs="Times New Roman" w:eastAsia="Times New Roman" w:hAnsi="Times New Roman"/>
          <w:sz w:val="18"/>
          <w:szCs w:val="18"/>
          <w:color w:val="auto"/>
        </w:rPr>
        <w:t>” means the resolution authority with the ability to exercise any Bail-in Powers in relation to the relevant Underwriter.</w:t>
      </w:r>
    </w:p>
    <w:p>
      <w:pPr>
        <w:spacing w:after="0" w:line="157" w:lineRule="exact"/>
        <w:rPr>
          <w:sz w:val="20"/>
          <w:szCs w:val="20"/>
          <w:color w:val="auto"/>
        </w:rPr>
      </w:pPr>
    </w:p>
    <w:p>
      <w:pPr>
        <w:ind w:left="264" w:hanging="264"/>
        <w:spacing w:after="0"/>
        <w:tabs>
          <w:tab w:leader="none" w:pos="2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Contractual Recognition of U.K. Bail-in.</w:t>
      </w:r>
    </w:p>
    <w:p>
      <w:pPr>
        <w:spacing w:after="0" w:line="119"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67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and to the exclusion of any other term of this Agreement or any other agreements, arrangements, or understanding between the Underwriters and the Company, the Company acknowledges and accepts that a U.K. Bail-in Liability arising under this Agreement may be subject to the exercise of U.K. Bail-in Powers by the relevant U.K. resolution authority, and acknowledges, accepts, and agrees to be bound by:</w:t>
      </w:r>
    </w:p>
    <w:p>
      <w:pPr>
        <w:spacing w:after="0" w:line="71" w:lineRule="exact"/>
        <w:rPr>
          <w:rFonts w:ascii="Times New Roman" w:cs="Times New Roman" w:eastAsia="Times New Roman" w:hAnsi="Times New Roman"/>
          <w:sz w:val="18"/>
          <w:szCs w:val="18"/>
          <w:color w:val="auto"/>
        </w:rPr>
      </w:pPr>
    </w:p>
    <w:p>
      <w:pPr>
        <w:ind w:left="544" w:right="20" w:firstLine="408"/>
        <w:spacing w:after="0" w:line="266" w:lineRule="auto"/>
        <w:tabs>
          <w:tab w:leader="none" w:pos="1159"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exercise of U.K. Bail-in Powers by the relevant U.K. resolution authority in relation to any U.K. Bail-in Liability of the Underwriters to the Company under this Agreement, that (without limitation) may include and result in any of the following, or some combination thereof:</w:t>
      </w:r>
    </w:p>
    <w:p>
      <w:pPr>
        <w:spacing w:after="0" w:line="108"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04"/>
          </w:cols>
          <w:pgMar w:left="876" w:top="270" w:right="519" w:bottom="1440" w:gutter="0" w:footer="0" w:header="0"/>
        </w:sectPr>
      </w:pPr>
    </w:p>
    <w:bookmarkStart w:id="35" w:name="page36"/>
    <w:bookmarkEnd w:id="35"/>
    <w:p>
      <w:pPr>
        <w:ind w:left="1664" w:hanging="289"/>
        <w:spacing w:after="0"/>
        <w:tabs>
          <w:tab w:leader="none" w:pos="166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reduction of all, or a portion, of the U.K. Bail-in Liability or outstanding amounts due thereon;</w:t>
      </w:r>
    </w:p>
    <w:p>
      <w:pPr>
        <w:spacing w:after="0" w:line="117" w:lineRule="exact"/>
        <w:rPr>
          <w:rFonts w:ascii="Times New Roman" w:cs="Times New Roman" w:eastAsia="Times New Roman" w:hAnsi="Times New Roman"/>
          <w:sz w:val="18"/>
          <w:szCs w:val="18"/>
          <w:color w:val="auto"/>
        </w:rPr>
      </w:pPr>
    </w:p>
    <w:p>
      <w:pPr>
        <w:ind w:left="984" w:right="740" w:firstLine="391"/>
        <w:spacing w:after="0" w:line="282" w:lineRule="auto"/>
        <w:tabs>
          <w:tab w:leader="none" w:pos="165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or a portion, of the U.K. Bail-in Liability into shares, other securities or other obligations of Underwriters or another person (and the issue to or conferral on the Company of such shares, securities or obligations);</w:t>
      </w:r>
    </w:p>
    <w:p>
      <w:pPr>
        <w:spacing w:after="0" w:line="53" w:lineRule="exact"/>
        <w:rPr>
          <w:rFonts w:ascii="Times New Roman" w:cs="Times New Roman" w:eastAsia="Times New Roman" w:hAnsi="Times New Roman"/>
          <w:sz w:val="18"/>
          <w:szCs w:val="18"/>
          <w:color w:val="auto"/>
        </w:rPr>
      </w:pPr>
    </w:p>
    <w:p>
      <w:pPr>
        <w:ind w:left="1664" w:hanging="289"/>
        <w:spacing w:after="0"/>
        <w:tabs>
          <w:tab w:leader="none" w:pos="166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U.K. Bail-in Liability;</w:t>
      </w:r>
    </w:p>
    <w:p>
      <w:pPr>
        <w:spacing w:after="0" w:line="117" w:lineRule="exact"/>
        <w:rPr>
          <w:rFonts w:ascii="Times New Roman" w:cs="Times New Roman" w:eastAsia="Times New Roman" w:hAnsi="Times New Roman"/>
          <w:sz w:val="18"/>
          <w:szCs w:val="18"/>
          <w:color w:val="auto"/>
        </w:rPr>
      </w:pPr>
    </w:p>
    <w:p>
      <w:pPr>
        <w:ind w:left="984" w:right="340" w:firstLine="391"/>
        <w:spacing w:after="0" w:line="282" w:lineRule="auto"/>
        <w:tabs>
          <w:tab w:leader="none" w:pos="166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the maturity or the dates on which any payments are due, including by suspending payment for a temporary period;</w:t>
      </w:r>
    </w:p>
    <w:p>
      <w:pPr>
        <w:spacing w:after="0" w:line="53" w:lineRule="exact"/>
        <w:rPr>
          <w:rFonts w:ascii="Times New Roman" w:cs="Times New Roman" w:eastAsia="Times New Roman" w:hAnsi="Times New Roman"/>
          <w:sz w:val="18"/>
          <w:szCs w:val="18"/>
          <w:color w:val="auto"/>
        </w:rPr>
      </w:pPr>
    </w:p>
    <w:p>
      <w:pPr>
        <w:ind w:left="544" w:right="160" w:firstLine="408"/>
        <w:spacing w:after="0" w:line="282" w:lineRule="auto"/>
        <w:tabs>
          <w:tab w:leader="none" w:pos="12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this Agreement, as deemed necessary by the relevant U.K. resolution authority, to give effect to the exercise of U.K. Bail-in Powers by the relevant U.K. resolution authority.</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purposes of this Section 19,</w:t>
      </w:r>
    </w:p>
    <w:p>
      <w:pPr>
        <w:spacing w:after="0" w:line="113" w:lineRule="exact"/>
        <w:rPr>
          <w:sz w:val="20"/>
          <w:szCs w:val="20"/>
          <w:color w:val="auto"/>
        </w:rPr>
      </w:pPr>
    </w:p>
    <w:p>
      <w:pPr>
        <w:jc w:val="both"/>
        <w:ind w:left="4" w:right="4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Bail-in Legislation</w:t>
      </w:r>
      <w:r>
        <w:rPr>
          <w:rFonts w:ascii="Times New Roman" w:cs="Times New Roman" w:eastAsia="Times New Roman" w:hAnsi="Times New Roman"/>
          <w:sz w:val="18"/>
          <w:szCs w:val="18"/>
          <w:color w:val="auto"/>
        </w:rPr>
        <w:t>” means Part I of the U.K. Banking Act 2009 and any other law or regulation applicable in the U.K. relating to the resolution of unsound or failing banks, investment firms or other financial institutions or their affiliates (otherwise than through liquidation, administration or other insolvency proceedings).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Bail-in Liability</w:t>
      </w:r>
      <w:r>
        <w:rPr>
          <w:rFonts w:ascii="Times New Roman" w:cs="Times New Roman" w:eastAsia="Times New Roman" w:hAnsi="Times New Roman"/>
          <w:sz w:val="18"/>
          <w:szCs w:val="18"/>
          <w:color w:val="auto"/>
        </w:rPr>
        <w:t>” means a liability in respect of which the U.K. Bail-in Powers may be exercised.</w:t>
      </w:r>
    </w:p>
    <w:p>
      <w:pPr>
        <w:spacing w:after="0" w:line="117"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Bail-in Powers</w:t>
      </w:r>
      <w:r>
        <w:rPr>
          <w:rFonts w:ascii="Times New Roman" w:cs="Times New Roman" w:eastAsia="Times New Roman" w:hAnsi="Times New Roman"/>
          <w:sz w:val="18"/>
          <w:szCs w:val="18"/>
          <w:color w:val="auto"/>
        </w:rPr>
        <w:t>” means the powers under the U.K. Bail-in Legislation to cancel, transfer or 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such liability, to provide that any such contract or instrument is to have effect as if a right had been exercised under it or to suspend any obligation in respect of such liability.</w:t>
      </w:r>
    </w:p>
    <w:p>
      <w:pPr>
        <w:spacing w:after="0" w:line="181" w:lineRule="exact"/>
        <w:rPr>
          <w:sz w:val="20"/>
          <w:szCs w:val="20"/>
          <w:color w:val="auto"/>
        </w:rPr>
      </w:pPr>
    </w:p>
    <w:p>
      <w:pPr>
        <w:ind w:left="264" w:hanging="264"/>
        <w:spacing w:after="0"/>
        <w:tabs>
          <w:tab w:leader="none" w:pos="2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4" w:right="80" w:firstLine="419"/>
        <w:spacing w:after="0" w:line="266" w:lineRule="auto"/>
        <w:tabs>
          <w:tab w:leader="none" w:pos="67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4"/>
          </w:cols>
          <w:pgMar w:left="876" w:top="270" w:right="459" w:bottom="1440" w:gutter="0" w:footer="0" w:header="0"/>
        </w:sectPr>
      </w:pPr>
    </w:p>
    <w:bookmarkStart w:id="36" w:name="page37"/>
    <w:bookmarkEnd w:id="36"/>
    <w:p>
      <w:pPr>
        <w:ind w:left="400" w:right="20" w:firstLine="419"/>
        <w:spacing w:after="0" w:line="266" w:lineRule="auto"/>
        <w:tabs>
          <w:tab w:leader="none" w:pos="107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w:t>
      </w:r>
    </w:p>
    <w:p>
      <w:pPr>
        <w:spacing w:after="0" w:line="67" w:lineRule="exact"/>
        <w:rPr>
          <w:rFonts w:ascii="Times New Roman" w:cs="Times New Roman" w:eastAsia="Times New Roman" w:hAnsi="Times New Roman"/>
          <w:sz w:val="18"/>
          <w:szCs w:val="18"/>
          <w:color w:val="auto"/>
        </w:rPr>
      </w:pPr>
    </w:p>
    <w:p>
      <w:pPr>
        <w:ind w:left="1060" w:hanging="241"/>
        <w:spacing w:after="0"/>
        <w:tabs>
          <w:tab w:leader="none" w:pos="10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20:</w:t>
      </w:r>
    </w:p>
    <w:p>
      <w:pPr>
        <w:spacing w:after="0" w:line="113" w:lineRule="exact"/>
        <w:rPr>
          <w:rFonts w:ascii="Times New Roman" w:cs="Times New Roman" w:eastAsia="Times New Roman" w:hAnsi="Times New Roman"/>
          <w:sz w:val="18"/>
          <w:szCs w:val="18"/>
          <w:color w:val="auto"/>
        </w:rPr>
      </w:pPr>
    </w:p>
    <w:p>
      <w:pPr>
        <w:ind w:left="1560" w:hanging="212"/>
        <w:spacing w:after="0"/>
        <w:tabs>
          <w:tab w:leader="none" w:pos="15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w:t>
      </w:r>
    </w:p>
    <w:p>
      <w:pPr>
        <w:spacing w:after="0" w:line="31"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1841(k).</w:t>
      </w:r>
    </w:p>
    <w:p>
      <w:pPr>
        <w:spacing w:after="0" w:line="94" w:lineRule="exact"/>
        <w:rPr>
          <w:rFonts w:ascii="Times New Roman" w:cs="Times New Roman" w:eastAsia="Times New Roman" w:hAnsi="Times New Roman"/>
          <w:sz w:val="18"/>
          <w:szCs w:val="18"/>
          <w:color w:val="auto"/>
        </w:rPr>
      </w:pPr>
    </w:p>
    <w:p>
      <w:pPr>
        <w:ind w:left="1620" w:hanging="272"/>
        <w:spacing w:after="0"/>
        <w:tabs>
          <w:tab w:leader="none" w:pos="16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121" w:lineRule="exact"/>
        <w:rPr>
          <w:rFonts w:ascii="Times New Roman" w:cs="Times New Roman" w:eastAsia="Times New Roman" w:hAnsi="Times New Roman"/>
          <w:sz w:val="18"/>
          <w:szCs w:val="18"/>
          <w:color w:val="auto"/>
        </w:rPr>
      </w:pPr>
    </w:p>
    <w:p>
      <w:pPr>
        <w:ind w:left="2060" w:hanging="289"/>
        <w:spacing w:after="0"/>
        <w:tabs>
          <w:tab w:leader="none" w:pos="2060"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2060" w:hanging="289"/>
        <w:spacing w:after="0"/>
        <w:tabs>
          <w:tab w:leader="none" w:pos="2060"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2060" w:hanging="289"/>
        <w:spacing w:after="0"/>
        <w:tabs>
          <w:tab w:leader="none" w:pos="2060"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3" w:lineRule="exact"/>
        <w:rPr>
          <w:rFonts w:ascii="Times New Roman" w:cs="Times New Roman" w:eastAsia="Times New Roman" w:hAnsi="Times New Roman"/>
          <w:sz w:val="18"/>
          <w:szCs w:val="18"/>
          <w:color w:val="auto"/>
        </w:rPr>
      </w:pPr>
    </w:p>
    <w:p>
      <w:pPr>
        <w:ind w:left="940" w:firstLine="408"/>
        <w:spacing w:after="0" w:line="286" w:lineRule="auto"/>
        <w:tabs>
          <w:tab w:leader="none" w:pos="165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46" w:lineRule="exact"/>
        <w:rPr>
          <w:rFonts w:ascii="Times New Roman" w:cs="Times New Roman" w:eastAsia="Times New Roman" w:hAnsi="Times New Roman"/>
          <w:sz w:val="18"/>
          <w:szCs w:val="18"/>
          <w:color w:val="auto"/>
        </w:rPr>
      </w:pPr>
    </w:p>
    <w:p>
      <w:pPr>
        <w:ind w:left="940" w:right="540" w:firstLine="408"/>
        <w:spacing w:after="0" w:line="268" w:lineRule="auto"/>
        <w:tabs>
          <w:tab w:leader="none" w:pos="164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2" w:lineRule="exact"/>
        <w:rPr>
          <w:rFonts w:ascii="Times New Roman" w:cs="Times New Roman" w:eastAsia="Times New Roman" w:hAnsi="Times New Roman"/>
          <w:sz w:val="18"/>
          <w:szCs w:val="18"/>
          <w:color w:val="auto"/>
        </w:rPr>
      </w:pPr>
    </w:p>
    <w:p>
      <w:pPr>
        <w:ind w:left="-40" w:right="40" w:firstLine="436"/>
        <w:spacing w:after="0" w:line="254" w:lineRule="auto"/>
        <w:tabs>
          <w:tab w:leader="none" w:pos="67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 Among Underwriters. </w:t>
      </w:r>
      <w:r>
        <w:rPr>
          <w:rFonts w:ascii="Times New Roman" w:cs="Times New Roman" w:eastAsia="Times New Roman" w:hAnsi="Times New Roman"/>
          <w:sz w:val="18"/>
          <w:szCs w:val="18"/>
          <w:color w:val="auto"/>
        </w:rPr>
        <w:t>The Underwriters agree as between themselves that they will be bound by and will comply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Capital Markets Association Agreement Among Managers Version 1/New York Law Schedule (the “</w:t>
      </w:r>
      <w:r>
        <w:rPr>
          <w:rFonts w:ascii="Times New Roman" w:cs="Times New Roman" w:eastAsia="Times New Roman" w:hAnsi="Times New Roman"/>
          <w:sz w:val="18"/>
          <w:szCs w:val="18"/>
          <w:b w:val="1"/>
          <w:bCs w:val="1"/>
          <w:color w:val="auto"/>
        </w:rPr>
        <w:t>Agreement Among Managers</w:t>
      </w:r>
      <w:r>
        <w:rPr>
          <w:rFonts w:ascii="Times New Roman" w:cs="Times New Roman" w:eastAsia="Times New Roman" w:hAnsi="Times New Roman"/>
          <w:sz w:val="18"/>
          <w:szCs w:val="18"/>
          <w:color w:val="auto"/>
        </w:rPr>
        <w:t>”) as amended in the following manner. For purposes of this Agreement and the Agreement Among Managers, “</w:t>
      </w: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 means the Underwriters, “</w:t>
      </w:r>
      <w:r>
        <w:rPr>
          <w:rFonts w:ascii="Times New Roman" w:cs="Times New Roman" w:eastAsia="Times New Roman" w:hAnsi="Times New Roman"/>
          <w:sz w:val="18"/>
          <w:szCs w:val="18"/>
          <w:b w:val="1"/>
          <w:bCs w:val="1"/>
          <w:color w:val="auto"/>
        </w:rPr>
        <w:t>Lead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 means Citigroup Global Markets Limited, J.P. Morgan Securities plc, TD Global Finance unlimited company and Wells Fargo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Limited, “</w:t>
      </w:r>
      <w:r>
        <w:rPr>
          <w:rFonts w:ascii="Times New Roman" w:cs="Times New Roman" w:eastAsia="Times New Roman" w:hAnsi="Times New Roman"/>
          <w:sz w:val="18"/>
          <w:szCs w:val="18"/>
          <w:b w:val="1"/>
          <w:bCs w:val="1"/>
          <w:color w:val="auto"/>
        </w:rPr>
        <w:t>Settlement Lead Manager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Stabilization Manager</w:t>
      </w:r>
      <w:r>
        <w:rPr>
          <w:rFonts w:ascii="Times New Roman" w:cs="Times New Roman" w:eastAsia="Times New Roman" w:hAnsi="Times New Roman"/>
          <w:sz w:val="18"/>
          <w:szCs w:val="18"/>
          <w:color w:val="auto"/>
        </w:rPr>
        <w:t>” mean Citigroup Global Markets Limited and the “</w:t>
      </w: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Agreement. Clause 3 of the Agreement Among Managers shall be deleted in its entirety and replaced with Section 10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the event of any conflict between the provisions of the Agreement Among Managers and this Agreement, the terms of this Agreement shall prevail. Any action by the Underwriters hereunder may be taken by the Representatives, and any such action taken by the Representatives shall be binding upon the Underwriters. The execution of this Agreement by each Underwriter constitutes agreement to, and acceptance of, this Section 21.</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480" w:top="270" w:right="499" w:bottom="1440" w:gutter="0" w:footer="0" w:header="0"/>
        </w:sectPr>
      </w:pPr>
    </w:p>
    <w:bookmarkStart w:id="37" w:name="page38"/>
    <w:bookmarkEnd w:id="37"/>
    <w:p>
      <w:pPr>
        <w:ind w:firstLine="436"/>
        <w:spacing w:after="0" w:line="267" w:lineRule="auto"/>
        <w:tabs>
          <w:tab w:leader="none" w:pos="7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MiFID Product Governance. </w:t>
      </w:r>
      <w:r>
        <w:rPr>
          <w:rFonts w:ascii="Times New Roman" w:cs="Times New Roman" w:eastAsia="Times New Roman" w:hAnsi="Times New Roman"/>
          <w:sz w:val="18"/>
          <w:szCs w:val="18"/>
          <w:color w:val="auto"/>
        </w:rPr>
        <w:t>Solely for the purposes of the requirements of Article 9(8) of the MiFID Product Governance rules under EU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Delegated Directive 2017/593 (the “</w:t>
      </w:r>
      <w:r>
        <w:rPr>
          <w:rFonts w:ascii="Times New Roman" w:cs="Times New Roman" w:eastAsia="Times New Roman" w:hAnsi="Times New Roman"/>
          <w:sz w:val="18"/>
          <w:szCs w:val="18"/>
          <w:b w:val="1"/>
          <w:bCs w:val="1"/>
          <w:color w:val="auto"/>
        </w:rPr>
        <w:t>Product Governance Rules</w:t>
      </w:r>
      <w:r>
        <w:rPr>
          <w:rFonts w:ascii="Times New Roman" w:cs="Times New Roman" w:eastAsia="Times New Roman" w:hAnsi="Times New Roman"/>
          <w:sz w:val="18"/>
          <w:szCs w:val="18"/>
          <w:color w:val="auto"/>
        </w:rPr>
        <w:t>”) regarding the mutual responsibilities of manufacturers under the Product Governance Rules:</w:t>
      </w:r>
    </w:p>
    <w:p>
      <w:pPr>
        <w:spacing w:after="0" w:line="63" w:lineRule="exact"/>
        <w:rPr>
          <w:rFonts w:ascii="Times New Roman" w:cs="Times New Roman" w:eastAsia="Times New Roman" w:hAnsi="Times New Roman"/>
          <w:sz w:val="18"/>
          <w:szCs w:val="18"/>
          <w:color w:val="auto"/>
        </w:rPr>
      </w:pPr>
    </w:p>
    <w:p>
      <w:pPr>
        <w:ind w:left="440" w:right="20" w:firstLine="419"/>
        <w:spacing w:after="0" w:line="262" w:lineRule="auto"/>
        <w:tabs>
          <w:tab w:leader="none" w:pos="110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TD Global Finance unlimited company (a “</w:t>
      </w:r>
      <w:r>
        <w:rPr>
          <w:rFonts w:ascii="Times New Roman" w:cs="Times New Roman" w:eastAsia="Times New Roman" w:hAnsi="Times New Roman"/>
          <w:sz w:val="18"/>
          <w:szCs w:val="18"/>
          <w:b w:val="1"/>
          <w:bCs w:val="1"/>
          <w:color w:val="auto"/>
        </w:rPr>
        <w:t>MiFID Manufacture</w:t>
      </w:r>
      <w:r>
        <w:rPr>
          <w:rFonts w:ascii="Times New Roman" w:cs="Times New Roman" w:eastAsia="Times New Roman" w:hAnsi="Times New Roman"/>
          <w:sz w:val="18"/>
          <w:szCs w:val="18"/>
          <w:color w:val="auto"/>
        </w:rPr>
        <w:t>r”) acknowledges that it understands the responsibilities conferred upon it under the Product Governance Rules relating to each of the product approval process, the target market and the proposed distribution channels as applying to the Offered Securities and the related information set out in the Registration Statement, the General Disclosure Package and the Final Prospectus and the Free Writing Prospectus identified in Schedule B hereto, each in connection with the Offered Securities; and</w:t>
      </w:r>
    </w:p>
    <w:p>
      <w:pPr>
        <w:spacing w:after="0" w:line="72"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11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other Underwriters notes the application of the Product Governance Rules and acknowledges the target market and distribution channels identified as applying to the Offered Securities by the Manufacturer and the related information set out in the Registration Statement, the General Disclosure Package and the Final Prospectus and the Free Writing Prospectus identified in Schedule B hereto, each in connection with the Offered Securities.</w:t>
      </w:r>
    </w:p>
    <w:p>
      <w:pPr>
        <w:spacing w:after="0" w:line="177" w:lineRule="exact"/>
        <w:rPr>
          <w:rFonts w:ascii="Times New Roman" w:cs="Times New Roman" w:eastAsia="Times New Roman" w:hAnsi="Times New Roman"/>
          <w:sz w:val="18"/>
          <w:szCs w:val="18"/>
          <w:color w:val="auto"/>
        </w:rPr>
      </w:pPr>
    </w:p>
    <w:p>
      <w:pPr>
        <w:ind w:right="200" w:firstLine="436"/>
        <w:spacing w:after="0" w:line="267" w:lineRule="auto"/>
        <w:tabs>
          <w:tab w:leader="none" w:pos="71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U.K. MiFIR Product Governance </w:t>
      </w:r>
      <w:r>
        <w:rPr>
          <w:rFonts w:ascii="Times New Roman" w:cs="Times New Roman" w:eastAsia="Times New Roman" w:hAnsi="Times New Roman"/>
          <w:sz w:val="18"/>
          <w:szCs w:val="18"/>
          <w:color w:val="auto"/>
        </w:rPr>
        <w:t>Solely for the purposes of the requirements of 3.2.7R of the FCA Handbook Product Intervention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Governance Sourcebook (“</w:t>
      </w:r>
      <w:r>
        <w:rPr>
          <w:rFonts w:ascii="Times New Roman" w:cs="Times New Roman" w:eastAsia="Times New Roman" w:hAnsi="Times New Roman"/>
          <w:sz w:val="18"/>
          <w:szCs w:val="18"/>
          <w:b w:val="1"/>
          <w:bCs w:val="1"/>
          <w:color w:val="auto"/>
        </w:rPr>
        <w:t>U.K. MiFIR Product Governance Rules</w:t>
      </w:r>
      <w:r>
        <w:rPr>
          <w:rFonts w:ascii="Times New Roman" w:cs="Times New Roman" w:eastAsia="Times New Roman" w:hAnsi="Times New Roman"/>
          <w:sz w:val="18"/>
          <w:szCs w:val="18"/>
          <w:color w:val="auto"/>
        </w:rPr>
        <w:t>”) regarding the mutual responsibilities of manufacturers under the U.K. MiFIR Product Governance Rules:</w:t>
      </w:r>
    </w:p>
    <w:p>
      <w:pPr>
        <w:spacing w:after="0" w:line="63" w:lineRule="exact"/>
        <w:rPr>
          <w:rFonts w:ascii="Times New Roman" w:cs="Times New Roman" w:eastAsia="Times New Roman" w:hAnsi="Times New Roman"/>
          <w:sz w:val="18"/>
          <w:szCs w:val="18"/>
          <w:color w:val="auto"/>
        </w:rPr>
      </w:pPr>
    </w:p>
    <w:p>
      <w:pPr>
        <w:ind w:left="440" w:right="100" w:firstLine="419"/>
        <w:spacing w:after="0" w:line="259" w:lineRule="auto"/>
        <w:tabs>
          <w:tab w:leader="none" w:pos="110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Citigroup Global Markets Limited, J.P. Morgan Securities plc and Wells Fargo Securities International Limited (each a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Manufacturer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U.K. Manufacturers</w:t>
      </w:r>
      <w:r>
        <w:rPr>
          <w:rFonts w:ascii="Times New Roman" w:cs="Times New Roman" w:eastAsia="Times New Roman" w:hAnsi="Times New Roman"/>
          <w:sz w:val="18"/>
          <w:szCs w:val="18"/>
          <w:color w:val="auto"/>
        </w:rPr>
        <w:t>”) acknowledges that it understands the responsibilities conferred upon it under the U.K.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MiFIR Product Governance Rules relating to each of the product approval process, the target market and the proposed distribution channels as applying to the Offered Securities and the related information set out in the Registration Statement, the General Disclosure Package and the Final Prospectus and the Free Writing Prospectus identified in Schedule B hereto, each in connection with the Offered Securities; and</w:t>
      </w:r>
    </w:p>
    <w:p>
      <w:pPr>
        <w:spacing w:after="0" w:line="75"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1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other Underwriters notes the application of the U.K. MiFIR Product Governance Rules and acknowledges that the target market and distribution channels identified as applying to the Offered Securities by the U.K. Manufacturers and the related information set out in the Registration Statement, the General Disclosure Package and the Final Prospectus and the Free Writing Prospectus identified in Schedule B hereto, each in connection with the Offered Securities.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8" w:right="459" w:bottom="1440" w:gutter="0" w:footer="0" w:header="0"/>
        </w:sectPr>
      </w:pPr>
    </w:p>
    <w:bookmarkStart w:id="38" w:name="page39"/>
    <w:bookmarkEnd w:id="38"/>
    <w:p>
      <w:pPr>
        <w:ind w:left="4" w:right="80" w:firstLine="436"/>
        <w:spacing w:after="0" w:line="255" w:lineRule="auto"/>
        <w:tabs>
          <w:tab w:leader="none" w:pos="71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Judgment Currency</w:t>
      </w:r>
      <w:r>
        <w:rPr>
          <w:rFonts w:ascii="Times New Roman" w:cs="Times New Roman" w:eastAsia="Times New Roman" w:hAnsi="Times New Roman"/>
          <w:sz w:val="18"/>
          <w:szCs w:val="18"/>
          <w:color w:val="auto"/>
        </w:rPr>
        <w:t>. The Company agrees to indemnify each Underwriter against any loss incurred by such Underwriter as a result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or order being given or made for any amount due hereunder and such judgment or order being expressed and paid in a currency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other than United States dollars and as a result of any variation as between (a) the rate of exchange at which the United States dollar amount is converted into the Judgment Currency for the purpose of such judgment or order, and (b) the rate of exchange at which such Underwriter is able to purchase United States dollars with the amount of the Judgment Currency actually received by the Underwriter. The foregoing indemnity shall constitute a separate and independent obligation of the Company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184" w:lineRule="exact"/>
        <w:rPr>
          <w:rFonts w:ascii="Times New Roman" w:cs="Times New Roman" w:eastAsia="Times New Roman" w:hAnsi="Times New Roman"/>
          <w:sz w:val="18"/>
          <w:szCs w:val="18"/>
          <w:color w:val="auto"/>
        </w:rPr>
      </w:pPr>
    </w:p>
    <w:p>
      <w:pPr>
        <w:ind w:left="4" w:firstLine="436"/>
        <w:spacing w:after="0" w:line="277" w:lineRule="auto"/>
        <w:tabs>
          <w:tab w:leader="none" w:pos="714"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Stabilization</w:t>
      </w:r>
      <w:r>
        <w:rPr>
          <w:rFonts w:ascii="Times New Roman" w:cs="Times New Roman" w:eastAsia="Times New Roman" w:hAnsi="Times New Roman"/>
          <w:sz w:val="17"/>
          <w:szCs w:val="17"/>
          <w:color w:val="auto"/>
        </w:rPr>
        <w:t>. The Company confirms the appointment of the Stabilization Manager as the central point responsible for adequate public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of information and handling any request from a competent authority, in accordance with Article 6(5) of Commission Delegated Regulation (EU) 2016/1052 of 8 March 2016 with regard to regulatory technical standards for the conditions applicable to buy-back programmes and stabilization measures, including such Regulation as it forms part of United Kingdom domestic law by virtue of the EUWA. Nothing contained in this paragraph shall be construed so as to require the Company to issue in excess of the aggregate principal amount of the Offered Securities specified in Schedule A hereto.</w:t>
      </w:r>
    </w:p>
    <w:p>
      <w:pPr>
        <w:spacing w:after="0" w:line="167" w:lineRule="exact"/>
        <w:rPr>
          <w:rFonts w:ascii="Times New Roman" w:cs="Times New Roman" w:eastAsia="Times New Roman" w:hAnsi="Times New Roman"/>
          <w:sz w:val="17"/>
          <w:szCs w:val="17"/>
          <w:color w:val="auto"/>
        </w:rPr>
      </w:pPr>
    </w:p>
    <w:p>
      <w:pPr>
        <w:ind w:left="4" w:firstLine="436"/>
        <w:spacing w:after="0" w:line="261" w:lineRule="auto"/>
        <w:tabs>
          <w:tab w:leader="none" w:pos="71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Patriot Act. </w:t>
      </w:r>
      <w:r>
        <w:rPr>
          <w:rFonts w:ascii="Times New Roman" w:cs="Times New Roman" w:eastAsia="Times New Roman" w:hAnsi="Times New Roman"/>
          <w:sz w:val="18"/>
          <w:szCs w:val="18"/>
          <w:color w:val="auto"/>
        </w:rPr>
        <w:t>In accordance with the requirements of the USA Patriot Act (Title III of Pub. L. 107-56 (signed into law October 26, 2001)),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4" w:right="60" w:firstLine="436"/>
        <w:spacing w:after="0" w:line="270" w:lineRule="auto"/>
        <w:tabs>
          <w:tab w:leader="none" w:pos="714"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Commissionaire Account. </w:t>
      </w:r>
      <w:r>
        <w:rPr>
          <w:rFonts w:ascii="Times New Roman" w:cs="Times New Roman" w:eastAsia="Times New Roman" w:hAnsi="Times New Roman"/>
          <w:sz w:val="17"/>
          <w:szCs w:val="17"/>
          <w:color w:val="auto"/>
        </w:rPr>
        <w:t>The Settlement Lead Manager acknowledges that the Offered Securities will initially be credited to an account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Commissionaire Account</w:t>
      </w:r>
      <w:r>
        <w:rPr>
          <w:rFonts w:ascii="Times New Roman" w:cs="Times New Roman" w:eastAsia="Times New Roman" w:hAnsi="Times New Roman"/>
          <w:sz w:val="17"/>
          <w:szCs w:val="17"/>
          <w:color w:val="auto"/>
        </w:rPr>
        <w:t>”) for the benefit of the Settlement Lead Manager the terms of which include a third-party beneficiary clause (‘</w:t>
      </w:r>
      <w:r>
        <w:rPr>
          <w:rFonts w:ascii="Times New Roman" w:cs="Times New Roman" w:eastAsia="Times New Roman" w:hAnsi="Times New Roman"/>
          <w:sz w:val="17"/>
          <w:szCs w:val="17"/>
          <w:i w:val="1"/>
          <w:iCs w:val="1"/>
          <w:color w:val="auto"/>
        </w:rPr>
        <w:t>stipulation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pour autrui</w:t>
      </w:r>
      <w:r>
        <w:rPr>
          <w:rFonts w:ascii="Times New Roman" w:cs="Times New Roman" w:eastAsia="Times New Roman" w:hAnsi="Times New Roman"/>
          <w:sz w:val="17"/>
          <w:szCs w:val="17"/>
          <w:color w:val="auto"/>
        </w:rPr>
        <w:t>’) with the Company as the third-party beneficiary and provide that such Offered Securities are to be delivered to others only against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 of the net subscription monies for the Offered Securities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less the commissions and expenses to be deducted from the subscription monies) set forth in this Agreement into the Commissionaire Account on a delivery against payment basis. The Settlement Lead Manager acknowledges that</w:t>
      </w:r>
    </w:p>
    <w:p>
      <w:pPr>
        <w:ind w:left="4" w:right="160" w:hanging="4"/>
        <w:spacing w:after="0" w:line="255" w:lineRule="auto"/>
        <w:tabs>
          <w:tab w:leader="none" w:pos="2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Offered Securities shall be held to the order of the Company as set out above and (ii) the net subscription monies for the Offered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less the commissions and expenses to be deducted from the subscription monies) set forth in this Agreement for the Offered Securities received in the Commissionaire Account will be held on behalf of the Company until such time as they</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68" w:right="459" w:bottom="1440" w:gutter="0" w:footer="0" w:header="0"/>
        </w:sectPr>
      </w:pPr>
    </w:p>
    <w:bookmarkStart w:id="39" w:name="page40"/>
    <w:bookmarkEnd w:id="3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 transferred to the Company’s order. The Settlement Lead Manager undertakes that the net subscription monies for the Offered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less the commissions and expenses to be deducted from the subscription monies) set forth in this Agreement will be transferred to the Company’s order promptly following receipt of such monies in the Commissionaire Account. The Company acknowledges and accepts the benefit of the third-party beneficiary clause (‘</w:t>
      </w:r>
      <w:r>
        <w:rPr>
          <w:rFonts w:ascii="Times New Roman" w:cs="Times New Roman" w:eastAsia="Times New Roman" w:hAnsi="Times New Roman"/>
          <w:sz w:val="18"/>
          <w:szCs w:val="18"/>
          <w:i w:val="1"/>
          <w:iCs w:val="1"/>
          <w:color w:val="auto"/>
        </w:rPr>
        <w:t>stipulation pour autrui</w:t>
      </w:r>
      <w:r>
        <w:rPr>
          <w:rFonts w:ascii="Times New Roman" w:cs="Times New Roman" w:eastAsia="Times New Roman" w:hAnsi="Times New Roman"/>
          <w:sz w:val="18"/>
          <w:szCs w:val="18"/>
          <w:color w:val="auto"/>
        </w:rPr>
        <w:t>’) pursuant to the Belgian or Luxembourg Civil Code, as applicable, in respect of the Commissionaire Account.</w:t>
      </w:r>
    </w:p>
    <w:p>
      <w:pPr>
        <w:spacing w:after="0" w:line="185"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If the foregoing is in accordance with the Representatives’ understanding of our agreement, kindly sign and return to the Company your counterpart hereof, whereupon it will become a binding agreement between the Company and the several Underwriters in accordance with its terms.</w:t>
      </w:r>
    </w:p>
    <w:p>
      <w:pPr>
        <w:spacing w:after="0" w:line="13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80"/>
          </w:cols>
          <w:pgMar w:left="440" w:top="268" w:right="679" w:bottom="1440" w:gutter="0" w:footer="0" w:header="0"/>
        </w:sectPr>
      </w:pPr>
    </w:p>
    <w:bookmarkStart w:id="40" w:name="page41"/>
    <w:bookmarkEnd w:id="4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FISERV,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M.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M. Todd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14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9019"/>
          </w:cols>
          <w:pgMar w:left="1440" w:top="270" w:right="1440"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Paula Clarke</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Paula Clarke</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Delegated Signatory</w:t>
            </w:r>
          </w:p>
        </w:tc>
      </w:tr>
    </w:tbl>
    <w:p>
      <w:pPr>
        <w:spacing w:after="0" w:line="12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J.P. Morgan Securities plc</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Robert Chambers</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Global Finance unlimited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Frances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Frances Watson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International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Patrick Duhig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Patrick Duhig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 DCM</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MERRILL LYNCH INTERNATIONAL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Angus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Angus Reynolds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MUFG Securities EMEA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Trevor Kemp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Trevor Kemp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PNC Capital Markets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Chalich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Rachel Chalich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Truist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Mario Lipari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Mario Lipari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U.S. Bancorp Investments,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Kyle Stegemeyer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Kyle Stegemeyer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Banco Santander,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Alexis Rohr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Alexis Rohr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VP DCM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Enguerrand Rouquayrol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Enguerrand Rouquayrol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DCM VP</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Banco Bilbao Vizcaya Argentaria,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Adrien Ferrando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Adrien Ferrando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ED - DCM Bond Origination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Gonzalo Cid-Luna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Gonzalo Cid-Luna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ED - DCM Bond Origination</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Capital One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Sam Baruch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Sam Baruch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53" w:name="page54"/>
    <w:bookmarkEnd w:id="5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Citizens JMP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Michele Goodenough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Michele Goodenough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54" w:name="page55"/>
    <w:bookmarkEnd w:id="5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Kevin Prior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Fifth Third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Ryan Newth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Ryan Newth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MD</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Lloyds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Thomas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Thomas O’Rourke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 Capital Markets</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NatWest Markets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Konstantinos Chryssanthopoulos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Konstantinos Chryssanthopoulos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58" w:name="page59"/>
    <w:bookmarkEnd w:id="5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Scotiabank (Ireland) Designated Activity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Jessica Gough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Jessica Gough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 &amp; Head European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DCM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Walter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Head of Legal, Europe</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59" w:name="page60"/>
    <w:bookmarkEnd w:id="5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UniCredit Bank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Pamela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Pamela Steckel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 DCM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Quiles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Quiles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DCM Origination</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60" w:name="page61"/>
    <w:bookmarkEnd w:id="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Huntington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Anas Bennisse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Anas Bennisse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KeyBanc Capital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Blue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Blue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Regions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Neil Giardino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Neil Giardino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 FNB America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M. Diez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M. Diez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64" w:name="page65"/>
    <w:bookmarkEnd w:id="6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Arion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Arion Williams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7580" w:type="dxa"/>
            <w:vAlign w:val="bottom"/>
            <w:vMerge w:val="restart"/>
          </w:tcPr>
          <w:p>
            <w:pPr>
              <w:spacing w:after="0"/>
              <w:rPr>
                <w:sz w:val="13"/>
                <w:szCs w:val="13"/>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7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of 2030 Notes</w:t>
            </w:r>
          </w:p>
        </w:tc>
        <w:tc>
          <w:tcPr>
            <w:tcW w:w="100" w:type="dxa"/>
            <w:vAlign w:val="bottom"/>
          </w:tcPr>
          <w:p>
            <w:pPr>
              <w:spacing w:after="0"/>
              <w:rPr>
                <w:sz w:val="15"/>
                <w:szCs w:val="15"/>
                <w:color w:val="auto"/>
              </w:rPr>
            </w:pPr>
          </w:p>
        </w:tc>
        <w:tc>
          <w:tcPr>
            <w:tcW w:w="106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of 2034 Notes</w:t>
            </w:r>
          </w:p>
        </w:tc>
        <w:tc>
          <w:tcPr>
            <w:tcW w:w="0" w:type="dxa"/>
            <w:vAlign w:val="bottom"/>
          </w:tcPr>
          <w:p>
            <w:pPr>
              <w:spacing w:after="0"/>
              <w:rPr>
                <w:sz w:val="1"/>
                <w:szCs w:val="1"/>
                <w:color w:val="auto"/>
              </w:rPr>
            </w:pPr>
          </w:p>
        </w:tc>
      </w:tr>
      <w:tr>
        <w:trPr>
          <w:trHeight w:val="203"/>
        </w:trPr>
        <w:tc>
          <w:tcPr>
            <w:tcW w:w="8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Citigroup Global Markets Limited</w:t>
            </w: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72,500,000</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plc</w:t>
            </w: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72,500,000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72,500,000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Global Finance unlimited company</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60,000,000</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International Limited</w:t>
            </w: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60,000,000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26,500,000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26,500,000</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Securities EMEA plc</w:t>
            </w: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26,500,000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26,500,000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26,500,000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26,500,000</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26,500,000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26,500,000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26,500,000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26,500,000</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Banco Santander, S.A.</w:t>
            </w: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10,500,000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10,500,000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Banco Bilbao Vizcaya Argentaria, S.A.</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One Securities, Inc.</w:t>
            </w: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AG, London Branch</w:t>
            </w: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Lloyds Securities Inc.</w:t>
            </w: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NatWest Markets Plc</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Scotiabank (Ireland) Designated Activity Company</w:t>
            </w: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UniCredit Bank GmbH</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Huntington Securities, Inc.</w:t>
            </w: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5,450,000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5,450,000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KeyBanc Capital Markets Inc.</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5,450,000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5,450,000</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5,450,000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5,450,000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FNB America Securities LLC</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1,825,000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1,825,000</w:t>
            </w: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1,825,000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500,000,000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500,000,000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Schedule A-1</w:t>
      </w:r>
    </w:p>
    <w:p>
      <w:pPr>
        <w:sectPr>
          <w:pgSz w:w="11900" w:h="16838" w:orient="portrait"/>
          <w:cols w:equalWidth="0" w:num="1">
            <w:col w:w="11020"/>
          </w:cols>
          <w:pgMar w:left="440" w:top="266" w:right="439" w:bottom="1440" w:gutter="0" w:footer="0" w:header="0"/>
        </w:sectPr>
      </w:pPr>
    </w:p>
    <w:bookmarkStart w:id="66" w:name="page67"/>
    <w:bookmarkEnd w:id="66"/>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52" w:lineRule="exact"/>
        <w:rPr>
          <w:sz w:val="20"/>
          <w:szCs w:val="20"/>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Use Free Writing Prospectuses (included in the General Disclosure Package)</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“General Use Issuer Free Writing Prospectus” means the Final Term Sheet, dated June 16, 2026 for the Offered Securities, a copy of which is attached hereto as Annex I.</w:t>
      </w:r>
    </w:p>
    <w:p>
      <w:pPr>
        <w:spacing w:after="0" w:line="185" w:lineRule="exact"/>
        <w:rPr>
          <w:sz w:val="20"/>
          <w:szCs w:val="20"/>
          <w:color w:val="auto"/>
        </w:rPr>
      </w:pPr>
    </w:p>
    <w:p>
      <w:pPr>
        <w:ind w:left="424" w:hanging="424"/>
        <w:spacing w:after="0"/>
        <w:tabs>
          <w:tab w:leader="none" w:pos="424"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Information Included in the General Disclosure Package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information is also included in the General Disclosure Package: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Schedule B-1</w:t>
      </w:r>
    </w:p>
    <w:p>
      <w:pPr>
        <w:sectPr>
          <w:pgSz w:w="11900" w:h="16838" w:orient="portrait"/>
          <w:cols w:equalWidth="0" w:num="1">
            <w:col w:w="10824"/>
          </w:cols>
          <w:pgMar w:left="436" w:top="266" w:right="6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Final Pricing Term Sheet</w:t>
      </w:r>
    </w:p>
    <w:p>
      <w:pPr>
        <w:spacing w:after="0" w:line="17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Annex I-1</w:t>
      </w:r>
    </w:p>
    <w:p>
      <w:pPr>
        <w:sectPr>
          <w:pgSz w:w="11900" w:h="16838" w:orient="portrait"/>
          <w:cols w:equalWidth="0" w:num="1">
            <w:col w:w="10020"/>
          </w:cols>
          <w:pgMar w:left="1440" w:top="266" w:right="4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Filed Pursuant to Rule 433</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Registration Statement No. 333-277241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June 16, 2026</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80" w:type="dxa"/>
            <w:vAlign w:val="bottom"/>
          </w:tcPr>
          <w:p>
            <w:pPr>
              <w:jc w:val="center"/>
              <w:ind w:right="4110"/>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r>
      <w:tr>
        <w:trPr>
          <w:trHeight w:val="238"/>
        </w:trPr>
        <w:tc>
          <w:tcPr>
            <w:tcW w:w="2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80" w:type="dxa"/>
            <w:vAlign w:val="bottom"/>
          </w:tcPr>
          <w:p>
            <w:pPr>
              <w:jc w:val="center"/>
              <w:ind w:right="4090"/>
              <w:spacing w:after="0"/>
              <w:rPr>
                <w:sz w:val="20"/>
                <w:szCs w:val="20"/>
                <w:color w:val="auto"/>
              </w:rPr>
            </w:pPr>
            <w:r>
              <w:rPr>
                <w:rFonts w:ascii="Times New Roman" w:cs="Times New Roman" w:eastAsia="Times New Roman" w:hAnsi="Times New Roman"/>
                <w:sz w:val="18"/>
                <w:szCs w:val="18"/>
                <w:b w:val="1"/>
                <w:bCs w:val="1"/>
                <w:color w:val="auto"/>
                <w:w w:val="99"/>
              </w:rPr>
              <w:t>Fiserv, Inc.</w:t>
            </w:r>
          </w:p>
        </w:tc>
      </w:tr>
      <w:tr>
        <w:trPr>
          <w:trHeight w:val="410"/>
        </w:trPr>
        <w:tc>
          <w:tcPr>
            <w:tcW w:w="2760" w:type="dxa"/>
            <w:vAlign w:val="bottom"/>
          </w:tcPr>
          <w:p>
            <w:pPr>
              <w:spacing w:after="0"/>
              <w:rPr>
                <w:sz w:val="24"/>
                <w:szCs w:val="24"/>
                <w:color w:val="auto"/>
              </w:rPr>
            </w:pPr>
          </w:p>
        </w:tc>
        <w:tc>
          <w:tcPr>
            <w:tcW w:w="8180" w:type="dxa"/>
            <w:vAlign w:val="bottom"/>
            <w:gridSpan w:val="2"/>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w w:val="99"/>
              </w:rPr>
              <w:t>€1,000,000,000 aggregate size, consisting of:</w:t>
            </w:r>
          </w:p>
        </w:tc>
      </w:tr>
      <w:tr>
        <w:trPr>
          <w:trHeight w:val="216"/>
        </w:trPr>
        <w:tc>
          <w:tcPr>
            <w:tcW w:w="2760" w:type="dxa"/>
            <w:vAlign w:val="bottom"/>
          </w:tcPr>
          <w:p>
            <w:pPr>
              <w:spacing w:after="0"/>
              <w:rPr>
                <w:sz w:val="18"/>
                <w:szCs w:val="18"/>
                <w:color w:val="auto"/>
              </w:rPr>
            </w:pPr>
          </w:p>
        </w:tc>
        <w:tc>
          <w:tcPr>
            <w:tcW w:w="8180" w:type="dxa"/>
            <w:vAlign w:val="bottom"/>
            <w:gridSpan w:val="2"/>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w w:val="99"/>
              </w:rPr>
              <w:t>€500,000,000 3.750% SENIOR NOTES DUE 2030 (the “2030 Notes”)</w:t>
            </w:r>
          </w:p>
        </w:tc>
      </w:tr>
      <w:tr>
        <w:trPr>
          <w:trHeight w:val="216"/>
        </w:trPr>
        <w:tc>
          <w:tcPr>
            <w:tcW w:w="2760" w:type="dxa"/>
            <w:vAlign w:val="bottom"/>
          </w:tcPr>
          <w:p>
            <w:pPr>
              <w:spacing w:after="0"/>
              <w:rPr>
                <w:sz w:val="18"/>
                <w:szCs w:val="18"/>
                <w:color w:val="auto"/>
              </w:rPr>
            </w:pPr>
          </w:p>
        </w:tc>
        <w:tc>
          <w:tcPr>
            <w:tcW w:w="8180" w:type="dxa"/>
            <w:vAlign w:val="bottom"/>
            <w:gridSpan w:val="2"/>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w w:val="99"/>
              </w:rPr>
              <w:t>€500,000,000 4.250% SENIOR NOTES DUE 2034 (the “2034 Notes”)</w:t>
            </w:r>
          </w:p>
        </w:tc>
      </w:tr>
      <w:tr>
        <w:trPr>
          <w:trHeight w:val="238"/>
        </w:trPr>
        <w:tc>
          <w:tcPr>
            <w:tcW w:w="2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80" w:type="dxa"/>
            <w:vAlign w:val="bottom"/>
          </w:tcPr>
          <w:p>
            <w:pPr>
              <w:jc w:val="center"/>
              <w:ind w:right="4110"/>
              <w:spacing w:after="0"/>
              <w:rPr>
                <w:sz w:val="20"/>
                <w:szCs w:val="20"/>
                <w:color w:val="auto"/>
              </w:rPr>
            </w:pPr>
            <w:r>
              <w:rPr>
                <w:rFonts w:ascii="Times New Roman" w:cs="Times New Roman" w:eastAsia="Times New Roman" w:hAnsi="Times New Roman"/>
                <w:sz w:val="18"/>
                <w:szCs w:val="18"/>
                <w:b w:val="1"/>
                <w:bCs w:val="1"/>
                <w:color w:val="auto"/>
                <w:w w:val="98"/>
              </w:rPr>
              <w:t>(together, the “Notes”)</w:t>
            </w:r>
          </w:p>
        </w:tc>
      </w:tr>
      <w:tr>
        <w:trPr>
          <w:trHeight w:val="459"/>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1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Fiserv, Inc.</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Format:</w:t>
            </w:r>
          </w:p>
        </w:tc>
        <w:tc>
          <w:tcPr>
            <w:tcW w:w="81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Issuer Ratings (Moody’s / S&amp;P)*:</w:t>
            </w: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7"/>
              </w:rPr>
              <w:t>[***]</w:t>
            </w:r>
          </w:p>
        </w:tc>
        <w:tc>
          <w:tcPr>
            <w:tcW w:w="6680" w:type="dxa"/>
            <w:vAlign w:val="bottom"/>
          </w:tcPr>
          <w:p>
            <w:pPr>
              <w:spacing w:after="0"/>
              <w:rPr>
                <w:sz w:val="24"/>
                <w:szCs w:val="24"/>
                <w:color w:val="auto"/>
              </w:rPr>
            </w:pP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Expected Ratings (Moody’s / S&amp;P)*:</w:t>
            </w: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7"/>
              </w:rPr>
              <w:t>[***]</w:t>
            </w:r>
          </w:p>
        </w:tc>
        <w:tc>
          <w:tcPr>
            <w:tcW w:w="6680" w:type="dxa"/>
            <w:vAlign w:val="bottom"/>
          </w:tcPr>
          <w:p>
            <w:pPr>
              <w:spacing w:after="0"/>
              <w:rPr>
                <w:sz w:val="24"/>
                <w:szCs w:val="24"/>
                <w:color w:val="auto"/>
              </w:rPr>
            </w:pP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1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June 16, 2026</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 (T+5)**:</w:t>
            </w:r>
          </w:p>
        </w:tc>
        <w:tc>
          <w:tcPr>
            <w:tcW w:w="81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June 23, 2026</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1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The Issuer intends to use the net proceeds from this offering, together with proceeds from the sale</w:t>
            </w:r>
          </w:p>
        </w:tc>
      </w:tr>
      <w:tr>
        <w:trPr>
          <w:trHeight w:val="216"/>
        </w:trPr>
        <w:tc>
          <w:tcPr>
            <w:tcW w:w="2760" w:type="dxa"/>
            <w:vAlign w:val="bottom"/>
          </w:tcPr>
          <w:p>
            <w:pPr>
              <w:spacing w:after="0"/>
              <w:rPr>
                <w:sz w:val="18"/>
                <w:szCs w:val="18"/>
                <w:color w:val="auto"/>
              </w:rPr>
            </w:pPr>
          </w:p>
        </w:tc>
        <w:tc>
          <w:tcPr>
            <w:tcW w:w="81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of commercial paper and cash from operations, to purchase any and all of its $750.0 million</w:t>
            </w:r>
          </w:p>
        </w:tc>
      </w:tr>
      <w:tr>
        <w:trPr>
          <w:trHeight w:val="216"/>
        </w:trPr>
        <w:tc>
          <w:tcPr>
            <w:tcW w:w="2760" w:type="dxa"/>
            <w:vAlign w:val="bottom"/>
          </w:tcPr>
          <w:p>
            <w:pPr>
              <w:spacing w:after="0"/>
              <w:rPr>
                <w:sz w:val="18"/>
                <w:szCs w:val="18"/>
                <w:color w:val="auto"/>
              </w:rPr>
            </w:pPr>
          </w:p>
        </w:tc>
        <w:tc>
          <w:tcPr>
            <w:tcW w:w="81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aggregate principal amount of 5.150% Senior Notes and any and all of its $2.0 billion aggregate</w:t>
            </w:r>
          </w:p>
        </w:tc>
      </w:tr>
      <w:tr>
        <w:trPr>
          <w:trHeight w:val="216"/>
        </w:trPr>
        <w:tc>
          <w:tcPr>
            <w:tcW w:w="2760" w:type="dxa"/>
            <w:vAlign w:val="bottom"/>
          </w:tcPr>
          <w:p>
            <w:pPr>
              <w:spacing w:after="0"/>
              <w:rPr>
                <w:sz w:val="18"/>
                <w:szCs w:val="18"/>
                <w:color w:val="auto"/>
              </w:rPr>
            </w:pPr>
          </w:p>
        </w:tc>
        <w:tc>
          <w:tcPr>
            <w:tcW w:w="81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w w:val="99"/>
              </w:rPr>
              <w:t>principal amount of 4.400% Senior Notes, including any premium and accrued and unpaid interest</w:t>
            </w:r>
          </w:p>
        </w:tc>
      </w:tr>
      <w:tr>
        <w:trPr>
          <w:trHeight w:val="216"/>
        </w:trPr>
        <w:tc>
          <w:tcPr>
            <w:tcW w:w="2760" w:type="dxa"/>
            <w:vAlign w:val="bottom"/>
          </w:tcPr>
          <w:p>
            <w:pPr>
              <w:spacing w:after="0"/>
              <w:rPr>
                <w:sz w:val="18"/>
                <w:szCs w:val="18"/>
                <w:color w:val="auto"/>
              </w:rPr>
            </w:pPr>
          </w:p>
        </w:tc>
        <w:tc>
          <w:tcPr>
            <w:tcW w:w="81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on the tendered notes, pursuant to the tender offer as described in the preliminary prospectus</w:t>
            </w:r>
          </w:p>
        </w:tc>
      </w:tr>
      <w:tr>
        <w:trPr>
          <w:trHeight w:val="234"/>
        </w:trPr>
        <w:tc>
          <w:tcPr>
            <w:tcW w:w="2760" w:type="dxa"/>
            <w:vAlign w:val="bottom"/>
          </w:tcPr>
          <w:p>
            <w:pPr>
              <w:spacing w:after="0"/>
              <w:rPr>
                <w:sz w:val="20"/>
                <w:szCs w:val="20"/>
                <w:color w:val="auto"/>
              </w:rPr>
            </w:pPr>
          </w:p>
        </w:tc>
        <w:tc>
          <w:tcPr>
            <w:tcW w:w="81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supplement.</w:t>
            </w:r>
          </w:p>
        </w:tc>
      </w:tr>
      <w:tr>
        <w:trPr>
          <w:trHeight w:val="32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81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The Issuer intends to list the Notes on the NASDAQ Global Market.</w:t>
            </w:r>
          </w:p>
        </w:tc>
      </w:tr>
      <w:tr>
        <w:trPr>
          <w:trHeight w:val="30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2030</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Notes: €500,000,000</w:t>
            </w:r>
          </w:p>
        </w:tc>
      </w:tr>
      <w:tr>
        <w:trPr>
          <w:trHeight w:val="234"/>
        </w:trPr>
        <w:tc>
          <w:tcPr>
            <w:tcW w:w="2760" w:type="dxa"/>
            <w:vAlign w:val="bottom"/>
          </w:tcPr>
          <w:p>
            <w:pPr>
              <w:spacing w:after="0"/>
              <w:rPr>
                <w:sz w:val="20"/>
                <w:szCs w:val="20"/>
                <w:color w:val="auto"/>
              </w:rPr>
            </w:pP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2034</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Notes: €500,000,000</w:t>
            </w:r>
          </w:p>
        </w:tc>
      </w:tr>
      <w:tr>
        <w:trPr>
          <w:trHeight w:val="319"/>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2030</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Notes: October 15, 2030</w:t>
            </w:r>
          </w:p>
        </w:tc>
      </w:tr>
      <w:tr>
        <w:trPr>
          <w:trHeight w:val="234"/>
        </w:trPr>
        <w:tc>
          <w:tcPr>
            <w:tcW w:w="2760" w:type="dxa"/>
            <w:vAlign w:val="bottom"/>
          </w:tcPr>
          <w:p>
            <w:pPr>
              <w:spacing w:after="0"/>
              <w:rPr>
                <w:sz w:val="20"/>
                <w:szCs w:val="20"/>
                <w:color w:val="auto"/>
              </w:rPr>
            </w:pP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2034</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Notes: June 23, 2034</w:t>
            </w:r>
          </w:p>
        </w:tc>
      </w:tr>
      <w:tr>
        <w:trPr>
          <w:trHeight w:val="319"/>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2030</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Notes: October 15 of each year, beginning October 15, 2026</w:t>
            </w:r>
          </w:p>
        </w:tc>
      </w:tr>
      <w:tr>
        <w:trPr>
          <w:trHeight w:val="234"/>
        </w:trPr>
        <w:tc>
          <w:tcPr>
            <w:tcW w:w="2760" w:type="dxa"/>
            <w:vAlign w:val="bottom"/>
          </w:tcPr>
          <w:p>
            <w:pPr>
              <w:spacing w:after="0"/>
              <w:rPr>
                <w:sz w:val="20"/>
                <w:szCs w:val="20"/>
                <w:color w:val="auto"/>
              </w:rPr>
            </w:pP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2034</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Notes: June 23 of each year, beginning June 23, 2027</w:t>
            </w:r>
          </w:p>
        </w:tc>
      </w:tr>
    </w:tbl>
    <w:p>
      <w:pPr>
        <w:sectPr>
          <w:pgSz w:w="11900" w:h="16838" w:orient="portrait"/>
          <w:cols w:equalWidth="0" w:num="1">
            <w:col w:w="11020"/>
          </w:cols>
          <w:pgMar w:left="440" w:top="268" w:right="439" w:bottom="1440" w:gutter="0" w:footer="0" w:header="0"/>
        </w:sectPr>
      </w:pPr>
    </w:p>
    <w:bookmarkStart w:id="69" w:name="page70"/>
    <w:bookmarkEnd w:id="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Benchmark: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OBL 2.200% due October 10, 2030</w:t>
            </w:r>
          </w:p>
        </w:tc>
      </w:tr>
      <w:tr>
        <w:trPr>
          <w:trHeight w:val="234"/>
        </w:trPr>
        <w:tc>
          <w:tcPr>
            <w:tcW w:w="2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Notes: DBR 2.200% due February 15, 2034</w:t>
            </w:r>
          </w:p>
        </w:tc>
      </w:tr>
      <w:tr>
        <w:trPr>
          <w:trHeight w:val="31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Benchmark Price / Yield: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98.250% / 2.632%</w:t>
            </w:r>
          </w:p>
        </w:tc>
      </w:tr>
      <w:tr>
        <w:trPr>
          <w:trHeight w:val="234"/>
        </w:trPr>
        <w:tc>
          <w:tcPr>
            <w:tcW w:w="2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95.700% / 2.831%</w:t>
            </w:r>
          </w:p>
        </w:tc>
      </w:tr>
      <w:tr>
        <w:trPr>
          <w:trHeight w:val="31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+113.8 bps</w:t>
            </w:r>
          </w:p>
        </w:tc>
      </w:tr>
      <w:tr>
        <w:trPr>
          <w:trHeight w:val="234"/>
        </w:trPr>
        <w:tc>
          <w:tcPr>
            <w:tcW w:w="2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+147.1 bps</w:t>
            </w:r>
          </w:p>
        </w:tc>
      </w:tr>
      <w:tr>
        <w:trPr>
          <w:trHeight w:val="31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Mid Swaps Yield: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2.770%</w:t>
            </w:r>
          </w:p>
        </w:tc>
      </w:tr>
      <w:tr>
        <w:trPr>
          <w:trHeight w:val="234"/>
        </w:trPr>
        <w:tc>
          <w:tcPr>
            <w:tcW w:w="2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2.902%</w:t>
            </w:r>
          </w:p>
        </w:tc>
      </w:tr>
      <w:tr>
        <w:trPr>
          <w:trHeight w:val="31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Spread to Mid Swaps: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+100 bps</w:t>
            </w:r>
          </w:p>
        </w:tc>
      </w:tr>
      <w:tr>
        <w:trPr>
          <w:trHeight w:val="234"/>
        </w:trPr>
        <w:tc>
          <w:tcPr>
            <w:tcW w:w="2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+140 bps</w:t>
            </w:r>
          </w:p>
        </w:tc>
      </w:tr>
      <w:tr>
        <w:trPr>
          <w:trHeight w:val="31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3.770%</w:t>
            </w:r>
          </w:p>
        </w:tc>
      </w:tr>
      <w:tr>
        <w:trPr>
          <w:trHeight w:val="234"/>
        </w:trPr>
        <w:tc>
          <w:tcPr>
            <w:tcW w:w="2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4.302%</w:t>
            </w:r>
          </w:p>
        </w:tc>
      </w:tr>
      <w:tr>
        <w:trPr>
          <w:trHeight w:val="31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3.750%, payable annually in arrears</w:t>
            </w:r>
          </w:p>
        </w:tc>
      </w:tr>
      <w:tr>
        <w:trPr>
          <w:trHeight w:val="234"/>
        </w:trPr>
        <w:tc>
          <w:tcPr>
            <w:tcW w:w="2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4.250%, payable annually in arrears</w:t>
            </w:r>
          </w:p>
        </w:tc>
      </w:tr>
      <w:tr>
        <w:trPr>
          <w:trHeight w:val="31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99.936% of the principal amount</w:t>
            </w:r>
          </w:p>
        </w:tc>
      </w:tr>
      <w:tr>
        <w:trPr>
          <w:trHeight w:val="234"/>
        </w:trPr>
        <w:tc>
          <w:tcPr>
            <w:tcW w:w="2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99.654% of the principal amount</w:t>
            </w:r>
          </w:p>
        </w:tc>
      </w:tr>
      <w:tr>
        <w:trPr>
          <w:trHeight w:val="33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r>
    </w:tbl>
    <w:p>
      <w:pPr>
        <w:spacing w:after="0" w:line="103" w:lineRule="exact"/>
        <w:rPr>
          <w:sz w:val="20"/>
          <w:szCs w:val="20"/>
          <w:color w:val="auto"/>
        </w:rPr>
      </w:pPr>
    </w:p>
    <w:p>
      <w:pPr>
        <w:ind w:left="3860" w:right="700"/>
        <w:spacing w:after="0" w:line="282" w:lineRule="auto"/>
        <w:rPr>
          <w:sz w:val="20"/>
          <w:szCs w:val="20"/>
          <w:color w:val="auto"/>
        </w:rPr>
      </w:pPr>
      <w:r>
        <w:rPr>
          <w:rFonts w:ascii="Times New Roman" w:cs="Times New Roman" w:eastAsia="Times New Roman" w:hAnsi="Times New Roman"/>
          <w:sz w:val="18"/>
          <w:szCs w:val="18"/>
          <w:color w:val="auto"/>
        </w:rPr>
        <w:t>At any time prior to September 15, 2030, make-whole call as set forth in the preliminary prospectus supplement (Comparable Government Bond Rate +20 bps).</w:t>
      </w:r>
    </w:p>
    <w:p>
      <w:pPr>
        <w:spacing w:after="0" w:line="67" w:lineRule="exact"/>
        <w:rPr>
          <w:sz w:val="20"/>
          <w:szCs w:val="20"/>
          <w:color w:val="auto"/>
        </w:rPr>
      </w:pPr>
    </w:p>
    <w:p>
      <w:pPr>
        <w:ind w:left="3860"/>
        <w:spacing w:after="0" w:line="266" w:lineRule="auto"/>
        <w:rPr>
          <w:sz w:val="20"/>
          <w:szCs w:val="20"/>
          <w:color w:val="auto"/>
        </w:rPr>
      </w:pPr>
      <w:r>
        <w:rPr>
          <w:rFonts w:ascii="Times New Roman" w:cs="Times New Roman" w:eastAsia="Times New Roman" w:hAnsi="Times New Roman"/>
          <w:sz w:val="18"/>
          <w:szCs w:val="18"/>
          <w:color w:val="auto"/>
        </w:rPr>
        <w:t>At any time on or after September 15, 2030 at 100% of the principal amount plus accrued and unpaid interest to, but not including, the redemption date as set forth in the preliminary prospectus supplement.</w:t>
      </w:r>
    </w:p>
    <w:p>
      <w:pPr>
        <w:spacing w:after="0" w:line="2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2034 Notes:</w:t>
      </w:r>
    </w:p>
    <w:p>
      <w:pPr>
        <w:spacing w:after="0" w:line="131" w:lineRule="exact"/>
        <w:rPr>
          <w:sz w:val="20"/>
          <w:szCs w:val="20"/>
          <w:color w:val="auto"/>
        </w:rPr>
      </w:pPr>
    </w:p>
    <w:p>
      <w:pPr>
        <w:ind w:left="3860" w:right="260"/>
        <w:spacing w:after="0" w:line="282" w:lineRule="auto"/>
        <w:rPr>
          <w:sz w:val="20"/>
          <w:szCs w:val="20"/>
          <w:color w:val="auto"/>
        </w:rPr>
      </w:pPr>
      <w:r>
        <w:rPr>
          <w:rFonts w:ascii="Times New Roman" w:cs="Times New Roman" w:eastAsia="Times New Roman" w:hAnsi="Times New Roman"/>
          <w:sz w:val="18"/>
          <w:szCs w:val="18"/>
          <w:color w:val="auto"/>
        </w:rPr>
        <w:t>At any time prior to April 23, 2034, make-whole call as set forth in the preliminary prospectus supplement (Comparable Government Bond Rate +25 bps).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378" w:right="539" w:bottom="1440" w:gutter="0" w:footer="0" w:header="0"/>
        </w:sectPr>
      </w:pPr>
    </w:p>
    <w:bookmarkStart w:id="70" w:name="page71"/>
    <w:bookmarkEnd w:id="70"/>
    <w:p>
      <w:pPr>
        <w:ind w:left="3860"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any time on or after April 23, 2034 at 100% of the principal amount plus accrued and unpaid interest to, but not including, the redemption date as set forth in the preliminary prospectus supplement.</w:t>
      </w:r>
    </w:p>
    <w:p>
      <w:pPr>
        <w:sectPr>
          <w:pgSz w:w="11900" w:h="16838" w:orient="portrait"/>
          <w:cols w:equalWidth="0" w:num="1">
            <w:col w:w="11000"/>
          </w:cols>
          <w:pgMar w:left="440" w:top="270" w:right="45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Optional Tax Redemption: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series of Notes may be redeemed, at any time, at the surviving entity’s option, in whole but not in part, at a redemption price equal to 100% of the principal amount of the Notes of such series then outstanding, plus accrued and unpaid interest on the principal amount being redeemed (and any Additional Amounts (as defined in the preliminary prospectus supplement)) to (but excluding) the redemption date, if (i) at any time following a transaction to which the provisions of the indenture described under “Description of the Notes—Merger, Consolidation and Sale of Assets” in the preliminary prospectus supplement applies, the surviving entity is required to pay Additional Amounts and (ii) such obligation cannot be avoided by the surviving entity taking reasonable measures available to it.</w:t>
      </w:r>
    </w:p>
    <w:p>
      <w:pPr>
        <w:spacing w:after="0" w:line="80"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Minimum 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€100,000 and integral multiples of €1,000 in excess thereof</w:t>
      </w:r>
    </w:p>
    <w:p>
      <w:pPr>
        <w:spacing w:after="0" w:line="128"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CUSIP/ISIN/Common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2030 Notes: 337738 BR8 / XS3410940897 / 341094089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2034 Notes: 337738 BS6 / XS3410941192 / 341094119</w:t>
      </w:r>
    </w:p>
    <w:p>
      <w:pPr>
        <w:spacing w:after="0" w:line="112"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Day Count Convention: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Actual/Actual (ICMA)</w:t>
      </w:r>
    </w:p>
    <w:p>
      <w:pPr>
        <w:spacing w:after="0" w:line="129"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Citigroup Global Markets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Global Finance unlimited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Wells Fargo Securities International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EMEA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 Santander, S.A.</w:t>
      </w:r>
    </w:p>
    <w:p>
      <w:pPr>
        <w:spacing w:after="0" w:line="153"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000"/>
          </w:cols>
          <w:pgMar w:left="440" w:top="270" w:right="459" w:bottom="1440" w:gutter="0" w:footer="0" w:header="0"/>
          <w:type w:val="continuous"/>
        </w:sectPr>
      </w:pPr>
    </w:p>
    <w:bookmarkStart w:id="71" w:name="page72"/>
    <w:bookmarkEnd w:id="71"/>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Banco Bilbao Vizcaya Argentaria,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-213360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One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Lloyds Securities Inc. NatWest Markets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Scotiabank (Ireland) Designated Activity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UniCredit Bank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Huntington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KeyBanc Capital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FNB America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112" w:lineRule="exact"/>
        <w:rPr>
          <w:sz w:val="20"/>
          <w:szCs w:val="20"/>
          <w:color w:val="auto"/>
        </w:rPr>
      </w:pPr>
    </w:p>
    <w:p>
      <w:pPr>
        <w:sectPr>
          <w:pgSz w:w="11900" w:h="16838" w:orient="portrait"/>
          <w:cols w:equalWidth="0" w:num="2">
            <w:col w:w="3144" w:space="720"/>
            <w:col w:w="7140"/>
          </w:cols>
          <w:pgMar w:left="436" w:top="270" w:right="459" w:bottom="1440" w:gutter="0" w:footer="0" w:header="0"/>
        </w:sectPr>
      </w:pPr>
    </w:p>
    <w:p>
      <w:pPr>
        <w:ind w:left="4"/>
        <w:spacing w:after="0"/>
        <w:rPr>
          <w:sz w:val="20"/>
          <w:szCs w:val="20"/>
          <w:color w:val="auto"/>
        </w:rPr>
      </w:pPr>
      <w:r>
        <w:rPr>
          <w:rFonts w:ascii="Times New Roman" w:cs="Times New Roman" w:eastAsia="Times New Roman" w:hAnsi="Times New Roman"/>
          <w:sz w:val="17"/>
          <w:szCs w:val="17"/>
          <w:color w:val="auto"/>
        </w:rPr>
        <w:t>Target Market / PRIIPs:</w:t>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MiFID II and UK MiFIR – professionals/ECPs-only. No EU PRIIPs key information document (KID) or UK DISC disclosure document has been prepared as not available to retail in the EEA or in the UK.</w:t>
      </w:r>
    </w:p>
    <w:p>
      <w:pPr>
        <w:spacing w:after="0" w:line="199" w:lineRule="exact"/>
        <w:rPr>
          <w:sz w:val="20"/>
          <w:szCs w:val="20"/>
          <w:color w:val="auto"/>
        </w:rPr>
      </w:pPr>
    </w:p>
    <w:p>
      <w:pPr>
        <w:sectPr>
          <w:pgSz w:w="11900" w:h="16838" w:orient="portrait"/>
          <w:cols w:equalWidth="0" w:num="2">
            <w:col w:w="3144" w:space="720"/>
            <w:col w:w="7140"/>
          </w:cols>
          <w:pgMar w:left="436" w:top="270" w:right="459" w:bottom="1440" w:gutter="0" w:footer="0" w:header="0"/>
          <w:type w:val="continuous"/>
        </w:sectPr>
      </w:pPr>
    </w:p>
    <w:p>
      <w:pPr>
        <w:ind w:left="4" w:right="80" w:hanging="4"/>
        <w:spacing w:after="0" w:line="278" w:lineRule="auto"/>
        <w:tabs>
          <w:tab w:leader="none" w:pos="436"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Note: A securities rating is not a recommendation to buy, sell or hold securities and may be subject to revision or withdrawal at any time. ** Note: The Issuer expects to deliver the Notes against payment for the Notes on the fifth business day following the Trade Date (“T+5”).</w:t>
      </w:r>
    </w:p>
    <w:p>
      <w:pPr>
        <w:spacing w:after="0" w:line="1" w:lineRule="exact"/>
        <w:rPr>
          <w:rFonts w:ascii="Times New Roman" w:cs="Times New Roman" w:eastAsia="Times New Roman" w:hAnsi="Times New Roman"/>
          <w:sz w:val="17"/>
          <w:szCs w:val="17"/>
          <w:b w:val="1"/>
          <w:bCs w:val="1"/>
          <w:color w:val="auto"/>
        </w:rPr>
      </w:pPr>
    </w:p>
    <w:p>
      <w:pPr>
        <w:ind w:left="424" w:right="6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Under Rule 15c6-1 of the Securities Exchange Act of 1934, as amended, trades in the secondary market generally are required to settle in one business day, unless the parties to a trade expressly agree otherwise. Accordingly, purchasers who wish to trade Notes prior to the business day prior to the date of delivery, by virtue of the fact that the Notes initially will settle in T+5, may be required to specify alternative settlement arrangements to prevent a failed settlement. Purchasers of the Notes who wish to trade the Notes during the period described above should consult their own advisors.</w:t>
      </w:r>
    </w:p>
    <w:p>
      <w:pPr>
        <w:spacing w:after="0" w:line="18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and a preliminary prospectus supplement with the Securities and Exchange Commission (the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and preliminary prospectus supplement if you request it by calling Citigroup Global Markets Limited at +1-800-831-9146, J.P. Morgan Securities plc at +44 20 7134-2468 (Non-U.S. investors) or collect at +1-212-834-4533 (U.S. investors), TD Global Finance unlimited company at +44 20 7628-2262 or Wells Fargo Securities International Limited at +44</w:t>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 3942-8538.</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Relevant stabilization regulations including FCA/ICMA will apply.</w:t>
      </w:r>
    </w:p>
    <w:p>
      <w:pPr>
        <w:spacing w:after="0" w:line="225"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 xml:space="preserve">The Notes will be represented by beneficial interests in fully registered permanent global notes (the “global notes”) without interest coupons attached, which will be registered in the name of, and shall be deposited on or about June 23, 2026 with a common depositary for, and in respect of interests held through, Euroclear Bank, S.A./N.V., as operator of the Euroclear System (“Euroclear”),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(“Clearstream”). Any Notes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type w:val="continuous"/>
        </w:sectPr>
      </w:pPr>
    </w:p>
    <w:bookmarkStart w:id="72" w:name="page73"/>
    <w:bookmarkEnd w:id="7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represented by global notes held by a nominee of Euroclear or Clearstream will be subject to the then applicable procedures of Euroclear and Clearstream, as applicable. Euroclear and Clearstream’s current practice is to make payments in respect of global notes to participants of record that hold an interest in the relevant global notes at the close of business on the date that is the clearing system business day (for these purposes, Monday to Friday inclusive except December 25th and January 1st) immediately preceding each applicable interest payment date.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Prohibition of Sales to EEA Retail Investors: The Notes are not intended to be offered, sold, distributed or otherwise made available to and should not be offered, sold, distributed or otherwise made available to any retail investor in the European Economic Area (“EEA”). For these purposes, (a) the expression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Article 2(e) of Regulation (EU) 2017/1129 (as amended, the “Prospectus Regulation”); and (b) the expression “offer” includes the communication in any form and by any means of sufficient information on the terms of the offer and the securities to be offered so as to enable an investor to decide to purchase or subscribe for such securities. Consequently, no key information document required by Regulation (EU) No 1286/2014 (as amended, the “PRIIPs Regulation”) for offering, selling or distributing the Notes or otherwise making them available to retail investors in the EEA has been prepared and therefore offering, selling or distributing the Notes or otherwise making them available to any retail investor in the EEA may be unlawful under the PRIIPs Regulation.</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MiFID II professionals/ECPs-only: Manufacturer target market (MiFID II product governance) is eligible counterparties and professional clients only (all distribution channels).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Prohibition of Sales to UK Retail Investors: The Notes are not intended to be offered, sold, distributed or otherwise made available to and should not be offered, sold, distributed or otherwise made available to any retail investor in the United Kingdom (“UK”). For these purposes, (a) the expression “retail investor” means a person who is one (or both) of the following: (i) not a “professional client”, as defined in point (8) of Article 2(1) of Regulation (EU) No 600/2014 as it forms part of assimilated law in the UK by virtue of the European Union (Withdrawal) Act 2018 (as amended, and together with any statutory instruments made in exercise of the powers conferred by such Act, the “EUWA”); or (ii) not a “qualified investor” as defined in paragraph 15 of Schedule 1 to The Public Offers and Admissions to Trading Regulations 2024 (“POATRs”); and (b) the expression “offer” includes the communication in any form and by any means of sufficient information on the terms of the offer and the securities to be offered so as to enable an investor to decide to buy or subscribe for such securities. Consequently, no disclosure document required by the FCA Product Disclosure Sourcebook (the “DISC Sourcebook”)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(Designated Activities) Regulations 2024.</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73" w:name="page74"/>
    <w:bookmarkEnd w:id="7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Kingdom MiFIR professionals/ECPs-only: Manufacturer target market (FCA Handbook Product Intervention and Product Governance Sourcebook (the “UK MiFIR Product Governance Rules”)) is eligible counterparties and professional clients only (all distribution channels). Any distributor should take into consideration the manufacturers’ target market assessment; however, a distributor subject to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Foley &amp; Lardner LLP’s Opinion</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[As follows]</w:t>
      </w:r>
    </w:p>
    <w:p>
      <w:pPr>
        <w:spacing w:after="0" w:line="16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Exhibit A-1-1</w:t>
      </w:r>
    </w:p>
    <w:p>
      <w:pPr>
        <w:sectPr>
          <w:pgSz w:w="11900" w:h="16838" w:orient="portrait"/>
          <w:cols w:equalWidth="0" w:num="1">
            <w:col w:w="9019"/>
          </w:cols>
          <w:pgMar w:left="1440" w:top="266" w:right="144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Foley &amp; Lardner LLP’s Negative Assurance Letter</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[As follows]</w:t>
      </w:r>
    </w:p>
    <w:p>
      <w:pPr>
        <w:spacing w:after="0" w:line="16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Exhibit B-1</w:t>
      </w:r>
    </w:p>
    <w:p>
      <w:pPr>
        <w:sectPr>
          <w:pgSz w:w="11900" w:h="16838" w:orient="portrait"/>
          <w:cols w:equalWidth="0" w:num="1">
            <w:col w:w="9019"/>
          </w:cols>
          <w:pgMar w:left="1440" w:top="266"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Company’s Legal Opinion</w:t>
      </w:r>
    </w:p>
    <w:p>
      <w:pPr>
        <w:spacing w:after="0" w:line="2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[As follows]</w:t>
      </w:r>
    </w:p>
    <w:p>
      <w:pPr>
        <w:spacing w:after="0" w:line="16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Exhibit A-2-2</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decimal"/>
      <w:start w:val="1"/>
    </w:lvl>
  </w:abstractNum>
  <w:abstractNum w:abstractNumId="2">
    <w:nsid w:val="5577F8E1"/>
    <w:multiLevelType w:val="hybridMultilevel"/>
    <w:lvl w:ilvl="0">
      <w:lvlJc w:val="left"/>
      <w:lvlText w:val="%1."/>
      <w:numFmt w:val="decimal"/>
      <w:start w:val="2"/>
    </w:lvl>
    <w:lvl w:ilvl="1">
      <w:lvlJc w:val="left"/>
      <w:lvlText w:val="(%2)"/>
      <w:numFmt w:val="lowerLetter"/>
      <w:start w:val="1"/>
    </w:lvl>
  </w:abstractNum>
  <w:abstractNum w:abstractNumId="3">
    <w:nsid w:val="440BADFC"/>
    <w:multiLevelType w:val="hybridMultilevel"/>
    <w:lvl w:ilvl="0">
      <w:lvlJc w:val="left"/>
      <w:lvlText w:val="(%1)"/>
      <w:numFmt w:val="lowerLetter"/>
      <w:start w:val="2"/>
    </w:lvl>
  </w:abstractNum>
  <w:abstractNum w:abstractNumId="4">
    <w:nsid w:val="5072367"/>
    <w:multiLevelType w:val="hybridMultilevel"/>
    <w:lvl w:ilvl="0">
      <w:lvlJc w:val="left"/>
      <w:lvlText w:val="%1"/>
      <w:numFmt w:val="lowerLetter"/>
      <w:start w:val="1"/>
    </w:lvl>
    <w:lvl w:ilvl="1">
      <w:lvlJc w:val="left"/>
      <w:lvlText w:val="(%2)"/>
      <w:numFmt w:val="lowerRoman"/>
      <w:start w:val="1"/>
    </w:lvl>
  </w:abstractNum>
  <w:abstractNum w:abstractNumId="5">
    <w:nsid w:val="3804823E"/>
    <w:multiLevelType w:val="hybridMultilevel"/>
    <w:lvl w:ilvl="0">
      <w:lvlJc w:val="left"/>
      <w:lvlText w:val="(%1)"/>
      <w:numFmt w:val="lowerLetter"/>
      <w:start w:val="3"/>
    </w:lvl>
    <w:lvl w:ilvl="1">
      <w:lvlJc w:val="left"/>
      <w:lvlText w:val="(%2)"/>
      <w:numFmt w:val="lowerRoman"/>
      <w:start w:val="1"/>
    </w:lvl>
  </w:abstractNum>
  <w:abstractNum w:abstractNumId="6">
    <w:nsid w:val="77465F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7">
    <w:nsid w:val="7724C67E"/>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8">
    <w:nsid w:val="5C482A97"/>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9">
    <w:nsid w:val="2463B9EA"/>
    <w:multiLevelType w:val="hybridMultilevel"/>
    <w:lvl w:ilvl="0">
      <w:lvlJc w:val="left"/>
      <w:lvlText w:val="%1"/>
      <w:numFmt w:val="lowerLetter"/>
      <w:start w:val="1"/>
    </w:lvl>
    <w:lvl w:ilvl="1">
      <w:lvlJc w:val="left"/>
      <w:lvlText w:val="(%2)"/>
      <w:numFmt w:val="lowerRoman"/>
      <w:start w:val="1"/>
    </w:lvl>
  </w:abstractNum>
  <w:abstractNum w:abstractNumId="10">
    <w:nsid w:val="5E884ADC"/>
    <w:multiLevelType w:val="hybridMultilevel"/>
    <w:lvl w:ilvl="0">
      <w:lvlJc w:val="left"/>
      <w:lvlText w:val="(%1)"/>
      <w:numFmt w:val="lowerLetter"/>
      <w:start w:val="8"/>
    </w:lvl>
    <w:lvl w:ilvl="1">
      <w:lvlJc w:val="left"/>
      <w:lvlText w:val="(%2)"/>
      <w:numFmt w:val="lowerRoman"/>
      <w:start w:val="1"/>
    </w:lvl>
  </w:abstractNum>
  <w:abstractNum w:abstractNumId="11">
    <w:nsid w:val="51EAD36B"/>
    <w:multiLevelType w:val="hybridMultilevel"/>
    <w:lvl w:ilvl="0">
      <w:lvlJc w:val="left"/>
      <w:lvlText w:val="(%1)"/>
      <w:numFmt w:val="lowerRoman"/>
      <w:start w:val="2"/>
    </w:lvl>
  </w:abstractNum>
  <w:abstractNum w:abstractNumId="12">
    <w:nsid w:val="2D517796"/>
    <w:multiLevelType w:val="hybridMultilevel"/>
    <w:lvl w:ilvl="0">
      <w:lvlJc w:val="left"/>
      <w:lvlText w:val="(%1)"/>
      <w:numFmt w:val="lowerRoman"/>
      <w:start w:val="1"/>
    </w:lvl>
    <w:lvl w:ilvl="1">
      <w:lvlJc w:val="left"/>
      <w:lvlText w:val="(%2)"/>
      <w:numFmt w:val="lowerRoman"/>
      <w:start w:val="1"/>
    </w:lvl>
  </w:abstractNum>
  <w:abstractNum w:abstractNumId="13">
    <w:nsid w:val="580BD78F"/>
    <w:multiLevelType w:val="hybridMultilevel"/>
    <w:lvl w:ilvl="0">
      <w:lvlJc w:val="left"/>
      <w:lvlText w:val="(%1)"/>
      <w:numFmt w:val="lowerLetter"/>
      <w:start w:val="10"/>
    </w:lvl>
    <w:lvl w:ilvl="1">
      <w:lvlJc w:val="left"/>
      <w:lvlText w:val="(%2)"/>
      <w:numFmt w:val="lowerRoman"/>
      <w:start w:val="1"/>
    </w:lvl>
  </w:abstractNum>
  <w:abstractNum w:abstractNumId="14">
    <w:nsid w:val="153EA438"/>
    <w:multiLevelType w:val="hybridMultilevel"/>
    <w:lvl w:ilvl="0">
      <w:lvlJc w:val="left"/>
      <w:lvlText w:val="%1"/>
      <w:numFmt w:val="lowerLetter"/>
      <w:start w:val="1"/>
    </w:lvl>
    <w:lvl w:ilvl="1">
      <w:lvlJc w:val="left"/>
      <w:lvlText w:val="(%2)"/>
      <w:numFmt w:val="lowerRoman"/>
      <w:start w:val="2"/>
    </w:lvl>
  </w:abstractNum>
  <w:abstractNum w:abstractNumId="15">
    <w:nsid w:val="3855585C"/>
    <w:multiLevelType w:val="hybridMultilevel"/>
    <w:lvl w:ilvl="0">
      <w:lvlJc w:val="left"/>
      <w:lvlText w:val="(%1)"/>
      <w:numFmt w:val="lowerLetter"/>
      <w:start w:val="12"/>
    </w:lvl>
    <w:lvl w:ilvl="1">
      <w:lvlJc w:val="left"/>
      <w:lvlText w:val="(%2)"/>
      <w:numFmt w:val="lowerRoman"/>
      <w:start w:val="1"/>
    </w:lvl>
  </w:abstractNum>
  <w:abstractNum w:abstractNumId="16">
    <w:nsid w:val="70A64E2A"/>
    <w:multiLevelType w:val="hybridMultilevel"/>
    <w:lvl w:ilvl="0">
      <w:lvlJc w:val="left"/>
      <w:lvlText w:val="(%1)"/>
      <w:numFmt w:val="lowerLetter"/>
      <w:start w:val="14"/>
    </w:lvl>
    <w:lvl w:ilvl="1">
      <w:lvlJc w:val="left"/>
      <w:lvlText w:val="(%2)"/>
      <w:numFmt w:val="lowerRoman"/>
      <w:start w:val="1"/>
    </w:lvl>
  </w:abstractNum>
  <w:abstractNum w:abstractNumId="17">
    <w:nsid w:val="6A2342EC"/>
    <w:multiLevelType w:val="hybridMultilevel"/>
    <w:lvl w:ilvl="0">
      <w:lvlJc w:val="left"/>
      <w:lvlText w:val="(%1)"/>
      <w:numFmt w:val="lowerLetter"/>
      <w:start w:val="16"/>
    </w:lvl>
  </w:abstractNum>
  <w:abstractNum w:abstractNumId="18">
    <w:nsid w:val="2A487CB0"/>
    <w:multiLevelType w:val="hybridMultilevel"/>
    <w:lvl w:ilvl="0">
      <w:lvlJc w:val="left"/>
      <w:lvlText w:val="%1"/>
      <w:numFmt w:val="lowerLetter"/>
      <w:start w:val="1"/>
    </w:lvl>
    <w:lvl w:ilvl="1">
      <w:lvlJc w:val="left"/>
      <w:lvlText w:val="(%2)"/>
      <w:numFmt w:val="lowerRoman"/>
      <w:start w:val="2"/>
    </w:lvl>
  </w:abstractNum>
  <w:abstractNum w:abstractNumId="19">
    <w:nsid w:val="1D4ED43B"/>
    <w:multiLevelType w:val="hybridMultilevel"/>
    <w:lvl w:ilvl="0">
      <w:lvlJc w:val="left"/>
      <w:lvlText w:val="(%1)"/>
      <w:numFmt w:val="lowerLetter"/>
      <w:start w:val="17"/>
    </w:lvl>
    <w:lvl w:ilvl="1">
      <w:lvlJc w:val="left"/>
      <w:lvlText w:val="(%2)"/>
      <w:numFmt w:val="lowerRoman"/>
      <w:start w:val="1"/>
    </w:lvl>
  </w:abstractNum>
  <w:abstractNum w:abstractNumId="20">
    <w:nsid w:val="725A06FB"/>
    <w:multiLevelType w:val="hybridMultilevel"/>
    <w:lvl w:ilvl="0">
      <w:lvlJc w:val="left"/>
      <w:lvlText w:val="(%1)"/>
      <w:numFmt w:val="lowerLetter"/>
      <w:start w:val="18"/>
    </w:lvl>
    <w:lvl w:ilvl="1">
      <w:lvlJc w:val="left"/>
      <w:lvlText w:val="(%2)"/>
      <w:numFmt w:val="lowerLetter"/>
      <w:start w:val="9"/>
    </w:lvl>
  </w:abstractNum>
  <w:abstractNum w:abstractNumId="21">
    <w:nsid w:val="2CD89A32"/>
    <w:multiLevelType w:val="hybridMultilevel"/>
    <w:lvl w:ilvl="0">
      <w:lvlJc w:val="left"/>
      <w:lvlText w:val="%1"/>
      <w:numFmt w:val="lowerLetter"/>
      <w:start w:val="1"/>
    </w:lvl>
    <w:lvl w:ilvl="1">
      <w:lvlJc w:val="left"/>
      <w:lvlText w:val="(%2)"/>
      <w:numFmt w:val="lowerRoman"/>
      <w:start w:val="2"/>
    </w:lvl>
  </w:abstractNum>
  <w:abstractNum w:abstractNumId="22">
    <w:nsid w:val="57E4CCAF"/>
    <w:multiLevelType w:val="hybridMultilevel"/>
    <w:lvl w:ilvl="0">
      <w:lvlJc w:val="left"/>
      <w:lvlText w:val="(%1)"/>
      <w:numFmt w:val="lowerLetter"/>
      <w:start w:val="23"/>
    </w:lvl>
    <w:lvl w:ilvl="1">
      <w:lvlJc w:val="left"/>
      <w:lvlText w:val="%2"/>
      <w:numFmt w:val="lowerRoman"/>
      <w:start w:val="1"/>
    </w:lvl>
  </w:abstractNum>
  <w:abstractNum w:abstractNumId="23">
    <w:nsid w:val="7A6D8D3C"/>
    <w:multiLevelType w:val="hybridMultilevel"/>
    <w:lvl w:ilvl="0">
      <w:lvlJc w:val="left"/>
      <w:lvlText w:val="%1"/>
      <w:numFmt w:val="lowerLetter"/>
      <w:start w:val="1"/>
    </w:lvl>
    <w:lvl w:ilvl="1">
      <w:lvlJc w:val="left"/>
      <w:lvlText w:val="(%2)"/>
      <w:numFmt w:val="lowerRoman"/>
      <w:start w:val="1"/>
    </w:lvl>
  </w:abstractNum>
  <w:abstractNum w:abstractNumId="24">
    <w:nsid w:val="4B588F54"/>
    <w:multiLevelType w:val="hybridMultilevel"/>
    <w:lvl w:ilvl="0">
      <w:lvlJc w:val="left"/>
      <w:lvlText w:val="(%1)"/>
      <w:numFmt w:val="lowerLetter"/>
      <w:start w:val="25"/>
    </w:lvl>
    <w:lvl w:ilvl="1">
      <w:lvlJc w:val="left"/>
      <w:lvlText w:val="%2"/>
      <w:numFmt w:val="lowerRoman"/>
      <w:start w:val="1"/>
    </w:lvl>
  </w:abstractNum>
  <w:abstractNum w:abstractNumId="25">
    <w:nsid w:val="542289EC"/>
    <w:multiLevelType w:val="hybridMultilevel"/>
    <w:lvl w:ilvl="0">
      <w:lvlJc w:val="left"/>
      <w:lvlText w:val="(%1)"/>
      <w:numFmt w:val="lowerLetter"/>
      <w:start w:val="27"/>
    </w:lvl>
  </w:abstractNum>
  <w:abstractNum w:abstractNumId="26">
    <w:nsid w:val="6DE91B18"/>
    <w:multiLevelType w:val="hybridMultilevel"/>
    <w:lvl w:ilvl="0">
      <w:lvlJc w:val="left"/>
      <w:lvlText w:val="(%1)"/>
      <w:numFmt w:val="lowerLetter"/>
      <w:start w:val="35"/>
    </w:lvl>
    <w:lvl w:ilvl="1">
      <w:lvlJc w:val="left"/>
      <w:lvlText w:val="(%2)"/>
      <w:numFmt w:val="lowerLetter"/>
      <w:start w:val="29"/>
    </w:lvl>
    <w:lvl w:ilvl="2">
      <w:lvlJc w:val="left"/>
      <w:lvlText w:val="(%3)"/>
      <w:numFmt w:val="lowerRoman"/>
      <w:start w:val="1"/>
    </w:lvl>
  </w:abstractNum>
  <w:abstractNum w:abstractNumId="27">
    <w:nsid w:val="38437FDB"/>
    <w:multiLevelType w:val="hybridMultilevel"/>
    <w:lvl w:ilvl="0">
      <w:lvlJc w:val="left"/>
      <w:lvlText w:val="(%1)"/>
      <w:numFmt w:val="lowerLetter"/>
      <w:start w:val="31"/>
    </w:lvl>
    <w:lvl w:ilvl="1">
      <w:lvlJc w:val="left"/>
      <w:lvlText w:val="(%2)"/>
      <w:numFmt w:val="lowerRoman"/>
      <w:start w:val="1"/>
    </w:lvl>
  </w:abstractNum>
  <w:abstractNum w:abstractNumId="28">
    <w:nsid w:val="7644A45C"/>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29">
    <w:nsid w:val="32FFF902"/>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30">
    <w:nsid w:val="684A481A"/>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31">
    <w:nsid w:val="579478FE"/>
    <w:multiLevelType w:val="hybridMultilevel"/>
    <w:lvl w:ilvl="0">
      <w:lvlJc w:val="left"/>
      <w:lvlText w:val="%1."/>
      <w:numFmt w:val="decimal"/>
      <w:start w:val="4"/>
    </w:lvl>
    <w:lvl w:ilvl="1">
      <w:lvlJc w:val="left"/>
      <w:lvlText w:val="(%2)"/>
      <w:numFmt w:val="lowerLetter"/>
      <w:start w:val="1"/>
    </w:lvl>
  </w:abstractNum>
  <w:abstractNum w:abstractNumId="32">
    <w:nsid w:val="749ABB43"/>
    <w:multiLevelType w:val="hybridMultilevel"/>
    <w:lvl w:ilvl="0">
      <w:lvlJc w:val="left"/>
      <w:lvlText w:val="(%1)"/>
      <w:numFmt w:val="lowerLetter"/>
      <w:start w:val="3"/>
    </w:lvl>
  </w:abstractNum>
  <w:abstractNum w:abstractNumId="33">
    <w:nsid w:val="3DC240FB"/>
    <w:multiLevelType w:val="hybridMultilevel"/>
    <w:lvl w:ilvl="0">
      <w:lvlJc w:val="left"/>
      <w:lvlText w:val="(%1)"/>
      <w:numFmt w:val="lowerLetter"/>
      <w:start w:val="7"/>
    </w:lvl>
  </w:abstractNum>
  <w:abstractNum w:abstractNumId="34">
    <w:nsid w:val="1BA026FA"/>
    <w:multiLevelType w:val="hybridMultilevel"/>
    <w:lvl w:ilvl="0">
      <w:lvlJc w:val="left"/>
      <w:lvlText w:val="(%1)"/>
      <w:numFmt w:val="lowerLetter"/>
      <w:start w:val="9"/>
    </w:lvl>
  </w:abstractNum>
  <w:abstractNum w:abstractNumId="35">
    <w:nsid w:val="79A1DEAA"/>
    <w:multiLevelType w:val="hybridMultilevel"/>
    <w:lvl w:ilvl="0">
      <w:lvlJc w:val="left"/>
      <w:lvlText w:val="%1"/>
      <w:numFmt w:val="decimal"/>
      <w:start w:val="1"/>
    </w:lvl>
    <w:lvl w:ilvl="1">
      <w:lvlJc w:val="left"/>
      <w:lvlText w:val="(%2)"/>
      <w:numFmt w:val="lowerLetter"/>
      <w:start w:val="13"/>
    </w:lvl>
  </w:abstractNum>
  <w:abstractNum w:abstractNumId="36">
    <w:nsid w:val="75C6C33A"/>
    <w:multiLevelType w:val="hybridMultilevel"/>
    <w:lvl w:ilvl="0">
      <w:lvlJc w:val="left"/>
      <w:lvlText w:val="%1."/>
      <w:numFmt w:val="decimal"/>
      <w:start w:val="6"/>
    </w:lvl>
    <w:lvl w:ilvl="1">
      <w:lvlJc w:val="left"/>
      <w:lvlText w:val="(%2)"/>
      <w:numFmt w:val="lowerLetter"/>
      <w:start w:val="1"/>
    </w:lvl>
  </w:abstractNum>
  <w:abstractNum w:abstractNumId="37">
    <w:nsid w:val="12E685FB"/>
    <w:multiLevelType w:val="hybridMultilevel"/>
    <w:lvl w:ilvl="0">
      <w:lvlJc w:val="left"/>
      <w:lvlText w:val="%1"/>
      <w:numFmt w:val="lowerLetter"/>
      <w:start w:val="1"/>
    </w:lvl>
    <w:lvl w:ilvl="1">
      <w:lvlJc w:val="left"/>
      <w:lvlText w:val="(%2)"/>
      <w:numFmt w:val="lowerLetter"/>
      <w:start w:val="2"/>
    </w:lvl>
  </w:abstractNum>
  <w:abstractNum w:abstractNumId="38">
    <w:nsid w:val="70C6A529"/>
    <w:multiLevelType w:val="hybridMultilevel"/>
    <w:lvl w:ilvl="0">
      <w:lvlJc w:val="left"/>
      <w:lvlText w:val="(%1)"/>
      <w:numFmt w:val="lowerLetter"/>
      <w:start w:val="35"/>
    </w:lvl>
    <w:lvl w:ilvl="1">
      <w:lvlJc w:val="left"/>
      <w:lvlText w:val="%2"/>
      <w:numFmt w:val="lowerLetter"/>
      <w:start w:val="1"/>
    </w:lvl>
  </w:abstractNum>
  <w:abstractNum w:abstractNumId="39">
    <w:nsid w:val="520EEDD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40">
    <w:nsid w:val="374A3FE6"/>
    <w:multiLevelType w:val="hybridMultilevel"/>
    <w:lvl w:ilvl="0">
      <w:lvlJc w:val="left"/>
      <w:lvlText w:val="%1"/>
      <w:numFmt w:val="lowerLetter"/>
      <w:start w:val="1"/>
    </w:lvl>
    <w:lvl w:ilvl="1">
      <w:lvlJc w:val="left"/>
      <w:lvlText w:val="(%2)"/>
      <w:numFmt w:val="lowerLetter"/>
      <w:start w:val="35"/>
    </w:lvl>
  </w:abstractNum>
  <w:abstractNum w:abstractNumId="41">
    <w:nsid w:val="4F4EF005"/>
    <w:multiLevelType w:val="hybridMultilevel"/>
    <w:lvl w:ilvl="0">
      <w:lvlJc w:val="left"/>
      <w:lvlText w:val="(%1)"/>
      <w:numFmt w:val="lowerLetter"/>
      <w:start w:val="3"/>
    </w:lvl>
    <w:lvl w:ilvl="1">
      <w:lvlJc w:val="left"/>
      <w:lvlText w:val="(%2)"/>
      <w:numFmt w:val="lowerLetter"/>
      <w:start w:val="9"/>
    </w:lvl>
  </w:abstractNum>
  <w:abstractNum w:abstractNumId="42">
    <w:nsid w:val="23F9C13C"/>
    <w:multiLevelType w:val="hybridMultilevel"/>
    <w:lvl w:ilvl="0">
      <w:lvlJc w:val="left"/>
      <w:lvlText w:val="(%1)"/>
      <w:numFmt w:val="lowerRoman"/>
      <w:start w:val="2"/>
    </w:lvl>
  </w:abstractNum>
  <w:abstractNum w:abstractNumId="43">
    <w:nsid w:val="649BB77C"/>
    <w:multiLevelType w:val="hybridMultilevel"/>
    <w:lvl w:ilvl="0">
      <w:lvlJc w:val="left"/>
      <w:lvlText w:val="%1"/>
      <w:numFmt w:val="lowerLetter"/>
      <w:start w:val="1"/>
    </w:lvl>
    <w:lvl w:ilvl="1">
      <w:lvlJc w:val="left"/>
      <w:lvlText w:val="(%2)"/>
      <w:numFmt w:val="lowerRoman"/>
      <w:start w:val="8"/>
    </w:lvl>
  </w:abstractNum>
  <w:abstractNum w:abstractNumId="44">
    <w:nsid w:val="275AC794"/>
    <w:multiLevelType w:val="hybridMultilevel"/>
    <w:lvl w:ilvl="0">
      <w:lvlJc w:val="left"/>
      <w:lvlText w:val="(%1)"/>
      <w:numFmt w:val="lowerLetter"/>
      <w:start w:val="4"/>
    </w:lvl>
    <w:lvl w:ilvl="1">
      <w:lvlJc w:val="left"/>
      <w:lvlText w:val="%2"/>
      <w:numFmt w:val="lowerRoman"/>
      <w:start w:val="1"/>
    </w:lvl>
  </w:abstractNum>
  <w:abstractNum w:abstractNumId="45">
    <w:nsid w:val="39386575"/>
    <w:multiLevelType w:val="hybridMultilevel"/>
    <w:lvl w:ilvl="0">
      <w:lvlJc w:val="left"/>
      <w:lvlText w:val="(%1)"/>
      <w:numFmt w:val="lowerLetter"/>
      <w:start w:val="8"/>
    </w:lvl>
  </w:abstractNum>
  <w:abstractNum w:abstractNumId="46">
    <w:nsid w:val="1CF10FD8"/>
    <w:multiLevelType w:val="hybridMultilevel"/>
    <w:lvl w:ilvl="0">
      <w:lvlJc w:val="left"/>
      <w:lvlText w:val="%1."/>
      <w:numFmt w:val="decimal"/>
      <w:start w:val="8"/>
    </w:lvl>
    <w:lvl w:ilvl="1">
      <w:lvlJc w:val="left"/>
      <w:lvlText w:val="(%2)"/>
      <w:numFmt w:val="lowerLetter"/>
      <w:start w:val="1"/>
    </w:lvl>
  </w:abstractNum>
  <w:abstractNum w:abstractNumId="47">
    <w:nsid w:val="180115BE"/>
    <w:multiLevelType w:val="hybridMultilevel"/>
    <w:lvl w:ilvl="0">
      <w:lvlJc w:val="left"/>
      <w:lvlText w:val="(%1)"/>
      <w:numFmt w:val="lowerLetter"/>
      <w:start w:val="2"/>
    </w:lvl>
  </w:abstractNum>
  <w:abstractNum w:abstractNumId="48">
    <w:nsid w:val="235BA861"/>
    <w:multiLevelType w:val="hybridMultilevel"/>
    <w:lvl w:ilvl="0">
      <w:lvlJc w:val="left"/>
      <w:lvlText w:val="(%1)"/>
      <w:numFmt w:val="lowerLetter"/>
      <w:start w:val="4"/>
    </w:lvl>
  </w:abstractNum>
  <w:abstractNum w:abstractNumId="49">
    <w:nsid w:val="47398C89"/>
    <w:multiLevelType w:val="hybridMultilevel"/>
    <w:lvl w:ilvl="0">
      <w:lvlJc w:val="left"/>
      <w:lvlText w:val="%1."/>
      <w:numFmt w:val="decimal"/>
      <w:start w:val="9"/>
    </w:lvl>
  </w:abstractNum>
  <w:abstractNum w:abstractNumId="50">
    <w:nsid w:val="354FE9F9"/>
    <w:multiLevelType w:val="hybridMultilevel"/>
    <w:lvl w:ilvl="0">
      <w:lvlJc w:val="left"/>
      <w:lvlText w:val="%1."/>
      <w:numFmt w:val="decimal"/>
      <w:start w:val="11"/>
    </w:lvl>
    <w:lvl w:ilvl="1">
      <w:lvlJc w:val="left"/>
      <w:lvlText w:val="(%2)"/>
      <w:numFmt w:val="lowerLetter"/>
      <w:start w:val="1"/>
    </w:lvl>
  </w:abstractNum>
  <w:abstractNum w:abstractNumId="51">
    <w:nsid w:val="15B5AF5C"/>
    <w:multiLevelType w:val="hybridMultilevel"/>
    <w:lvl w:ilvl="0">
      <w:lvlJc w:val="left"/>
      <w:lvlText w:val="%1."/>
      <w:numFmt w:val="decimal"/>
      <w:start w:val="12"/>
    </w:lvl>
  </w:abstractNum>
  <w:abstractNum w:abstractNumId="52">
    <w:nsid w:val="741226BB"/>
    <w:multiLevelType w:val="hybridMultilevel"/>
    <w:lvl w:ilvl="0">
      <w:lvlJc w:val="left"/>
      <w:lvlText w:val="%1."/>
      <w:numFmt w:val="decimal"/>
      <w:start w:val="14"/>
    </w:lvl>
    <w:lvl w:ilvl="1">
      <w:lvlJc w:val="left"/>
      <w:lvlText w:val="(%2)"/>
      <w:numFmt w:val="lowerLetter"/>
      <w:start w:val="1"/>
    </w:lvl>
  </w:abstractNum>
  <w:abstractNum w:abstractNumId="53">
    <w:nsid w:val="D34B6A8"/>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4">
    <w:nsid w:val="10233C99"/>
    <w:multiLevelType w:val="hybridMultilevel"/>
    <w:lvl w:ilvl="0">
      <w:lvlJc w:val="left"/>
      <w:lvlText w:val="(%1)"/>
      <w:numFmt w:val="lowerRoman"/>
      <w:start w:val="2"/>
    </w:lvl>
  </w:abstractNum>
  <w:abstractNum w:abstractNumId="55">
    <w:nsid w:val="3F6AB60F"/>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9"/>
    </w:lvl>
  </w:abstractNum>
  <w:abstractNum w:abstractNumId="56">
    <w:nsid w:val="61574095"/>
    <w:multiLevelType w:val="hybridMultilevel"/>
    <w:lvl w:ilvl="0">
      <w:lvlJc w:val="left"/>
      <w:lvlText w:val="%1"/>
      <w:numFmt w:val="lowerRoman"/>
      <w:start w:val="1"/>
    </w:lvl>
    <w:lvl w:ilvl="1">
      <w:lvlJc w:val="left"/>
      <w:lvlText w:val="(%2)"/>
      <w:numFmt w:val="upperLetter"/>
      <w:start w:val="1"/>
    </w:lvl>
  </w:abstractNum>
  <w:abstractNum w:abstractNumId="57">
    <w:nsid w:val="7E0C57B1"/>
    <w:multiLevelType w:val="hybridMultilevel"/>
    <w:lvl w:ilvl="0">
      <w:lvlJc w:val="left"/>
      <w:lvlText w:val="(%1)"/>
      <w:numFmt w:val="lowerRoman"/>
      <w:start w:val="2"/>
    </w:lvl>
    <w:lvl w:ilvl="1">
      <w:lvlJc w:val="left"/>
      <w:lvlText w:val="%2"/>
      <w:numFmt w:val="upperLetter"/>
      <w:start w:val="1"/>
    </w:lvl>
  </w:abstractNum>
  <w:abstractNum w:abstractNumId="58">
    <w:nsid w:val="77AE35EB"/>
    <w:multiLevelType w:val="hybridMultilevel"/>
    <w:lvl w:ilvl="0">
      <w:lvlJc w:val="left"/>
      <w:lvlText w:val="%1."/>
      <w:numFmt w:val="decimal"/>
      <w:start w:val="20"/>
    </w:lvl>
    <w:lvl w:ilvl="1">
      <w:lvlJc w:val="left"/>
      <w:lvlText w:val="(%2)"/>
      <w:numFmt w:val="lowerLetter"/>
      <w:start w:val="1"/>
    </w:lvl>
  </w:abstractNum>
  <w:abstractNum w:abstractNumId="59">
    <w:nsid w:val="579BE4F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60">
    <w:nsid w:val="310C50B3"/>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1">
    <w:nsid w:val="5FF87E05"/>
    <w:multiLevelType w:val="hybridMultilevel"/>
    <w:lvl w:ilvl="0">
      <w:lvlJc w:val="left"/>
      <w:lvlText w:val="%1."/>
      <w:numFmt w:val="decimal"/>
      <w:start w:val="22"/>
    </w:lvl>
    <w:lvl w:ilvl="1">
      <w:lvlJc w:val="left"/>
      <w:lvlText w:val="(%2)"/>
      <w:numFmt w:val="lowerLetter"/>
      <w:start w:val="1"/>
    </w:lvl>
  </w:abstractNum>
  <w:abstractNum w:abstractNumId="62">
    <w:nsid w:val="2F305DEF"/>
    <w:multiLevelType w:val="hybridMultilevel"/>
    <w:lvl w:ilvl="0">
      <w:lvlJc w:val="left"/>
      <w:lvlText w:val="%1"/>
      <w:numFmt w:val="lowerRoman"/>
      <w:start w:val="1"/>
    </w:lvl>
    <w:lvl w:ilvl="1">
      <w:lvlJc w:val="left"/>
      <w:lvlText w:val="%2."/>
      <w:numFmt w:val="decimal"/>
      <w:start w:val="24"/>
    </w:lvl>
  </w:abstractNum>
  <w:abstractNum w:abstractNumId="63">
    <w:nsid w:val="25A70BF7"/>
    <w:multiLevelType w:val="hybridMultilevel"/>
    <w:lvl w:ilvl="0">
      <w:lvlJc w:val="left"/>
      <w:lvlText w:val="(%1)"/>
      <w:numFmt w:val="lowerRoman"/>
      <w:start w:val="1"/>
    </w:lvl>
    <w:lvl w:ilvl="1">
      <w:lvlJc w:val="left"/>
      <w:lvlText w:val="%2"/>
      <w:numFmt w:val="decimal"/>
      <w:start w:val="1"/>
    </w:lvl>
  </w:abstractNum>
  <w:abstractNum w:abstractNumId="64">
    <w:nsid w:val="1DBABF00"/>
    <w:multiLevelType w:val="hybridMultilevel"/>
    <w:lvl w:ilvl="0">
      <w:lvlJc w:val="left"/>
      <w:lvlText w:val="%1."/>
      <w:numFmt w:val="decimal"/>
      <w:start w:val="1"/>
    </w:lvl>
  </w:abstractNum>
  <w:abstractNum w:abstractNumId="65">
    <w:nsid w:val="4AD084E9"/>
    <w:multiLevelType w:val="hybridMultilevel"/>
    <w:lvl w:ilvl="0">
      <w:lvlJc w:val="left"/>
      <w:lvlText w:val="%1."/>
      <w:numFmt w:val="decimal"/>
      <w:start w:val="2"/>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2026-06-17T15:54:20Z</dcterms:created>
  <dcterms:modified xsi:type="dcterms:W3CDTF">2026-06-17T15:54:20Z</dcterms:modified>
</cp:coreProperties>
</file>