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As filed with the Securities and Exchange Commission on April 28, 2000.</w:t>
      </w:r>
    </w:p>
    <w:p>
      <w:pPr>
        <w:spacing w:after="0" w:line="188" w:lineRule="exact"/>
        <w:rPr>
          <w:sz w:val="24"/>
          <w:szCs w:val="24"/>
          <w:color w:val="auto"/>
        </w:rPr>
      </w:pPr>
    </w:p>
    <w:p>
      <w:pPr>
        <w:ind w:left="5661"/>
        <w:spacing w:after="0"/>
        <w:rPr>
          <w:sz w:val="20"/>
          <w:szCs w:val="20"/>
          <w:color w:val="auto"/>
        </w:rPr>
      </w:pPr>
      <w:r>
        <w:rPr>
          <w:rFonts w:ascii="Courier New" w:cs="Courier New" w:eastAsia="Courier New" w:hAnsi="Courier New"/>
          <w:sz w:val="16"/>
          <w:szCs w:val="16"/>
          <w:color w:val="auto"/>
        </w:rPr>
        <w:t>Registration No. 333-</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4"/>
          <w:szCs w:val="24"/>
          <w:color w:val="auto"/>
        </w:rPr>
      </w:pPr>
    </w:p>
    <w:tbl>
      <w:tblPr>
        <w:tblLayout w:type="fixed"/>
        <w:tblInd w:w="281" w:type="dxa"/>
        <w:tblCellMar>
          <w:top w:w="0" w:type="dxa"/>
          <w:left w:w="0" w:type="dxa"/>
          <w:bottom w:w="0" w:type="dxa"/>
          <w:right w:w="0" w:type="dxa"/>
        </w:tblCellMar>
      </w:tblPr>
      <w:tr>
        <w:trPr>
          <w:trHeight w:val="181"/>
        </w:trPr>
        <w:tc>
          <w:tcPr>
            <w:tcW w:w="5000" w:type="dxa"/>
            <w:vAlign w:val="bottom"/>
          </w:tcPr>
          <w:p>
            <w:pPr>
              <w:jc w:val="center"/>
              <w:ind w:left="2040"/>
              <w:spacing w:after="0"/>
              <w:rPr>
                <w:sz w:val="20"/>
                <w:szCs w:val="20"/>
                <w:color w:val="auto"/>
              </w:rPr>
            </w:pPr>
            <w:r>
              <w:rPr>
                <w:rFonts w:ascii="Courier New" w:cs="Courier New" w:eastAsia="Courier New" w:hAnsi="Courier New"/>
                <w:sz w:val="16"/>
                <w:szCs w:val="16"/>
                <w:color w:val="auto"/>
                <w:w w:val="98"/>
              </w:rPr>
              <w:t>FORM S-8</w:t>
            </w:r>
          </w:p>
        </w:tc>
        <w:tc>
          <w:tcPr>
            <w:tcW w:w="1820" w:type="dxa"/>
            <w:vAlign w:val="bottom"/>
          </w:tcPr>
          <w:p>
            <w:pPr>
              <w:spacing w:after="0"/>
              <w:rPr>
                <w:sz w:val="15"/>
                <w:szCs w:val="15"/>
                <w:color w:val="auto"/>
              </w:rPr>
            </w:pPr>
          </w:p>
        </w:tc>
      </w:tr>
      <w:tr>
        <w:trPr>
          <w:trHeight w:val="185"/>
        </w:trPr>
        <w:tc>
          <w:tcPr>
            <w:tcW w:w="6820" w:type="dxa"/>
            <w:vAlign w:val="bottom"/>
            <w:gridSpan w:val="2"/>
          </w:tcPr>
          <w:p>
            <w:pPr>
              <w:jc w:val="center"/>
              <w:ind w:left="320"/>
              <w:spacing w:after="0"/>
              <w:rPr>
                <w:sz w:val="20"/>
                <w:szCs w:val="20"/>
                <w:color w:val="auto"/>
              </w:rPr>
            </w:pPr>
            <w:r>
              <w:rPr>
                <w:rFonts w:ascii="Courier New" w:cs="Courier New" w:eastAsia="Courier New" w:hAnsi="Courier New"/>
                <w:sz w:val="16"/>
                <w:szCs w:val="16"/>
                <w:color w:val="auto"/>
              </w:rPr>
              <w:t>REGISTRATION STATEMENT UNDER THE SECURITIES ACT OF 1933</w:t>
            </w:r>
          </w:p>
        </w:tc>
      </w:tr>
      <w:tr>
        <w:trPr>
          <w:trHeight w:val="370"/>
        </w:trPr>
        <w:tc>
          <w:tcPr>
            <w:tcW w:w="5000" w:type="dxa"/>
            <w:vAlign w:val="bottom"/>
          </w:tcPr>
          <w:p>
            <w:pPr>
              <w:jc w:val="center"/>
              <w:ind w:left="204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spacing w:after="0"/>
              <w:rPr>
                <w:sz w:val="24"/>
                <w:szCs w:val="24"/>
                <w:color w:val="auto"/>
              </w:rPr>
            </w:pPr>
          </w:p>
        </w:tc>
      </w:tr>
      <w:tr>
        <w:trPr>
          <w:trHeight w:val="370"/>
        </w:trPr>
        <w:tc>
          <w:tcPr>
            <w:tcW w:w="5000" w:type="dxa"/>
            <w:vAlign w:val="bottom"/>
          </w:tcPr>
          <w:p>
            <w:pPr>
              <w:jc w:val="center"/>
              <w:ind w:left="2040"/>
              <w:spacing w:after="0"/>
              <w:rPr>
                <w:sz w:val="20"/>
                <w:szCs w:val="20"/>
                <w:color w:val="auto"/>
              </w:rPr>
            </w:pPr>
            <w:r>
              <w:rPr>
                <w:rFonts w:ascii="Courier New" w:cs="Courier New" w:eastAsia="Courier New" w:hAnsi="Courier New"/>
                <w:sz w:val="16"/>
                <w:szCs w:val="16"/>
                <w:color w:val="auto"/>
                <w:w w:val="99"/>
              </w:rPr>
              <w:t>CHECKFREE HOLDINGS CORPORATION</w:t>
            </w:r>
          </w:p>
        </w:tc>
        <w:tc>
          <w:tcPr>
            <w:tcW w:w="1820" w:type="dxa"/>
            <w:vAlign w:val="bottom"/>
          </w:tcPr>
          <w:p>
            <w:pPr>
              <w:spacing w:after="0"/>
              <w:rPr>
                <w:sz w:val="24"/>
                <w:szCs w:val="24"/>
                <w:color w:val="auto"/>
              </w:rPr>
            </w:pPr>
          </w:p>
        </w:tc>
      </w:tr>
      <w:tr>
        <w:trPr>
          <w:trHeight w:val="185"/>
        </w:trPr>
        <w:tc>
          <w:tcPr>
            <w:tcW w:w="6820" w:type="dxa"/>
            <w:vAlign w:val="bottom"/>
            <w:gridSpan w:val="2"/>
          </w:tcPr>
          <w:p>
            <w:pPr>
              <w:jc w:val="center"/>
              <w:ind w:left="220"/>
              <w:spacing w:after="0"/>
              <w:rPr>
                <w:sz w:val="20"/>
                <w:szCs w:val="20"/>
                <w:color w:val="auto"/>
              </w:rPr>
            </w:pPr>
            <w:r>
              <w:rPr>
                <w:rFonts w:ascii="Courier New" w:cs="Courier New" w:eastAsia="Courier New" w:hAnsi="Courier New"/>
                <w:sz w:val="16"/>
                <w:szCs w:val="16"/>
                <w:color w:val="auto"/>
              </w:rPr>
              <w:t>(Exact name of Registrant as specified in its charter)</w:t>
            </w:r>
          </w:p>
        </w:tc>
      </w:tr>
      <w:tr>
        <w:trPr>
          <w:trHeight w:val="370"/>
        </w:trPr>
        <w:tc>
          <w:tcPr>
            <w:tcW w:w="5000" w:type="dxa"/>
            <w:vAlign w:val="bottom"/>
          </w:tcPr>
          <w:p>
            <w:pPr>
              <w:ind w:left="1160"/>
              <w:spacing w:after="0"/>
              <w:rPr>
                <w:sz w:val="20"/>
                <w:szCs w:val="20"/>
                <w:color w:val="auto"/>
              </w:rPr>
            </w:pPr>
            <w:r>
              <w:rPr>
                <w:rFonts w:ascii="Courier New" w:cs="Courier New" w:eastAsia="Courier New" w:hAnsi="Courier New"/>
                <w:sz w:val="16"/>
                <w:szCs w:val="16"/>
                <w:color w:val="auto"/>
              </w:rPr>
              <w:t>Delaware</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58-2360335</w:t>
            </w:r>
          </w:p>
        </w:tc>
      </w:tr>
      <w:tr>
        <w:trPr>
          <w:trHeight w:val="185"/>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(State or other jurisdiction</w:t>
            </w:r>
          </w:p>
        </w:tc>
        <w:tc>
          <w:tcPr>
            <w:tcW w:w="1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(I.R.S. Employer</w:t>
            </w:r>
          </w:p>
        </w:tc>
      </w:tr>
      <w:tr>
        <w:trPr>
          <w:trHeight w:val="185"/>
        </w:trPr>
        <w:tc>
          <w:tcPr>
            <w:tcW w:w="5000" w:type="dxa"/>
            <w:vAlign w:val="bottom"/>
          </w:tcPr>
          <w:p>
            <w:pPr>
              <w:spacing w:after="0"/>
              <w:rPr>
                <w:sz w:val="20"/>
                <w:szCs w:val="20"/>
                <w:color w:val="auto"/>
              </w:rPr>
            </w:pPr>
            <w:r>
              <w:rPr>
                <w:rFonts w:ascii="Courier New" w:cs="Courier New" w:eastAsia="Courier New" w:hAnsi="Courier New"/>
                <w:sz w:val="16"/>
                <w:szCs w:val="16"/>
                <w:color w:val="auto"/>
              </w:rPr>
              <w:t>of incorporation or organization)</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w w:val="98"/>
              </w:rPr>
              <w:t>Identification No.)</w:t>
            </w:r>
          </w:p>
        </w:tc>
      </w:tr>
      <w:tr>
        <w:trPr>
          <w:trHeight w:val="370"/>
        </w:trPr>
        <w:tc>
          <w:tcPr>
            <w:tcW w:w="5000" w:type="dxa"/>
            <w:vAlign w:val="bottom"/>
          </w:tcPr>
          <w:p>
            <w:pPr>
              <w:jc w:val="center"/>
              <w:ind w:left="2140"/>
              <w:spacing w:after="0"/>
              <w:rPr>
                <w:sz w:val="20"/>
                <w:szCs w:val="20"/>
                <w:color w:val="auto"/>
              </w:rPr>
            </w:pPr>
            <w:r>
              <w:rPr>
                <w:rFonts w:ascii="Courier New" w:cs="Courier New" w:eastAsia="Courier New" w:hAnsi="Courier New"/>
                <w:sz w:val="16"/>
                <w:szCs w:val="16"/>
                <w:color w:val="auto"/>
                <w:w w:val="99"/>
              </w:rPr>
              <w:t>4411 East Jones Bridge Road</w:t>
            </w:r>
          </w:p>
        </w:tc>
        <w:tc>
          <w:tcPr>
            <w:tcW w:w="1820" w:type="dxa"/>
            <w:vAlign w:val="bottom"/>
          </w:tcPr>
          <w:p>
            <w:pPr>
              <w:spacing w:after="0"/>
              <w:rPr>
                <w:sz w:val="24"/>
                <w:szCs w:val="24"/>
                <w:color w:val="auto"/>
              </w:rPr>
            </w:pPr>
          </w:p>
        </w:tc>
      </w:tr>
      <w:tr>
        <w:trPr>
          <w:trHeight w:val="185"/>
        </w:trPr>
        <w:tc>
          <w:tcPr>
            <w:tcW w:w="5000" w:type="dxa"/>
            <w:vAlign w:val="bottom"/>
          </w:tcPr>
          <w:p>
            <w:pPr>
              <w:jc w:val="center"/>
              <w:ind w:left="2140"/>
              <w:spacing w:after="0"/>
              <w:rPr>
                <w:sz w:val="20"/>
                <w:szCs w:val="20"/>
                <w:color w:val="auto"/>
              </w:rPr>
            </w:pPr>
            <w:r>
              <w:rPr>
                <w:rFonts w:ascii="Courier New" w:cs="Courier New" w:eastAsia="Courier New" w:hAnsi="Courier New"/>
                <w:sz w:val="16"/>
                <w:szCs w:val="16"/>
                <w:color w:val="auto"/>
              </w:rPr>
              <w:t>Norcross, Georgia 30092</w:t>
            </w:r>
          </w:p>
        </w:tc>
        <w:tc>
          <w:tcPr>
            <w:tcW w:w="1820" w:type="dxa"/>
            <w:vAlign w:val="bottom"/>
          </w:tcPr>
          <w:p>
            <w:pPr>
              <w:spacing w:after="0"/>
              <w:rPr>
                <w:sz w:val="16"/>
                <w:szCs w:val="16"/>
                <w:color w:val="auto"/>
              </w:rPr>
            </w:pPr>
          </w:p>
        </w:tc>
      </w:tr>
      <w:tr>
        <w:trPr>
          <w:trHeight w:val="185"/>
        </w:trPr>
        <w:tc>
          <w:tcPr>
            <w:tcW w:w="6820" w:type="dxa"/>
            <w:vAlign w:val="bottom"/>
            <w:gridSpan w:val="2"/>
          </w:tcPr>
          <w:p>
            <w:pPr>
              <w:jc w:val="center"/>
              <w:ind w:left="320"/>
              <w:spacing w:after="0"/>
              <w:rPr>
                <w:sz w:val="20"/>
                <w:szCs w:val="20"/>
                <w:color w:val="auto"/>
              </w:rPr>
            </w:pPr>
            <w:r>
              <w:rPr>
                <w:rFonts w:ascii="Courier New" w:cs="Courier New" w:eastAsia="Courier New" w:hAnsi="Courier New"/>
                <w:sz w:val="16"/>
                <w:szCs w:val="16"/>
                <w:color w:val="auto"/>
              </w:rPr>
              <w:t>(Address of Registrant's principal executive offices)</w:t>
            </w:r>
          </w:p>
        </w:tc>
      </w:tr>
      <w:tr>
        <w:trPr>
          <w:trHeight w:val="370"/>
        </w:trPr>
        <w:tc>
          <w:tcPr>
            <w:tcW w:w="5000" w:type="dxa"/>
            <w:vAlign w:val="bottom"/>
          </w:tcPr>
          <w:p>
            <w:pPr>
              <w:jc w:val="center"/>
              <w:ind w:left="204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spacing w:after="0"/>
              <w:rPr>
                <w:sz w:val="24"/>
                <w:szCs w:val="24"/>
                <w:color w:val="auto"/>
              </w:rPr>
            </w:pPr>
          </w:p>
        </w:tc>
      </w:tr>
      <w:tr>
        <w:trPr>
          <w:trHeight w:val="370"/>
        </w:trPr>
        <w:tc>
          <w:tcPr>
            <w:tcW w:w="5000" w:type="dxa"/>
            <w:vAlign w:val="bottom"/>
          </w:tcPr>
          <w:p>
            <w:pPr>
              <w:jc w:val="center"/>
              <w:ind w:left="2140"/>
              <w:spacing w:after="0"/>
              <w:rPr>
                <w:sz w:val="20"/>
                <w:szCs w:val="20"/>
                <w:color w:val="auto"/>
              </w:rPr>
            </w:pPr>
            <w:r>
              <w:rPr>
                <w:rFonts w:ascii="Courier New" w:cs="Courier New" w:eastAsia="Courier New" w:hAnsi="Courier New"/>
                <w:sz w:val="16"/>
                <w:szCs w:val="16"/>
                <w:color w:val="auto"/>
                <w:w w:val="99"/>
              </w:rPr>
              <w:t>BLUEGILL TECHNOLOGIES, INC.</w:t>
            </w:r>
          </w:p>
        </w:tc>
        <w:tc>
          <w:tcPr>
            <w:tcW w:w="1820" w:type="dxa"/>
            <w:vAlign w:val="bottom"/>
          </w:tcPr>
          <w:p>
            <w:pPr>
              <w:spacing w:after="0"/>
              <w:rPr>
                <w:sz w:val="24"/>
                <w:szCs w:val="24"/>
                <w:color w:val="auto"/>
              </w:rPr>
            </w:pPr>
          </w:p>
        </w:tc>
      </w:tr>
      <w:tr>
        <w:trPr>
          <w:trHeight w:val="185"/>
        </w:trPr>
        <w:tc>
          <w:tcPr>
            <w:tcW w:w="5000" w:type="dxa"/>
            <w:vAlign w:val="bottom"/>
          </w:tcPr>
          <w:p>
            <w:pPr>
              <w:jc w:val="center"/>
              <w:ind w:left="2040"/>
              <w:spacing w:after="0"/>
              <w:rPr>
                <w:sz w:val="20"/>
                <w:szCs w:val="20"/>
                <w:color w:val="auto"/>
              </w:rPr>
            </w:pPr>
            <w:r>
              <w:rPr>
                <w:rFonts w:ascii="Courier New" w:cs="Courier New" w:eastAsia="Courier New" w:hAnsi="Courier New"/>
                <w:sz w:val="16"/>
                <w:szCs w:val="16"/>
                <w:color w:val="auto"/>
                <w:w w:val="99"/>
              </w:rPr>
              <w:t>AMENDED AND RESTATED</w:t>
            </w:r>
          </w:p>
        </w:tc>
        <w:tc>
          <w:tcPr>
            <w:tcW w:w="1820" w:type="dxa"/>
            <w:vAlign w:val="bottom"/>
          </w:tcPr>
          <w:p>
            <w:pPr>
              <w:spacing w:after="0"/>
              <w:rPr>
                <w:sz w:val="16"/>
                <w:szCs w:val="16"/>
                <w:color w:val="auto"/>
              </w:rPr>
            </w:pPr>
          </w:p>
        </w:tc>
      </w:tr>
      <w:tr>
        <w:trPr>
          <w:trHeight w:val="185"/>
        </w:trPr>
        <w:tc>
          <w:tcPr>
            <w:tcW w:w="6820" w:type="dxa"/>
            <w:vAlign w:val="bottom"/>
            <w:gridSpan w:val="2"/>
          </w:tcPr>
          <w:p>
            <w:pPr>
              <w:jc w:val="center"/>
              <w:ind w:left="220"/>
              <w:spacing w:after="0"/>
              <w:rPr>
                <w:sz w:val="20"/>
                <w:szCs w:val="20"/>
                <w:color w:val="auto"/>
              </w:rPr>
            </w:pPr>
            <w:r>
              <w:rPr>
                <w:rFonts w:ascii="Courier New" w:cs="Courier New" w:eastAsia="Courier New" w:hAnsi="Courier New"/>
                <w:sz w:val="16"/>
                <w:szCs w:val="16"/>
                <w:color w:val="auto"/>
              </w:rPr>
              <w:t>1998 INCENTIVE AND NON-QUALIFIED</w:t>
            </w:r>
          </w:p>
        </w:tc>
      </w:tr>
      <w:tr>
        <w:trPr>
          <w:trHeight w:val="185"/>
        </w:trPr>
        <w:tc>
          <w:tcPr>
            <w:tcW w:w="5000" w:type="dxa"/>
            <w:vAlign w:val="bottom"/>
          </w:tcPr>
          <w:p>
            <w:pPr>
              <w:jc w:val="center"/>
              <w:ind w:left="2140"/>
              <w:spacing w:after="0"/>
              <w:rPr>
                <w:sz w:val="20"/>
                <w:szCs w:val="20"/>
                <w:color w:val="auto"/>
              </w:rPr>
            </w:pPr>
            <w:r>
              <w:rPr>
                <w:rFonts w:ascii="Courier New" w:cs="Courier New" w:eastAsia="Courier New" w:hAnsi="Courier New"/>
                <w:sz w:val="16"/>
                <w:szCs w:val="16"/>
                <w:color w:val="auto"/>
                <w:w w:val="99"/>
              </w:rPr>
              <w:t>STOCK OPTION PLAN</w:t>
            </w:r>
          </w:p>
        </w:tc>
        <w:tc>
          <w:tcPr>
            <w:tcW w:w="1820" w:type="dxa"/>
            <w:vAlign w:val="bottom"/>
          </w:tcPr>
          <w:p>
            <w:pPr>
              <w:spacing w:after="0"/>
              <w:rPr>
                <w:sz w:val="16"/>
                <w:szCs w:val="16"/>
                <w:color w:val="auto"/>
              </w:rPr>
            </w:pPr>
          </w:p>
        </w:tc>
      </w:tr>
      <w:tr>
        <w:trPr>
          <w:trHeight w:val="185"/>
        </w:trPr>
        <w:tc>
          <w:tcPr>
            <w:tcW w:w="5000" w:type="dxa"/>
            <w:vAlign w:val="bottom"/>
          </w:tcPr>
          <w:p>
            <w:pPr>
              <w:jc w:val="center"/>
              <w:ind w:left="2040"/>
              <w:spacing w:after="0"/>
              <w:rPr>
                <w:sz w:val="20"/>
                <w:szCs w:val="20"/>
                <w:color w:val="auto"/>
              </w:rPr>
            </w:pPr>
            <w:r>
              <w:rPr>
                <w:rFonts w:ascii="Courier New" w:cs="Courier New" w:eastAsia="Courier New" w:hAnsi="Courier New"/>
                <w:sz w:val="16"/>
                <w:szCs w:val="16"/>
                <w:color w:val="auto"/>
              </w:rPr>
              <w:t>(Full Title of the Plan)</w:t>
            </w:r>
          </w:p>
        </w:tc>
        <w:tc>
          <w:tcPr>
            <w:tcW w:w="1820" w:type="dxa"/>
            <w:vAlign w:val="bottom"/>
          </w:tcPr>
          <w:p>
            <w:pPr>
              <w:spacing w:after="0"/>
              <w:rPr>
                <w:sz w:val="16"/>
                <w:szCs w:val="16"/>
                <w:color w:val="auto"/>
              </w:rPr>
            </w:pPr>
          </w:p>
        </w:tc>
      </w:tr>
      <w:tr>
        <w:trPr>
          <w:trHeight w:val="370"/>
        </w:trPr>
        <w:tc>
          <w:tcPr>
            <w:tcW w:w="5000" w:type="dxa"/>
            <w:vAlign w:val="bottom"/>
          </w:tcPr>
          <w:p>
            <w:pPr>
              <w:jc w:val="center"/>
              <w:ind w:left="204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spacing w:after="0"/>
              <w:rPr>
                <w:sz w:val="24"/>
                <w:szCs w:val="24"/>
                <w:color w:val="auto"/>
              </w:rPr>
            </w:pPr>
          </w:p>
        </w:tc>
      </w:tr>
      <w:tr>
        <w:trPr>
          <w:trHeight w:val="370"/>
        </w:trPr>
        <w:tc>
          <w:tcPr>
            <w:tcW w:w="5000" w:type="dxa"/>
            <w:vAlign w:val="bottom"/>
          </w:tcPr>
          <w:p>
            <w:pPr>
              <w:jc w:val="center"/>
              <w:ind w:left="2140"/>
              <w:spacing w:after="0"/>
              <w:rPr>
                <w:sz w:val="20"/>
                <w:szCs w:val="20"/>
                <w:color w:val="auto"/>
              </w:rPr>
            </w:pPr>
            <w:r>
              <w:rPr>
                <w:rFonts w:ascii="Courier New" w:cs="Courier New" w:eastAsia="Courier New" w:hAnsi="Courier New"/>
                <w:sz w:val="16"/>
                <w:szCs w:val="16"/>
                <w:color w:val="auto"/>
                <w:w w:val="99"/>
              </w:rPr>
              <w:t>Peter F. Sinisgalli</w:t>
            </w:r>
          </w:p>
        </w:tc>
        <w:tc>
          <w:tcPr>
            <w:tcW w:w="1820" w:type="dxa"/>
            <w:vAlign w:val="bottom"/>
          </w:tcPr>
          <w:p>
            <w:pPr>
              <w:spacing w:after="0"/>
              <w:rPr>
                <w:sz w:val="24"/>
                <w:szCs w:val="24"/>
                <w:color w:val="auto"/>
              </w:rPr>
            </w:pPr>
          </w:p>
        </w:tc>
      </w:tr>
      <w:tr>
        <w:trPr>
          <w:trHeight w:val="185"/>
        </w:trPr>
        <w:tc>
          <w:tcPr>
            <w:tcW w:w="6820" w:type="dxa"/>
            <w:vAlign w:val="bottom"/>
            <w:gridSpan w:val="2"/>
          </w:tcPr>
          <w:p>
            <w:pPr>
              <w:jc w:val="center"/>
              <w:ind w:left="320"/>
              <w:spacing w:after="0"/>
              <w:rPr>
                <w:sz w:val="20"/>
                <w:szCs w:val="20"/>
                <w:color w:val="auto"/>
              </w:rPr>
            </w:pPr>
            <w:r>
              <w:rPr>
                <w:rFonts w:ascii="Courier New" w:cs="Courier New" w:eastAsia="Courier New" w:hAnsi="Courier New"/>
                <w:sz w:val="16"/>
                <w:szCs w:val="16"/>
                <w:color w:val="auto"/>
                <w:w w:val="99"/>
              </w:rPr>
              <w:t>President and Chief Operating Officer</w:t>
            </w:r>
          </w:p>
        </w:tc>
      </w:tr>
      <w:tr>
        <w:trPr>
          <w:trHeight w:val="185"/>
        </w:trPr>
        <w:tc>
          <w:tcPr>
            <w:tcW w:w="5000" w:type="dxa"/>
            <w:vAlign w:val="bottom"/>
          </w:tcPr>
          <w:p>
            <w:pPr>
              <w:jc w:val="center"/>
              <w:ind w:left="2040"/>
              <w:spacing w:after="0"/>
              <w:rPr>
                <w:sz w:val="20"/>
                <w:szCs w:val="20"/>
                <w:color w:val="auto"/>
              </w:rPr>
            </w:pPr>
            <w:r>
              <w:rPr>
                <w:rFonts w:ascii="Courier New" w:cs="Courier New" w:eastAsia="Courier New" w:hAnsi="Courier New"/>
                <w:sz w:val="16"/>
                <w:szCs w:val="16"/>
                <w:color w:val="auto"/>
                <w:w w:val="99"/>
              </w:rPr>
              <w:t>CheckFree Holdings Corporation</w:t>
            </w:r>
          </w:p>
        </w:tc>
        <w:tc>
          <w:tcPr>
            <w:tcW w:w="1820" w:type="dxa"/>
            <w:vAlign w:val="bottom"/>
          </w:tcPr>
          <w:p>
            <w:pPr>
              <w:spacing w:after="0"/>
              <w:rPr>
                <w:sz w:val="16"/>
                <w:szCs w:val="16"/>
                <w:color w:val="auto"/>
              </w:rPr>
            </w:pPr>
          </w:p>
        </w:tc>
      </w:tr>
      <w:tr>
        <w:trPr>
          <w:trHeight w:val="185"/>
        </w:trPr>
        <w:tc>
          <w:tcPr>
            <w:tcW w:w="5000" w:type="dxa"/>
            <w:vAlign w:val="bottom"/>
          </w:tcPr>
          <w:p>
            <w:pPr>
              <w:jc w:val="center"/>
              <w:ind w:left="2140"/>
              <w:spacing w:after="0"/>
              <w:rPr>
                <w:sz w:val="20"/>
                <w:szCs w:val="20"/>
                <w:color w:val="auto"/>
              </w:rPr>
            </w:pPr>
            <w:r>
              <w:rPr>
                <w:rFonts w:ascii="Courier New" w:cs="Courier New" w:eastAsia="Courier New" w:hAnsi="Courier New"/>
                <w:sz w:val="16"/>
                <w:szCs w:val="16"/>
                <w:color w:val="auto"/>
                <w:w w:val="99"/>
              </w:rPr>
              <w:t>4411 East Jones Bridge Road</w:t>
            </w:r>
          </w:p>
        </w:tc>
        <w:tc>
          <w:tcPr>
            <w:tcW w:w="1820" w:type="dxa"/>
            <w:vAlign w:val="bottom"/>
          </w:tcPr>
          <w:p>
            <w:pPr>
              <w:spacing w:after="0"/>
              <w:rPr>
                <w:sz w:val="16"/>
                <w:szCs w:val="16"/>
                <w:color w:val="auto"/>
              </w:rPr>
            </w:pPr>
          </w:p>
        </w:tc>
      </w:tr>
      <w:tr>
        <w:trPr>
          <w:trHeight w:val="185"/>
        </w:trPr>
        <w:tc>
          <w:tcPr>
            <w:tcW w:w="5000" w:type="dxa"/>
            <w:vAlign w:val="bottom"/>
          </w:tcPr>
          <w:p>
            <w:pPr>
              <w:jc w:val="center"/>
              <w:ind w:left="2140"/>
              <w:spacing w:after="0"/>
              <w:rPr>
                <w:sz w:val="20"/>
                <w:szCs w:val="20"/>
                <w:color w:val="auto"/>
              </w:rPr>
            </w:pPr>
            <w:r>
              <w:rPr>
                <w:rFonts w:ascii="Courier New" w:cs="Courier New" w:eastAsia="Courier New" w:hAnsi="Courier New"/>
                <w:sz w:val="16"/>
                <w:szCs w:val="16"/>
                <w:color w:val="auto"/>
              </w:rPr>
              <w:t>Norcross, Georgia 30092</w:t>
            </w:r>
          </w:p>
        </w:tc>
        <w:tc>
          <w:tcPr>
            <w:tcW w:w="1820" w:type="dxa"/>
            <w:vAlign w:val="bottom"/>
          </w:tcPr>
          <w:p>
            <w:pPr>
              <w:spacing w:after="0"/>
              <w:rPr>
                <w:sz w:val="16"/>
                <w:szCs w:val="16"/>
                <w:color w:val="auto"/>
              </w:rPr>
            </w:pPr>
          </w:p>
        </w:tc>
      </w:tr>
      <w:tr>
        <w:trPr>
          <w:trHeight w:val="185"/>
        </w:trPr>
        <w:tc>
          <w:tcPr>
            <w:tcW w:w="5000" w:type="dxa"/>
            <w:vAlign w:val="bottom"/>
          </w:tcPr>
          <w:p>
            <w:pPr>
              <w:jc w:val="center"/>
              <w:ind w:left="2040"/>
              <w:spacing w:after="0"/>
              <w:rPr>
                <w:sz w:val="20"/>
                <w:szCs w:val="20"/>
                <w:color w:val="auto"/>
              </w:rPr>
            </w:pPr>
            <w:r>
              <w:rPr>
                <w:rFonts w:ascii="Courier New" w:cs="Courier New" w:eastAsia="Courier New" w:hAnsi="Courier New"/>
                <w:sz w:val="16"/>
                <w:szCs w:val="16"/>
                <w:color w:val="auto"/>
              </w:rPr>
              <w:t>(678) 375-3000</w:t>
            </w:r>
          </w:p>
        </w:tc>
        <w:tc>
          <w:tcPr>
            <w:tcW w:w="1820" w:type="dxa"/>
            <w:vAlign w:val="bottom"/>
          </w:tcPr>
          <w:p>
            <w:pPr>
              <w:spacing w:after="0"/>
              <w:rPr>
                <w:sz w:val="16"/>
                <w:szCs w:val="16"/>
                <w:color w:val="auto"/>
              </w:rPr>
            </w:pPr>
          </w:p>
        </w:tc>
      </w:tr>
      <w:tr>
        <w:trPr>
          <w:trHeight w:val="185"/>
        </w:trPr>
        <w:tc>
          <w:tcPr>
            <w:tcW w:w="6820" w:type="dxa"/>
            <w:vAlign w:val="bottom"/>
            <w:gridSpan w:val="2"/>
          </w:tcPr>
          <w:p>
            <w:pPr>
              <w:jc w:val="center"/>
              <w:ind w:left="320"/>
              <w:spacing w:after="0"/>
              <w:rPr>
                <w:sz w:val="20"/>
                <w:szCs w:val="20"/>
                <w:color w:val="auto"/>
              </w:rPr>
            </w:pPr>
            <w:r>
              <w:rPr>
                <w:rFonts w:ascii="Courier New" w:cs="Courier New" w:eastAsia="Courier New" w:hAnsi="Courier New"/>
                <w:sz w:val="16"/>
                <w:szCs w:val="16"/>
                <w:color w:val="auto"/>
                <w:w w:val="99"/>
              </w:rPr>
              <w:t>(Name, address and telephone number of agent for service)</w:t>
            </w:r>
          </w:p>
        </w:tc>
      </w:tr>
      <w:tr>
        <w:trPr>
          <w:trHeight w:val="370"/>
        </w:trPr>
        <w:tc>
          <w:tcPr>
            <w:tcW w:w="5000" w:type="dxa"/>
            <w:vAlign w:val="bottom"/>
          </w:tcPr>
          <w:p>
            <w:pPr>
              <w:jc w:val="center"/>
              <w:ind w:left="204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spacing w:after="0"/>
              <w:rPr>
                <w:sz w:val="24"/>
                <w:szCs w:val="24"/>
                <w:color w:val="auto"/>
              </w:rPr>
            </w:pPr>
          </w:p>
        </w:tc>
      </w:tr>
      <w:tr>
        <w:trPr>
          <w:trHeight w:val="370"/>
        </w:trPr>
        <w:tc>
          <w:tcPr>
            <w:tcW w:w="5000" w:type="dxa"/>
            <w:vAlign w:val="bottom"/>
          </w:tcPr>
          <w:p>
            <w:pPr>
              <w:jc w:val="center"/>
              <w:ind w:left="2040"/>
              <w:spacing w:after="0"/>
              <w:rPr>
                <w:sz w:val="20"/>
                <w:szCs w:val="20"/>
                <w:color w:val="auto"/>
              </w:rPr>
            </w:pPr>
            <w:r>
              <w:rPr>
                <w:rFonts w:ascii="Courier New" w:cs="Courier New" w:eastAsia="Courier New" w:hAnsi="Courier New"/>
                <w:sz w:val="16"/>
                <w:szCs w:val="16"/>
                <w:color w:val="auto"/>
                <w:w w:val="99"/>
              </w:rPr>
              <w:t>Copies of Correspondence to:</w:t>
            </w:r>
          </w:p>
        </w:tc>
        <w:tc>
          <w:tcPr>
            <w:tcW w:w="1820" w:type="dxa"/>
            <w:vAlign w:val="bottom"/>
          </w:tcPr>
          <w:p>
            <w:pPr>
              <w:spacing w:after="0"/>
              <w:rPr>
                <w:sz w:val="24"/>
                <w:szCs w:val="24"/>
                <w:color w:val="auto"/>
              </w:rPr>
            </w:pPr>
          </w:p>
        </w:tc>
      </w:tr>
      <w:tr>
        <w:trPr>
          <w:trHeight w:val="185"/>
        </w:trPr>
        <w:tc>
          <w:tcPr>
            <w:tcW w:w="5000" w:type="dxa"/>
            <w:vAlign w:val="bottom"/>
          </w:tcPr>
          <w:p>
            <w:pPr>
              <w:jc w:val="center"/>
              <w:ind w:left="2140"/>
              <w:spacing w:after="0"/>
              <w:rPr>
                <w:sz w:val="20"/>
                <w:szCs w:val="20"/>
                <w:color w:val="auto"/>
              </w:rPr>
            </w:pPr>
            <w:r>
              <w:rPr>
                <w:rFonts w:ascii="Courier New" w:cs="Courier New" w:eastAsia="Courier New" w:hAnsi="Courier New"/>
                <w:sz w:val="16"/>
                <w:szCs w:val="16"/>
                <w:color w:val="auto"/>
              </w:rPr>
              <w:t>Robert J. Tannous, Esq.</w:t>
            </w:r>
          </w:p>
        </w:tc>
        <w:tc>
          <w:tcPr>
            <w:tcW w:w="1820" w:type="dxa"/>
            <w:vAlign w:val="bottom"/>
          </w:tcPr>
          <w:p>
            <w:pPr>
              <w:spacing w:after="0"/>
              <w:rPr>
                <w:sz w:val="16"/>
                <w:szCs w:val="16"/>
                <w:color w:val="auto"/>
              </w:rPr>
            </w:pPr>
          </w:p>
        </w:tc>
      </w:tr>
      <w:tr>
        <w:trPr>
          <w:trHeight w:val="185"/>
        </w:trPr>
        <w:tc>
          <w:tcPr>
            <w:tcW w:w="6820" w:type="dxa"/>
            <w:vAlign w:val="bottom"/>
            <w:gridSpan w:val="2"/>
          </w:tcPr>
          <w:p>
            <w:pPr>
              <w:jc w:val="center"/>
              <w:ind w:left="320"/>
              <w:spacing w:after="0"/>
              <w:rPr>
                <w:sz w:val="20"/>
                <w:szCs w:val="20"/>
                <w:color w:val="auto"/>
              </w:rPr>
            </w:pPr>
            <w:r>
              <w:rPr>
                <w:rFonts w:ascii="Courier New" w:cs="Courier New" w:eastAsia="Courier New" w:hAnsi="Courier New"/>
                <w:sz w:val="16"/>
                <w:szCs w:val="16"/>
                <w:color w:val="auto"/>
              </w:rPr>
              <w:t>Porter, Wright, Morris &amp; Arthur LLP</w:t>
            </w:r>
          </w:p>
        </w:tc>
      </w:tr>
      <w:tr>
        <w:trPr>
          <w:trHeight w:val="185"/>
        </w:trPr>
        <w:tc>
          <w:tcPr>
            <w:tcW w:w="5000" w:type="dxa"/>
            <w:vAlign w:val="bottom"/>
          </w:tcPr>
          <w:p>
            <w:pPr>
              <w:jc w:val="center"/>
              <w:ind w:left="2040"/>
              <w:spacing w:after="0"/>
              <w:rPr>
                <w:sz w:val="20"/>
                <w:szCs w:val="20"/>
                <w:color w:val="auto"/>
              </w:rPr>
            </w:pPr>
            <w:r>
              <w:rPr>
                <w:rFonts w:ascii="Courier New" w:cs="Courier New" w:eastAsia="Courier New" w:hAnsi="Courier New"/>
                <w:sz w:val="16"/>
                <w:szCs w:val="16"/>
                <w:color w:val="auto"/>
                <w:w w:val="99"/>
              </w:rPr>
              <w:t>41 South High Street</w:t>
            </w:r>
          </w:p>
        </w:tc>
        <w:tc>
          <w:tcPr>
            <w:tcW w:w="1820" w:type="dxa"/>
            <w:vAlign w:val="bottom"/>
          </w:tcPr>
          <w:p>
            <w:pPr>
              <w:spacing w:after="0"/>
              <w:rPr>
                <w:sz w:val="16"/>
                <w:szCs w:val="16"/>
                <w:color w:val="auto"/>
              </w:rPr>
            </w:pPr>
          </w:p>
        </w:tc>
      </w:tr>
      <w:tr>
        <w:trPr>
          <w:trHeight w:val="185"/>
        </w:trPr>
        <w:tc>
          <w:tcPr>
            <w:tcW w:w="5000" w:type="dxa"/>
            <w:vAlign w:val="bottom"/>
          </w:tcPr>
          <w:p>
            <w:pPr>
              <w:jc w:val="center"/>
              <w:ind w:left="2040"/>
              <w:spacing w:after="0"/>
              <w:rPr>
                <w:sz w:val="20"/>
                <w:szCs w:val="20"/>
                <w:color w:val="auto"/>
              </w:rPr>
            </w:pPr>
            <w:r>
              <w:rPr>
                <w:rFonts w:ascii="Courier New" w:cs="Courier New" w:eastAsia="Courier New" w:hAnsi="Courier New"/>
                <w:sz w:val="16"/>
                <w:szCs w:val="16"/>
                <w:color w:val="auto"/>
                <w:w w:val="99"/>
              </w:rPr>
              <w:t>Columbus, Ohio 43215</w:t>
            </w:r>
          </w:p>
        </w:tc>
        <w:tc>
          <w:tcPr>
            <w:tcW w:w="1820" w:type="dxa"/>
            <w:vAlign w:val="bottom"/>
          </w:tcPr>
          <w:p>
            <w:pPr>
              <w:spacing w:after="0"/>
              <w:rPr>
                <w:sz w:val="16"/>
                <w:szCs w:val="16"/>
                <w:color w:val="auto"/>
              </w:rPr>
            </w:pPr>
          </w:p>
        </w:tc>
      </w:tr>
      <w:tr>
        <w:trPr>
          <w:trHeight w:val="370"/>
        </w:trPr>
        <w:tc>
          <w:tcPr>
            <w:tcW w:w="5000" w:type="dxa"/>
            <w:vAlign w:val="bottom"/>
          </w:tcPr>
          <w:p>
            <w:pPr>
              <w:jc w:val="center"/>
              <w:ind w:left="204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spacing w:after="0"/>
              <w:rPr>
                <w:sz w:val="24"/>
                <w:szCs w:val="24"/>
                <w:color w:val="auto"/>
              </w:rPr>
            </w:pPr>
          </w:p>
        </w:tc>
      </w:tr>
      <w:tr>
        <w:trPr>
          <w:trHeight w:val="370"/>
        </w:trPr>
        <w:tc>
          <w:tcPr>
            <w:tcW w:w="6820" w:type="dxa"/>
            <w:vAlign w:val="bottom"/>
            <w:gridSpan w:val="2"/>
          </w:tcPr>
          <w:p>
            <w:pPr>
              <w:jc w:val="center"/>
              <w:ind w:left="320"/>
              <w:spacing w:after="0"/>
              <w:rPr>
                <w:sz w:val="20"/>
                <w:szCs w:val="20"/>
                <w:color w:val="auto"/>
              </w:rPr>
            </w:pPr>
            <w:r>
              <w:rPr>
                <w:rFonts w:ascii="Courier New" w:cs="Courier New" w:eastAsia="Courier New" w:hAnsi="Courier New"/>
                <w:sz w:val="16"/>
                <w:szCs w:val="16"/>
                <w:color w:val="auto"/>
              </w:rPr>
              <w:t>CALCULATION OF REGISTRATION FEE</w:t>
            </w:r>
          </w:p>
        </w:tc>
      </w:tr>
    </w:tbl>
    <w:p>
      <w:pPr>
        <w:spacing w:after="0" w:line="200" w:lineRule="exact"/>
        <w:rPr>
          <w:sz w:val="24"/>
          <w:szCs w:val="24"/>
          <w:color w:val="auto"/>
        </w:rPr>
      </w:pPr>
    </w:p>
    <w:p>
      <w:pPr>
        <w:spacing w:after="0" w:line="358" w:lineRule="exact"/>
        <w:rPr>
          <w:sz w:val="24"/>
          <w:szCs w:val="24"/>
          <w:color w:val="auto"/>
        </w:rPr>
      </w:pPr>
    </w:p>
    <w:tbl>
      <w:tblPr>
        <w:tblLayout w:type="fixed"/>
        <w:tblInd w:w="1" w:type="dxa"/>
        <w:tblCellMar>
          <w:top w:w="0" w:type="dxa"/>
          <w:left w:w="0" w:type="dxa"/>
          <w:bottom w:w="0" w:type="dxa"/>
          <w:right w:w="0" w:type="dxa"/>
        </w:tblCellMar>
      </w:tblPr>
      <w:tr>
        <w:trPr>
          <w:trHeight w:val="181"/>
        </w:trPr>
        <w:tc>
          <w:tcPr>
            <w:tcW w:w="7100" w:type="dxa"/>
            <w:vAlign w:val="bottom"/>
            <w:gridSpan w:val="3"/>
          </w:tcPr>
          <w:p>
            <w:pPr>
              <w:spacing w:after="0"/>
              <w:rPr>
                <w:sz w:val="20"/>
                <w:szCs w:val="20"/>
                <w:color w:val="auto"/>
              </w:rPr>
            </w:pPr>
            <w:r>
              <w:rPr>
                <w:rFonts w:ascii="Courier New" w:cs="Courier New" w:eastAsia="Courier New" w:hAnsi="Courier New"/>
                <w:sz w:val="16"/>
                <w:szCs w:val="16"/>
                <w:color w:val="auto"/>
                <w:w w:val="99"/>
              </w:rPr>
              <w:t>- ------------------------- ---------------------- -----------------------</w:t>
            </w:r>
          </w:p>
        </w:tc>
        <w:tc>
          <w:tcPr>
            <w:tcW w:w="442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2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580" w:type="dxa"/>
            <w:vAlign w:val="bottom"/>
          </w:tcPr>
          <w:p>
            <w:pPr>
              <w:jc w:val="center"/>
              <w:spacing w:after="0"/>
              <w:rPr>
                <w:sz w:val="20"/>
                <w:szCs w:val="20"/>
                <w:color w:val="auto"/>
              </w:rPr>
            </w:pPr>
            <w:r>
              <w:rPr>
                <w:rFonts w:ascii="Courier New" w:cs="Courier New" w:eastAsia="Courier New" w:hAnsi="Courier New"/>
                <w:sz w:val="16"/>
                <w:szCs w:val="16"/>
                <w:color w:val="auto"/>
              </w:rPr>
              <w:t>Proposed Maximum</w:t>
            </w: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Proposed</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Maximum</w:t>
            </w:r>
          </w:p>
        </w:tc>
        <w:tc>
          <w:tcPr>
            <w:tcW w:w="2300" w:type="dxa"/>
            <w:vAlign w:val="bottom"/>
          </w:tcPr>
          <w:p>
            <w:pPr>
              <w:ind w:left="580"/>
              <w:spacing w:after="0"/>
              <w:rPr>
                <w:sz w:val="20"/>
                <w:szCs w:val="20"/>
                <w:color w:val="auto"/>
              </w:rPr>
            </w:pPr>
            <w:r>
              <w:rPr>
                <w:rFonts w:ascii="Courier New" w:cs="Courier New" w:eastAsia="Courier New" w:hAnsi="Courier New"/>
                <w:sz w:val="16"/>
                <w:szCs w:val="16"/>
                <w:color w:val="auto"/>
              </w:rPr>
              <w:t>Amount of</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Title of Securities</w:t>
            </w: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Amount to be</w:t>
            </w:r>
          </w:p>
        </w:tc>
        <w:tc>
          <w:tcPr>
            <w:tcW w:w="2580" w:type="dxa"/>
            <w:vAlign w:val="bottom"/>
          </w:tcPr>
          <w:p>
            <w:pPr>
              <w:jc w:val="center"/>
              <w:spacing w:after="0"/>
              <w:rPr>
                <w:sz w:val="20"/>
                <w:szCs w:val="20"/>
                <w:color w:val="auto"/>
              </w:rPr>
            </w:pPr>
            <w:r>
              <w:rPr>
                <w:rFonts w:ascii="Courier New" w:cs="Courier New" w:eastAsia="Courier New" w:hAnsi="Courier New"/>
                <w:sz w:val="16"/>
                <w:szCs w:val="16"/>
                <w:color w:val="auto"/>
                <w:w w:val="99"/>
              </w:rPr>
              <w:t>Offering Price</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Aggregate</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Offering</w:t>
            </w:r>
          </w:p>
        </w:tc>
        <w:tc>
          <w:tcPr>
            <w:tcW w:w="2300" w:type="dxa"/>
            <w:vAlign w:val="bottom"/>
          </w:tcPr>
          <w:p>
            <w:pPr>
              <w:jc w:val="center"/>
              <w:ind w:right="300"/>
              <w:spacing w:after="0"/>
              <w:rPr>
                <w:sz w:val="20"/>
                <w:szCs w:val="20"/>
                <w:color w:val="auto"/>
              </w:rPr>
            </w:pPr>
            <w:r>
              <w:rPr>
                <w:rFonts w:ascii="Courier New" w:cs="Courier New" w:eastAsia="Courier New" w:hAnsi="Courier New"/>
                <w:sz w:val="16"/>
                <w:szCs w:val="16"/>
                <w:color w:val="auto"/>
              </w:rPr>
              <w:t>Registration</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to be Registered</w:t>
            </w: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w w:val="99"/>
              </w:rPr>
              <w:t>Registered</w:t>
            </w:r>
          </w:p>
        </w:tc>
        <w:tc>
          <w:tcPr>
            <w:tcW w:w="2580" w:type="dxa"/>
            <w:vAlign w:val="bottom"/>
          </w:tcPr>
          <w:p>
            <w:pPr>
              <w:ind w:left="760"/>
              <w:spacing w:after="0"/>
              <w:rPr>
                <w:sz w:val="20"/>
                <w:szCs w:val="20"/>
                <w:color w:val="auto"/>
              </w:rPr>
            </w:pPr>
            <w:r>
              <w:rPr>
                <w:rFonts w:ascii="Courier New" w:cs="Courier New" w:eastAsia="Courier New" w:hAnsi="Courier New"/>
                <w:sz w:val="16"/>
                <w:szCs w:val="16"/>
                <w:color w:val="auto"/>
              </w:rPr>
              <w:t>Per Share</w:t>
            </w:r>
          </w:p>
        </w:tc>
        <w:tc>
          <w:tcPr>
            <w:tcW w:w="21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Price*</w:t>
            </w:r>
          </w:p>
        </w:tc>
        <w:tc>
          <w:tcPr>
            <w:tcW w:w="2300" w:type="dxa"/>
            <w:vAlign w:val="bottom"/>
          </w:tcPr>
          <w:p>
            <w:pPr>
              <w:jc w:val="center"/>
              <w:ind w:right="280"/>
              <w:spacing w:after="0"/>
              <w:rPr>
                <w:sz w:val="20"/>
                <w:szCs w:val="20"/>
                <w:color w:val="auto"/>
              </w:rPr>
            </w:pPr>
            <w:r>
              <w:rPr>
                <w:rFonts w:ascii="Courier New" w:cs="Courier New" w:eastAsia="Courier New" w:hAnsi="Courier New"/>
                <w:sz w:val="16"/>
                <w:szCs w:val="16"/>
                <w:color w:val="auto"/>
                <w:w w:val="98"/>
              </w:rPr>
              <w:t>Fee*</w:t>
            </w:r>
          </w:p>
        </w:tc>
      </w:tr>
    </w:tbl>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 ------------------------- ---------------------- ----------------------- ---------------------- ----------------------</w:t>
      </w:r>
    </w:p>
    <w:p>
      <w:pPr>
        <w:spacing w:after="0" w:line="198" w:lineRule="exact"/>
        <w:rPr>
          <w:sz w:val="24"/>
          <w:szCs w:val="24"/>
          <w:color w:val="auto"/>
        </w:rPr>
      </w:pPr>
    </w:p>
    <w:tbl>
      <w:tblPr>
        <w:tblLayout w:type="fixed"/>
        <w:tblInd w:w="1" w:type="dxa"/>
        <w:tblCellMar>
          <w:top w:w="0" w:type="dxa"/>
          <w:left w:w="0" w:type="dxa"/>
          <w:bottom w:w="0" w:type="dxa"/>
          <w:right w:w="0" w:type="dxa"/>
        </w:tblCellMar>
      </w:tblPr>
      <w:tr>
        <w:trPr>
          <w:trHeight w:val="181"/>
        </w:trPr>
        <w:tc>
          <w:tcPr>
            <w:tcW w:w="254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2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5"/>
        </w:trPr>
        <w:tc>
          <w:tcPr>
            <w:tcW w:w="2540" w:type="dxa"/>
            <w:vAlign w:val="bottom"/>
          </w:tcPr>
          <w:p>
            <w:pPr>
              <w:spacing w:after="0"/>
              <w:rPr>
                <w:sz w:val="20"/>
                <w:szCs w:val="20"/>
                <w:color w:val="auto"/>
              </w:rPr>
            </w:pPr>
            <w:r>
              <w:rPr>
                <w:rFonts w:ascii="Courier New" w:cs="Courier New" w:eastAsia="Courier New" w:hAnsi="Courier New"/>
                <w:sz w:val="16"/>
                <w:szCs w:val="16"/>
                <w:color w:val="auto"/>
              </w:rPr>
              <w:t>$.01 par value......</w:t>
            </w:r>
          </w:p>
        </w:tc>
        <w:tc>
          <w:tcPr>
            <w:tcW w:w="21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591,796</w:t>
            </w:r>
          </w:p>
        </w:tc>
        <w:tc>
          <w:tcPr>
            <w:tcW w:w="21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$30.63</w:t>
            </w:r>
          </w:p>
        </w:tc>
        <w:tc>
          <w:tcPr>
            <w:tcW w:w="24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$18,126,712</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$4,786</w:t>
            </w:r>
          </w:p>
        </w:tc>
      </w:tr>
    </w:tbl>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 ------------------------- ---------------------- ----------------------- ---------------------- ----------------------</w:t>
      </w:r>
    </w:p>
    <w:p>
      <w:pPr>
        <w:spacing w:after="0" w:line="200" w:lineRule="exact"/>
        <w:rPr>
          <w:sz w:val="24"/>
          <w:szCs w:val="24"/>
          <w:color w:val="auto"/>
        </w:rPr>
      </w:pPr>
    </w:p>
    <w:p>
      <w:pPr>
        <w:spacing w:after="0" w:line="369" w:lineRule="exact"/>
        <w:rPr>
          <w:sz w:val="24"/>
          <w:szCs w:val="24"/>
          <w:color w:val="auto"/>
        </w:rPr>
      </w:pPr>
    </w:p>
    <w:p>
      <w:pPr>
        <w:ind w:left="481" w:right="3940" w:hanging="481"/>
        <w:spacing w:after="0" w:line="243"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 457(h), based upon the average of the high and low prices of CheckFree Holdings Corporation Common Stock as reported on the Nasdaq National Market on April 24, 2000.</w:t>
      </w:r>
    </w:p>
    <w:p>
      <w:pPr>
        <w:spacing w:after="0" w:line="190" w:lineRule="exact"/>
        <w:rPr>
          <w:sz w:val="24"/>
          <w:szCs w:val="24"/>
          <w:color w:val="auto"/>
        </w:rPr>
      </w:pPr>
    </w:p>
    <w:p>
      <w:pPr>
        <w:ind w:left="1" w:right="3940"/>
        <w:spacing w:after="0" w:line="243" w:lineRule="auto"/>
        <w:rPr>
          <w:sz w:val="20"/>
          <w:szCs w:val="20"/>
          <w:color w:val="auto"/>
        </w:rPr>
      </w:pPr>
      <w:r>
        <w:rPr>
          <w:rFonts w:ascii="Courier New" w:cs="Courier New" w:eastAsia="Courier New" w:hAnsi="Courier New"/>
          <w:sz w:val="16"/>
          <w:szCs w:val="16"/>
          <w:color w:val="auto"/>
        </w:rPr>
        <w:t>This Registration Statement shall be deemed to cover an indeterminate number of additional shares of CheckFree Holdings Corporation Common Stock, $.01 par value, as may be issuable pursuant to future stock dividends, stock splits or similar transactions.</w:t>
      </w:r>
    </w:p>
    <w:p>
      <w:pPr>
        <w:sectPr>
          <w:pgSz w:w="11900" w:h="16838" w:orient="portrait"/>
          <w:cols w:equalWidth="0" w:num="1">
            <w:col w:w="11521"/>
          </w:cols>
          <w:pgMar w:left="239" w:top="238" w:right="139" w:bottom="887"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PART I</w:t>
      </w:r>
    </w:p>
    <w:p>
      <w:pPr>
        <w:spacing w:after="0" w:line="188"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INFORMATION REQUIRED IN THE SECTION 10(A) PROSPECTUS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documents containing the information concerning the BlueGill Technologies, Inc. Amended and Restated 1998 Incentive and Non-Qualified Stock Option Plan, specified in Part I will be sent or given to employees as specified by Rule 428(b)(1). These documents are not filed as part of this registration statement in accordance with the Note to Part I of the Form S-8 Registration Statement.</w:t>
      </w:r>
    </w:p>
    <w:p>
      <w:pPr>
        <w:spacing w:after="0" w:line="371"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PART II</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tab/>
        <w:t>INCORPORATION OF DOCUMENTS BY REFERENCE</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The Securities and Exchange Commission allows us to incorporate by reference the information we file with it, which means that we can disclose important information by reference to you by referring you to those documents. The information incorporated by reference is considered to be a part of this registration statement, and information that we later file with the Commission will automatically update and supersede this information. Accordingly, we incorporate by reference the following documents we filed with the Commission pursuant to the Securities Exchange Act of 1934 (Commission File Number 0-26802):</w:t>
      </w:r>
    </w:p>
    <w:p>
      <w:pPr>
        <w:spacing w:after="0" w:line="189" w:lineRule="exact"/>
        <w:rPr>
          <w:sz w:val="20"/>
          <w:szCs w:val="20"/>
          <w:color w:val="auto"/>
        </w:rPr>
      </w:pPr>
    </w:p>
    <w:p>
      <w:pPr>
        <w:ind w:left="1720" w:right="2919" w:hanging="857"/>
        <w:spacing w:after="0" w:line="242" w:lineRule="auto"/>
        <w:tabs>
          <w:tab w:leader="none" w:pos="17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year ended June 30, 1999 (filed September 27, 1999);</w:t>
      </w:r>
    </w:p>
    <w:p>
      <w:pPr>
        <w:spacing w:after="0" w:line="188" w:lineRule="exact"/>
        <w:rPr>
          <w:rFonts w:ascii="Courier New" w:cs="Courier New" w:eastAsia="Courier New" w:hAnsi="Courier New"/>
          <w:sz w:val="16"/>
          <w:szCs w:val="16"/>
          <w:color w:val="auto"/>
        </w:rPr>
      </w:pPr>
    </w:p>
    <w:p>
      <w:pPr>
        <w:ind w:left="1720" w:right="2639" w:hanging="857"/>
        <w:spacing w:after="0" w:line="243" w:lineRule="auto"/>
        <w:tabs>
          <w:tab w:leader="none" w:pos="17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Reports on Form 10-Q for the quarters ended September 30, 1999 (filed November 15, 1999) and December 31, 1999 (filed February 10, 2000);</w:t>
      </w:r>
    </w:p>
    <w:p>
      <w:pPr>
        <w:spacing w:after="0" w:line="188" w:lineRule="exact"/>
        <w:rPr>
          <w:rFonts w:ascii="Courier New" w:cs="Courier New" w:eastAsia="Courier New" w:hAnsi="Courier New"/>
          <w:sz w:val="16"/>
          <w:szCs w:val="16"/>
          <w:color w:val="auto"/>
        </w:rPr>
      </w:pPr>
    </w:p>
    <w:p>
      <w:pPr>
        <w:ind w:left="1720" w:right="2539" w:hanging="857"/>
        <w:spacing w:after="0" w:line="243" w:lineRule="auto"/>
        <w:tabs>
          <w:tab w:leader="none" w:pos="17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Reports on Form 8-K dated November 29, 1999 (filed December 2, 1999), dated December 20, 1999 (filed December 23, 1999), dated January 11, 2000 (filed January 11, 2000), dated February 15, 2000 (filed February 17, 2000), dated March</w:t>
      </w:r>
    </w:p>
    <w:p>
      <w:pPr>
        <w:spacing w:after="0" w:line="5" w:lineRule="exact"/>
        <w:rPr>
          <w:rFonts w:ascii="Courier New" w:cs="Courier New" w:eastAsia="Courier New" w:hAnsi="Courier New"/>
          <w:sz w:val="16"/>
          <w:szCs w:val="16"/>
          <w:color w:val="auto"/>
        </w:rPr>
      </w:pPr>
    </w:p>
    <w:p>
      <w:pPr>
        <w:ind w:left="1720"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16, 2000 (filed March 22, 2000, amended on April 27, 2000), March 28, 2000 (filed March 28, 2000), April 2, 2000 (filed April 3, 2000) and April 27, 2000 (filed April 27, 2000);</w:t>
      </w:r>
    </w:p>
    <w:p>
      <w:pPr>
        <w:spacing w:after="0" w:line="371" w:lineRule="exact"/>
        <w:rPr>
          <w:rFonts w:ascii="Courier New" w:cs="Courier New" w:eastAsia="Courier New" w:hAnsi="Courier New"/>
          <w:sz w:val="16"/>
          <w:szCs w:val="16"/>
          <w:color w:val="auto"/>
        </w:rPr>
      </w:pPr>
    </w:p>
    <w:p>
      <w:pPr>
        <w:ind w:left="1720" w:right="2539" w:hanging="857"/>
        <w:spacing w:after="0" w:line="243" w:lineRule="auto"/>
        <w:tabs>
          <w:tab w:leader="none" w:pos="17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Definitive Proxy Statement for our Annual Meeting of Stockholders held on November 4, 1999 (filed October 8, 1999); and</w:t>
      </w:r>
    </w:p>
    <w:p>
      <w:pPr>
        <w:spacing w:after="0" w:line="188" w:lineRule="exact"/>
        <w:rPr>
          <w:rFonts w:ascii="Courier New" w:cs="Courier New" w:eastAsia="Courier New" w:hAnsi="Courier New"/>
          <w:sz w:val="16"/>
          <w:szCs w:val="16"/>
          <w:color w:val="auto"/>
        </w:rPr>
      </w:pPr>
    </w:p>
    <w:p>
      <w:pPr>
        <w:ind w:left="1720" w:right="2639" w:hanging="857"/>
        <w:spacing w:after="0" w:line="242" w:lineRule="auto"/>
        <w:tabs>
          <w:tab w:leader="none" w:pos="17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our common stock contained in our Form 8-A (File No. 0-26802), as amended or updated; and</w:t>
      </w:r>
    </w:p>
    <w:p>
      <w:pPr>
        <w:spacing w:after="0" w:line="188" w:lineRule="exact"/>
        <w:rPr>
          <w:rFonts w:ascii="Courier New" w:cs="Courier New" w:eastAsia="Courier New" w:hAnsi="Courier New"/>
          <w:sz w:val="16"/>
          <w:szCs w:val="16"/>
          <w:color w:val="auto"/>
        </w:rPr>
      </w:pPr>
    </w:p>
    <w:p>
      <w:pPr>
        <w:ind w:left="1720" w:right="2539" w:hanging="857"/>
        <w:spacing w:after="0" w:line="244" w:lineRule="auto"/>
        <w:tabs>
          <w:tab w:leader="none" w:pos="17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documents filed by us pursuant to Sections 13(a), 13(c), 14 or 15(d) of the Securities Exchange Act of 1934 after the date of this registration statement and before the offering of our common stock under the BlueGill Amended and Restated 1998 Incentive and Non-Qualified Stock Option Plan thereby is completed (other than portions of such documents described in paragraphs (i), (k), and (l) of Item 402 of Regulation S-K promulgated by the Commission).</w:t>
      </w:r>
    </w:p>
    <w:p>
      <w:pPr>
        <w:spacing w:after="0" w:line="1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tab/>
        <w:t>DESCRIPTION OF SECURITIES.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Not applicable.</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tab/>
        <w:t>INTERESTS OF NAMED EXPERTS AND COUNSEL.</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Not applicable.</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30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3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tab/>
        <w:t>INDEMNIFICATION OF DIRECTORS AND OFFICERS</w:t>
      </w:r>
    </w:p>
    <w:p>
      <w:pPr>
        <w:spacing w:after="0" w:line="190" w:lineRule="exact"/>
        <w:rPr>
          <w:sz w:val="20"/>
          <w:szCs w:val="20"/>
          <w:color w:val="auto"/>
        </w:rPr>
      </w:pPr>
    </w:p>
    <w:p>
      <w:pPr>
        <w:jc w:val="both"/>
        <w:ind w:right="2719" w:firstLine="865"/>
        <w:spacing w:after="0" w:line="243" w:lineRule="auto"/>
        <w:rPr>
          <w:sz w:val="20"/>
          <w:szCs w:val="20"/>
          <w:color w:val="auto"/>
        </w:rPr>
      </w:pPr>
      <w:r>
        <w:rPr>
          <w:rFonts w:ascii="Courier New" w:cs="Courier New" w:eastAsia="Courier New" w:hAnsi="Courier New"/>
          <w:sz w:val="16"/>
          <w:szCs w:val="16"/>
          <w:color w:val="auto"/>
        </w:rPr>
        <w:t>Delaware law, our certificate of incorporation and our bylaws contain provisions relating to the limitation of liability and indemnification of our directors and officers. We describe these provisions below.</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Under Section 145 of Delaware General Corporation Law, indemnification of any person who is or was a party or threatened to be made so in any action by reason of the fact that he is or was a director, officer, employee, or agent of the corporation or was serving as such of another corporation or enterprise at the request of the corporation is permitted against expenses, including attorneys' fees, judgments, fines, and amounts paid in settlement actually and reasonably incurred by the indemnified person in such proceeding where:</w:t>
      </w:r>
    </w:p>
    <w:p>
      <w:pPr>
        <w:spacing w:after="0" w:line="188" w:lineRule="exact"/>
        <w:rPr>
          <w:sz w:val="20"/>
          <w:szCs w:val="20"/>
          <w:color w:val="auto"/>
        </w:rPr>
      </w:pPr>
    </w:p>
    <w:p>
      <w:pPr>
        <w:ind w:left="1720" w:right="2639" w:hanging="857"/>
        <w:spacing w:after="0" w:line="243" w:lineRule="auto"/>
        <w:tabs>
          <w:tab w:leader="none" w:pos="17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indemnified person acted in good faith and in a manner he or she reasonably believed to be in, or not opposed to, the best interests of the corporation;</w:t>
      </w:r>
    </w:p>
    <w:p>
      <w:pPr>
        <w:spacing w:after="0" w:line="188" w:lineRule="exact"/>
        <w:rPr>
          <w:rFonts w:ascii="Courier New" w:cs="Courier New" w:eastAsia="Courier New" w:hAnsi="Courier New"/>
          <w:sz w:val="16"/>
          <w:szCs w:val="16"/>
          <w:color w:val="auto"/>
        </w:rPr>
      </w:pPr>
    </w:p>
    <w:p>
      <w:pPr>
        <w:ind w:left="1720" w:right="2719" w:hanging="857"/>
        <w:spacing w:after="0" w:line="242" w:lineRule="auto"/>
        <w:tabs>
          <w:tab w:leader="none" w:pos="17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criminal actions, where he or she had no reasonable cause to believe his conduct was unlawful; and</w:t>
      </w:r>
    </w:p>
    <w:p>
      <w:pPr>
        <w:spacing w:after="0" w:line="188" w:lineRule="exact"/>
        <w:rPr>
          <w:rFonts w:ascii="Courier New" w:cs="Courier New" w:eastAsia="Courier New" w:hAnsi="Courier New"/>
          <w:sz w:val="16"/>
          <w:szCs w:val="16"/>
          <w:color w:val="auto"/>
        </w:rPr>
      </w:pPr>
    </w:p>
    <w:p>
      <w:pPr>
        <w:ind w:left="1720" w:right="2539" w:hanging="857"/>
        <w:spacing w:after="0" w:line="244" w:lineRule="auto"/>
        <w:tabs>
          <w:tab w:leader="none" w:pos="17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lawsuits brought by or on behalf of the corporation, if the standards of conduct described above are met, except that no indemnification is permitted in respect to any matter in which the person is adjudged to be liable to the corporation unless a court shall determine that indemnification is fair and reasonable in view of all the circumstances of the case.</w:t>
      </w:r>
    </w:p>
    <w:p>
      <w:pPr>
        <w:spacing w:after="0" w:line="188"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Indemnification against expenses, including attorneys' fees, actually and reasonably incurred by directors, officers, employees, and agents is required in those cases where the person to be indemnified has been successful on the merits or otherwise in defense of a lawsuit of the type described above. In cases where indemnification is permissive, a determination as to whether the person met the applicable standard of conduct must be made, unless ordered by a court, by majority vote of the disinterested directors, by a committee of the disinterested directors designated by a majority vote of such directors, even though less than a quorum, by independent legal counsel, or by the stockholders. Such indemnification rights are specifically not deemed to be exclusive of other rights of indemnification by agreement or otherwise and the corporation is authorized to advance expenses incurred prior to the final disposition of a matter upon receipt of an undertaking to repay such amounts on a determination that indemnification was not permitted in the circumstances of the case.</w:t>
      </w:r>
    </w:p>
    <w:p>
      <w:pPr>
        <w:spacing w:after="0" w:line="175"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Our certificate of incorporation provides that our directors are not personally liable to us or our stockholders for monetary damages for breach of their fiduciary duties as directors to the fullest extent permitted by Delaware law. Existing Delaware law permits the elimination of limitation of directors' personal liability to us or our shareholders for monetary damages for breach of their fiduciary directors, except for:</w:t>
      </w:r>
    </w:p>
    <w:p>
      <w:pPr>
        <w:spacing w:after="0" w:line="188" w:lineRule="exact"/>
        <w:rPr>
          <w:sz w:val="20"/>
          <w:szCs w:val="20"/>
          <w:color w:val="auto"/>
        </w:rPr>
      </w:pPr>
    </w:p>
    <w:p>
      <w:pPr>
        <w:ind w:left="1720" w:right="3199" w:hanging="857"/>
        <w:spacing w:after="0" w:line="242" w:lineRule="auto"/>
        <w:tabs>
          <w:tab w:leader="none" w:pos="17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a director's duty of loyalty to us or our stockholders;</w:t>
      </w:r>
    </w:p>
    <w:p>
      <w:pPr>
        <w:spacing w:after="0" w:line="188" w:lineRule="exact"/>
        <w:rPr>
          <w:rFonts w:ascii="Courier New" w:cs="Courier New" w:eastAsia="Courier New" w:hAnsi="Courier New"/>
          <w:sz w:val="16"/>
          <w:szCs w:val="16"/>
          <w:color w:val="auto"/>
        </w:rPr>
      </w:pPr>
    </w:p>
    <w:p>
      <w:pPr>
        <w:ind w:left="1720" w:right="2719" w:hanging="857"/>
        <w:spacing w:after="0" w:line="242" w:lineRule="auto"/>
        <w:tabs>
          <w:tab w:leader="none" w:pos="17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acts or omissions not in good faith or involving intentional misconduct or a knowing violation of law;</w:t>
      </w:r>
    </w:p>
    <w:p>
      <w:pPr>
        <w:spacing w:after="0" w:line="188" w:lineRule="exact"/>
        <w:rPr>
          <w:rFonts w:ascii="Courier New" w:cs="Courier New" w:eastAsia="Courier New" w:hAnsi="Courier New"/>
          <w:sz w:val="16"/>
          <w:szCs w:val="16"/>
          <w:color w:val="auto"/>
        </w:rPr>
      </w:pPr>
    </w:p>
    <w:p>
      <w:pPr>
        <w:ind w:left="1720" w:right="2539" w:hanging="857"/>
        <w:spacing w:after="0" w:line="242" w:lineRule="auto"/>
        <w:tabs>
          <w:tab w:leader="none" w:pos="17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for which a director derived improper personal benefits;</w:t>
      </w:r>
    </w:p>
    <w:p>
      <w:pPr>
        <w:spacing w:after="0" w:line="186"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unlawful payment of dividends; and</w:t>
      </w:r>
    </w:p>
    <w:p>
      <w:pPr>
        <w:spacing w:after="0" w:line="188"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unlawful stock repurchases or redemptions.</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Because of these exculpation provisions, stockholders may be unable to recover monetary damages against directors for actions taken by them that constitute negligence or that otherwise violate their fiduciary duties as directors, although it may be possible to obtain injunctive or other equitable relief with respect to such actions. If equitable remedies are not available to stockholders, stockholders may not have an effective remedy against a director in connection with the director's conduct.</w:t>
      </w:r>
    </w:p>
    <w:p>
      <w:pPr>
        <w:spacing w:after="0" w:line="188" w:lineRule="exact"/>
        <w:rPr>
          <w:sz w:val="20"/>
          <w:szCs w:val="20"/>
          <w:color w:val="auto"/>
        </w:rPr>
      </w:pPr>
    </w:p>
    <w:p>
      <w:pPr>
        <w:ind w:right="2539" w:firstLine="865"/>
        <w:spacing w:after="0" w:line="265" w:lineRule="auto"/>
        <w:rPr>
          <w:sz w:val="20"/>
          <w:szCs w:val="20"/>
          <w:color w:val="auto"/>
        </w:rPr>
      </w:pPr>
      <w:r>
        <w:rPr>
          <w:rFonts w:ascii="Courier New" w:cs="Courier New" w:eastAsia="Courier New" w:hAnsi="Courier New"/>
          <w:sz w:val="15"/>
          <w:szCs w:val="15"/>
          <w:color w:val="auto"/>
        </w:rPr>
        <w:t>Our bylaws also provide that we will indemnify and hold harmless any person who was or is a party or is threatened to be a party to, or is involved in, any threatened, pending or completed civil, criminal, administrative, or investigative action, suit, or proceeding by reason of the fact that the person:</w:t>
      </w:r>
    </w:p>
    <w:p>
      <w:pPr>
        <w:spacing w:after="0" w:line="1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30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ind w:left="1720" w:hanging="857"/>
        <w:spacing w:after="0"/>
        <w:tabs>
          <w:tab w:leader="none" w:pos="17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one of our directors or officers; or</w:t>
      </w:r>
    </w:p>
    <w:p>
      <w:pPr>
        <w:spacing w:after="0" w:line="190" w:lineRule="exact"/>
        <w:rPr>
          <w:rFonts w:ascii="Courier New" w:cs="Courier New" w:eastAsia="Courier New" w:hAnsi="Courier New"/>
          <w:sz w:val="16"/>
          <w:szCs w:val="16"/>
          <w:color w:val="auto"/>
        </w:rPr>
      </w:pPr>
    </w:p>
    <w:p>
      <w:pPr>
        <w:ind w:left="1720" w:right="2639" w:hanging="857"/>
        <w:spacing w:after="0" w:line="244" w:lineRule="auto"/>
        <w:tabs>
          <w:tab w:leader="none" w:pos="17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serving at our request as a director, officer, employee, or agent of another corporation, partnership, joint venture, trust, or other enterprise or as a member of any committee or similar body to the fullest extent permitted by Delaware law.</w:t>
      </w:r>
    </w:p>
    <w:p>
      <w:pPr>
        <w:spacing w:after="0" w:line="187"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We will also pay the expenses incurred in connection with any such proceeding in advance of its final disposition to the fullest extent authorized by Delaware law. This right to indemnification will be a contract right. We may, by action of our board, provide indemnification to our employees and agents to the extent and to the effect that our board determines to be appropriate and authorized by Delaware law. In determining the right to indemnification under our bylaws, we have the burden of proof that the indemnitee has not met the applicable standard of conduct. If successful in whole or in part in such a proceeding, the indemnitee is entitled to be indemnified for all reasonable expenses incurred in connection with such proceeding.</w:t>
      </w:r>
    </w:p>
    <w:p>
      <w:pPr>
        <w:spacing w:after="0" w:line="178" w:lineRule="exact"/>
        <w:rPr>
          <w:sz w:val="20"/>
          <w:szCs w:val="20"/>
          <w:color w:val="auto"/>
        </w:rPr>
      </w:pPr>
    </w:p>
    <w:p>
      <w:pPr>
        <w:ind w:right="2539" w:firstLine="865"/>
        <w:spacing w:after="0" w:line="263" w:lineRule="auto"/>
        <w:rPr>
          <w:sz w:val="20"/>
          <w:szCs w:val="20"/>
          <w:color w:val="auto"/>
        </w:rPr>
      </w:pPr>
      <w:r>
        <w:rPr>
          <w:rFonts w:ascii="Courier New" w:cs="Courier New" w:eastAsia="Courier New" w:hAnsi="Courier New"/>
          <w:sz w:val="15"/>
          <w:szCs w:val="15"/>
          <w:color w:val="auto"/>
        </w:rPr>
        <w:t>If any provision of our bylaws relating to indemnification is held invalid, illegal, or unenforceable, the remaining provisions shall not be affected. An indemnitee also may elect, as an alternative to the indemnification provisions provided in the bylaws, to follow procedures authorized by Delaware law. The bylaws provide specific procedure for the advancement of expenses and for the determination of entitlement to indemnification, as follows:</w:t>
      </w:r>
    </w:p>
    <w:p>
      <w:pPr>
        <w:spacing w:after="0" w:line="176" w:lineRule="exact"/>
        <w:rPr>
          <w:sz w:val="20"/>
          <w:szCs w:val="20"/>
          <w:color w:val="auto"/>
        </w:rPr>
      </w:pPr>
    </w:p>
    <w:p>
      <w:pPr>
        <w:ind w:left="1720" w:right="2539" w:hanging="857"/>
        <w:spacing w:after="0" w:line="244" w:lineRule="auto"/>
        <w:tabs>
          <w:tab w:leader="none" w:pos="17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entitlement to indemnification shall be determined by a majority vote of disinterested directors, by a written opinion of independent counsel under certain circumstances, by our stockholders, if a majority of the disinterested directors determine the issue should be submitted to the stockholders, or, if none of the person empowered to make a determination have been appointed and have made a determination within 60 days after the receipt of a request for indemnification, the indemnitee is deemed to be entitled to indemnification unless the indemnitee misrepresented or omitted a material fact in making or supporting his request for indemnification or the indemnification is prohibited by law; and</w:t>
      </w:r>
    </w:p>
    <w:p>
      <w:pPr>
        <w:spacing w:after="0" w:line="190" w:lineRule="exact"/>
        <w:rPr>
          <w:rFonts w:ascii="Courier New" w:cs="Courier New" w:eastAsia="Courier New" w:hAnsi="Courier New"/>
          <w:sz w:val="16"/>
          <w:szCs w:val="16"/>
          <w:color w:val="auto"/>
        </w:rPr>
      </w:pPr>
    </w:p>
    <w:p>
      <w:pPr>
        <w:ind w:left="1720" w:right="2539" w:hanging="857"/>
        <w:spacing w:after="0" w:line="244" w:lineRule="auto"/>
        <w:tabs>
          <w:tab w:leader="none" w:pos="17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an action by judgment, order, settlement, or conviction or upon a plea of nolo contendere does not adversely affect the right of an indemnitee to indemnification or create any presumption with respect to any standard of conduct. An indemnitee is entitled to indemnification for expenses if he is successful on the merits, if the action is terminated without a determination of liability on the part of the indemnitee, or if the indemnitee was not then a party to the action. An indemnitee who is not to be entitled to indemnification may appeal such determination either though the courts or by arbitration.</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We intend to purchase and maintain insurance on behalf of any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w:t>
      </w:r>
    </w:p>
    <w:p>
      <w:pPr>
        <w:spacing w:after="0" w:line="190" w:lineRule="exact"/>
        <w:rPr>
          <w:sz w:val="20"/>
          <w:szCs w:val="20"/>
          <w:color w:val="auto"/>
        </w:rPr>
      </w:pPr>
    </w:p>
    <w:p>
      <w:pPr>
        <w:ind w:left="1720" w:right="3199" w:hanging="857"/>
        <w:spacing w:after="0" w:line="242" w:lineRule="auto"/>
        <w:tabs>
          <w:tab w:leader="none" w:pos="17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one of our directors, officers, employees, or agents; or</w:t>
      </w:r>
    </w:p>
    <w:p>
      <w:pPr>
        <w:spacing w:after="0" w:line="188" w:lineRule="exact"/>
        <w:rPr>
          <w:rFonts w:ascii="Courier New" w:cs="Courier New" w:eastAsia="Courier New" w:hAnsi="Courier New"/>
          <w:sz w:val="16"/>
          <w:szCs w:val="16"/>
          <w:color w:val="auto"/>
        </w:rPr>
      </w:pPr>
    </w:p>
    <w:p>
      <w:pPr>
        <w:ind w:left="1720" w:right="2639" w:hanging="857"/>
        <w:spacing w:after="0" w:line="244" w:lineRule="auto"/>
        <w:tabs>
          <w:tab w:leader="none" w:pos="17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was serving at our request as a director, officer, employee, or agent of another corporation, partnership, joint venture, trust, or other enterprise against any liability asserted against and incurred by the person in any such capacity, or arising out of the person's status as such, whether or not we would have the power or obligation to indemnify the person against such liability under our bylaws.</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We have entered into indemnification contracts with our directors and certain officers which provide that such directors and officers will be indemnified to the fullest extent provided by Delaware Law by reason of the fact that they were a director, officer, employee, or agent, of ours, or were serving at our request as a director, officer, employee, or agent of another corporation, partnership, joint venture, trust, or other enterprise.</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 indemnity will be provided under such indemnification contracts:</w:t>
      </w:r>
    </w:p>
    <w:p>
      <w:pPr>
        <w:spacing w:after="0" w:line="190" w:lineRule="exact"/>
        <w:rPr>
          <w:sz w:val="20"/>
          <w:szCs w:val="20"/>
          <w:color w:val="auto"/>
        </w:rPr>
      </w:pPr>
    </w:p>
    <w:p>
      <w:pPr>
        <w:ind w:left="1720" w:right="2719" w:hanging="857"/>
        <w:spacing w:after="0" w:line="243" w:lineRule="auto"/>
        <w:tabs>
          <w:tab w:leader="none" w:pos="17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that the aggregate losses to be indemnified pursuant thereto exceed the amount for which the indemnitee is indemnified pursuant to any directors and officers liability insurance purchased and maintained by us;</w:t>
      </w:r>
    </w:p>
    <w:p>
      <w:pPr>
        <w:sectPr>
          <w:pgSz w:w="11900" w:h="16838" w:orient="portrait"/>
          <w:cols w:equalWidth="0" w:num="1">
            <w:col w:w="10219"/>
          </w:cols>
          <w:pgMar w:left="240" w:top="300" w:right="1440" w:bottom="457" w:gutter="0" w:footer="0" w:header="0"/>
        </w:sectPr>
      </w:pPr>
    </w:p>
    <w:p>
      <w:pPr>
        <w:spacing w:after="0" w:line="200" w:lineRule="exact"/>
        <w:rPr>
          <w:sz w:val="20"/>
          <w:szCs w:val="20"/>
          <w:color w:val="auto"/>
        </w:rPr>
      </w:pPr>
    </w:p>
    <w:p>
      <w:pPr>
        <w:spacing w:after="0" w:line="35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300" w:right="1440" w:bottom="457"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jc w:val="both"/>
        <w:ind w:left="1720" w:right="3360" w:hanging="857"/>
        <w:spacing w:after="0" w:line="243" w:lineRule="auto"/>
        <w:tabs>
          <w:tab w:leader="none" w:pos="17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to remuneration paid to an indemnitee if it shall be determined by a final judgment that such remuneration was in violation of law;</w:t>
      </w:r>
    </w:p>
    <w:p>
      <w:pPr>
        <w:spacing w:after="0" w:line="188" w:lineRule="exact"/>
        <w:rPr>
          <w:rFonts w:ascii="Courier New" w:cs="Courier New" w:eastAsia="Courier New" w:hAnsi="Courier New"/>
          <w:sz w:val="16"/>
          <w:szCs w:val="16"/>
          <w:color w:val="auto"/>
        </w:rPr>
      </w:pPr>
    </w:p>
    <w:p>
      <w:pPr>
        <w:ind w:left="1720" w:right="3280" w:hanging="857"/>
        <w:spacing w:after="0" w:line="244" w:lineRule="auto"/>
        <w:tabs>
          <w:tab w:leader="none" w:pos="17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account of any suit in which judgment is rendered against an indemnitee for an accounting of profits made from the purchase or sale by indemnitee of our securities pursuant to the provision so Section 16(b) of the Securities Exchange Act of 1934 or similar provisions of any state or local law;</w:t>
      </w:r>
    </w:p>
    <w:p>
      <w:pPr>
        <w:spacing w:after="0" w:line="187" w:lineRule="exact"/>
        <w:rPr>
          <w:rFonts w:ascii="Courier New" w:cs="Courier New" w:eastAsia="Courier New" w:hAnsi="Courier New"/>
          <w:sz w:val="16"/>
          <w:szCs w:val="16"/>
          <w:color w:val="auto"/>
        </w:rPr>
      </w:pPr>
    </w:p>
    <w:p>
      <w:pPr>
        <w:ind w:left="1720" w:right="3360" w:hanging="857"/>
        <w:spacing w:after="0" w:line="243" w:lineRule="auto"/>
        <w:tabs>
          <w:tab w:leader="none" w:pos="17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account of the indemnitee's act or omission being finally adjudged to have been not in good faith or involving intentional misconduct or a knowing violation of law; or</w:t>
      </w:r>
    </w:p>
    <w:p>
      <w:pPr>
        <w:spacing w:after="0" w:line="188" w:lineRule="exact"/>
        <w:rPr>
          <w:rFonts w:ascii="Courier New" w:cs="Courier New" w:eastAsia="Courier New" w:hAnsi="Courier New"/>
          <w:sz w:val="16"/>
          <w:szCs w:val="16"/>
          <w:color w:val="auto"/>
        </w:rPr>
      </w:pPr>
    </w:p>
    <w:p>
      <w:pPr>
        <w:ind w:left="1720" w:right="3660" w:hanging="857"/>
        <w:spacing w:after="0" w:line="243" w:lineRule="auto"/>
        <w:tabs>
          <w:tab w:leader="none" w:pos="17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final decision by a court having jurisdiction in the matter shall determine that such indemnification is not lawful.</w:t>
      </w:r>
    </w:p>
    <w:p>
      <w:pPr>
        <w:spacing w:after="0" w:line="189" w:lineRule="exact"/>
        <w:rPr>
          <w:sz w:val="20"/>
          <w:szCs w:val="20"/>
          <w:color w:val="auto"/>
        </w:rPr>
      </w:pPr>
    </w:p>
    <w:p>
      <w:pPr>
        <w:ind w:right="3460" w:firstLine="865"/>
        <w:spacing w:after="0" w:line="244" w:lineRule="auto"/>
        <w:rPr>
          <w:sz w:val="20"/>
          <w:szCs w:val="20"/>
          <w:color w:val="auto"/>
        </w:rPr>
      </w:pPr>
      <w:r>
        <w:rPr>
          <w:rFonts w:ascii="Courier New" w:cs="Courier New" w:eastAsia="Courier New" w:hAnsi="Courier New"/>
          <w:sz w:val="16"/>
          <w:szCs w:val="16"/>
          <w:color w:val="auto"/>
        </w:rPr>
        <w:t>Under the BlueGill Technologies, Inc. Amended and Restated 1998 Incentive and Non-Qualified Stock Option Plan, no member of our board, or no member of our stock option and compensation committee appointed by our board, shall be liable for any good faith determination, act or failure to act in connection with the Plan or any option granted thereunder.</w:t>
      </w:r>
    </w:p>
    <w:p>
      <w:pPr>
        <w:spacing w:after="0" w:line="187" w:lineRule="exact"/>
        <w:rPr>
          <w:sz w:val="20"/>
          <w:szCs w:val="20"/>
          <w:color w:val="auto"/>
        </w:rPr>
      </w:pPr>
    </w:p>
    <w:p>
      <w:pPr>
        <w:ind w:right="3280" w:firstLine="865"/>
        <w:spacing w:after="0" w:line="243" w:lineRule="auto"/>
        <w:rPr>
          <w:sz w:val="20"/>
          <w:szCs w:val="20"/>
          <w:color w:val="auto"/>
        </w:rPr>
      </w:pPr>
      <w:r>
        <w:rPr>
          <w:rFonts w:ascii="Courier New" w:cs="Courier New" w:eastAsia="Courier New" w:hAnsi="Courier New"/>
          <w:sz w:val="16"/>
          <w:szCs w:val="16"/>
          <w:color w:val="auto"/>
        </w:rPr>
        <w:t>This discussion of our restated certificate of incorporation, by-laws, indemnification agreements, and of Section 145 of Delaware Law is not intended to be exhaustive and is respectively qualified in its entirety by such certificate of incorporation, by-laws, agreements, and Delaware law.</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7.</w:t>
        <w:tab/>
        <w:t>EXEMPTION FROM REGISTRATION CLAIMED.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Not applicable.</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EXHIBITS.</w:t>
      </w:r>
    </w:p>
    <w:p>
      <w:pPr>
        <w:spacing w:after="0" w:line="200" w:lineRule="exact"/>
        <w:rPr>
          <w:sz w:val="20"/>
          <w:szCs w:val="20"/>
          <w:color w:val="auto"/>
        </w:rPr>
      </w:pPr>
    </w:p>
    <w:p>
      <w:pPr>
        <w:spacing w:after="0" w:line="358" w:lineRule="exact"/>
        <w:rPr>
          <w:sz w:val="20"/>
          <w:szCs w:val="20"/>
          <w:color w:val="auto"/>
        </w:rPr>
      </w:pPr>
    </w:p>
    <w:p>
      <w:pPr>
        <w:ind w:left="860"/>
        <w:spacing w:after="0"/>
        <w:tabs>
          <w:tab w:leader="none" w:pos="4680"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Exhibit</w:t>
      </w:r>
    </w:p>
    <w:p>
      <w:pPr>
        <w:spacing w:after="0" w:line="4" w:lineRule="exact"/>
        <w:rPr>
          <w:sz w:val="20"/>
          <w:szCs w:val="20"/>
          <w:color w:val="auto"/>
        </w:rPr>
      </w:pPr>
    </w:p>
    <w:p>
      <w:pPr>
        <w:ind w:left="860"/>
        <w:spacing w:after="0"/>
        <w:tabs>
          <w:tab w:leader="none" w:pos="450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860"/>
        <w:spacing w:after="0"/>
        <w:tabs>
          <w:tab w:leader="none" w:pos="4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73" w:lineRule="exact"/>
        <w:rPr>
          <w:sz w:val="20"/>
          <w:szCs w:val="20"/>
          <w:color w:val="auto"/>
        </w:rPr>
      </w:pPr>
    </w:p>
    <w:p>
      <w:pPr>
        <w:jc w:val="both"/>
        <w:ind w:left="960"/>
        <w:spacing w:after="0"/>
        <w:tabs>
          <w:tab w:leader="none" w:pos="2000" w:val="left"/>
          <w:tab w:leader="none" w:pos="2960" w:val="left"/>
          <w:tab w:leader="none" w:pos="7760" w:val="left"/>
        </w:tabs>
        <w:rPr>
          <w:sz w:val="20"/>
          <w:szCs w:val="20"/>
          <w:color w:val="auto"/>
        </w:rPr>
      </w:pPr>
      <w:r>
        <w:rPr>
          <w:rFonts w:ascii="Courier New" w:cs="Courier New" w:eastAsia="Courier New" w:hAnsi="Courier New"/>
          <w:sz w:val="16"/>
          <w:szCs w:val="16"/>
          <w:color w:val="auto"/>
        </w:rPr>
        <w:t>4(a)</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BlueGill Technologies, Inc. Amended and Restated</w:t>
        <w:tab/>
        <w:t>1998 Incentive and Non-Qualified</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Stock Option Plan.</w:t>
      </w:r>
    </w:p>
    <w:p>
      <w:pPr>
        <w:spacing w:after="0" w:line="188" w:lineRule="exact"/>
        <w:rPr>
          <w:sz w:val="20"/>
          <w:szCs w:val="20"/>
          <w:color w:val="auto"/>
        </w:rPr>
      </w:pPr>
    </w:p>
    <w:p>
      <w:pPr>
        <w:jc w:val="both"/>
        <w:ind w:left="960"/>
        <w:spacing w:after="0"/>
        <w:tabs>
          <w:tab w:leader="none" w:pos="2960" w:val="left"/>
        </w:tabs>
        <w:rPr>
          <w:sz w:val="20"/>
          <w:szCs w:val="20"/>
          <w:color w:val="auto"/>
        </w:rPr>
      </w:pPr>
      <w:r>
        <w:rPr>
          <w:rFonts w:ascii="Courier New" w:cs="Courier New" w:eastAsia="Courier New" w:hAnsi="Courier New"/>
          <w:sz w:val="16"/>
          <w:szCs w:val="16"/>
          <w:color w:val="auto"/>
        </w:rPr>
        <w:t>4(b)</w:t>
      </w:r>
      <w:r>
        <w:rPr>
          <w:sz w:val="20"/>
          <w:szCs w:val="20"/>
          <w:color w:val="auto"/>
        </w:rPr>
        <w:tab/>
      </w:r>
      <w:r>
        <w:rPr>
          <w:rFonts w:ascii="Courier New" w:cs="Courier New" w:eastAsia="Courier New" w:hAnsi="Courier New"/>
          <w:sz w:val="16"/>
          <w:szCs w:val="16"/>
          <w:color w:val="auto"/>
        </w:rPr>
        <w:t>Restated Certificate of Incorporation of the Company. (Exhibit 3(a) to the Current</w:t>
      </w:r>
    </w:p>
    <w:p>
      <w:pPr>
        <w:spacing w:after="0" w:line="5" w:lineRule="exact"/>
        <w:rPr>
          <w:sz w:val="20"/>
          <w:szCs w:val="20"/>
          <w:color w:val="auto"/>
        </w:rPr>
      </w:pPr>
    </w:p>
    <w:p>
      <w:pPr>
        <w:ind w:left="2980" w:right="780"/>
        <w:spacing w:after="0" w:line="243" w:lineRule="auto"/>
        <w:rPr>
          <w:sz w:val="20"/>
          <w:szCs w:val="20"/>
          <w:color w:val="auto"/>
        </w:rPr>
      </w:pPr>
      <w:r>
        <w:rPr>
          <w:rFonts w:ascii="Courier New" w:cs="Courier New" w:eastAsia="Courier New" w:hAnsi="Courier New"/>
          <w:sz w:val="16"/>
          <w:szCs w:val="16"/>
          <w:color w:val="auto"/>
        </w:rPr>
        <w:t>Report on Form 8-K, dated December 22, 1997, filed with the Securities and Exchange Commission on December 30, 1997, and incorporated herein by reference).</w:t>
      </w:r>
    </w:p>
    <w:p>
      <w:pPr>
        <w:spacing w:after="0" w:line="187" w:lineRule="exact"/>
        <w:rPr>
          <w:sz w:val="20"/>
          <w:szCs w:val="20"/>
          <w:color w:val="auto"/>
        </w:rPr>
      </w:pPr>
    </w:p>
    <w:p>
      <w:pPr>
        <w:jc w:val="both"/>
        <w:ind w:left="960"/>
        <w:spacing w:after="0"/>
        <w:tabs>
          <w:tab w:leader="none" w:pos="2960" w:val="left"/>
        </w:tabs>
        <w:rPr>
          <w:sz w:val="20"/>
          <w:szCs w:val="20"/>
          <w:color w:val="auto"/>
        </w:rPr>
      </w:pPr>
      <w:r>
        <w:rPr>
          <w:rFonts w:ascii="Courier New" w:cs="Courier New" w:eastAsia="Courier New" w:hAnsi="Courier New"/>
          <w:sz w:val="16"/>
          <w:szCs w:val="16"/>
          <w:color w:val="auto"/>
        </w:rPr>
        <w:t>4(c)</w:t>
      </w:r>
      <w:r>
        <w:rPr>
          <w:sz w:val="20"/>
          <w:szCs w:val="20"/>
          <w:color w:val="auto"/>
        </w:rPr>
        <w:tab/>
      </w:r>
      <w:r>
        <w:rPr>
          <w:rFonts w:ascii="Courier New" w:cs="Courier New" w:eastAsia="Courier New" w:hAnsi="Courier New"/>
          <w:sz w:val="16"/>
          <w:szCs w:val="16"/>
          <w:color w:val="auto"/>
        </w:rPr>
        <w:t>By-Laws of the Company. (Exhibit 3(b) to the Current Report on Form 8-K, dated</w:t>
      </w:r>
    </w:p>
    <w:p>
      <w:pPr>
        <w:spacing w:after="0" w:line="5" w:lineRule="exact"/>
        <w:rPr>
          <w:sz w:val="20"/>
          <w:szCs w:val="20"/>
          <w:color w:val="auto"/>
        </w:rPr>
      </w:pPr>
    </w:p>
    <w:p>
      <w:pPr>
        <w:ind w:left="2980" w:right="1060"/>
        <w:spacing w:after="0" w:line="242" w:lineRule="auto"/>
        <w:rPr>
          <w:sz w:val="20"/>
          <w:szCs w:val="20"/>
          <w:color w:val="auto"/>
        </w:rPr>
      </w:pPr>
      <w:r>
        <w:rPr>
          <w:rFonts w:ascii="Courier New" w:cs="Courier New" w:eastAsia="Courier New" w:hAnsi="Courier New"/>
          <w:sz w:val="16"/>
          <w:szCs w:val="16"/>
          <w:color w:val="auto"/>
        </w:rPr>
        <w:t>December 22, 1997, filed with the Securities and Exchange Commission on December 30, 1997, and incorporated herein by reference).</w:t>
      </w:r>
    </w:p>
    <w:p>
      <w:pPr>
        <w:spacing w:after="0" w:line="187" w:lineRule="exact"/>
        <w:rPr>
          <w:sz w:val="20"/>
          <w:szCs w:val="20"/>
          <w:color w:val="auto"/>
        </w:rPr>
      </w:pPr>
    </w:p>
    <w:p>
      <w:pPr>
        <w:ind w:left="2020" w:hanging="1061"/>
        <w:spacing w:after="0"/>
        <w:tabs>
          <w:tab w:leader="none" w:pos="20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Porter, Wright, Morris &amp; Arthur LLP regarding legality.</w:t>
      </w:r>
    </w:p>
    <w:p>
      <w:pPr>
        <w:spacing w:after="0" w:line="188"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7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860" w:type="dxa"/>
            <w:vAlign w:val="bottom"/>
          </w:tcPr>
          <w:p>
            <w:pPr>
              <w:spacing w:after="0"/>
              <w:rPr>
                <w:sz w:val="15"/>
                <w:szCs w:val="15"/>
                <w:color w:val="auto"/>
              </w:rPr>
            </w:pPr>
          </w:p>
        </w:tc>
        <w:tc>
          <w:tcPr>
            <w:tcW w:w="7540" w:type="dxa"/>
            <w:vAlign w:val="bottom"/>
          </w:tcPr>
          <w:p>
            <w:pPr>
              <w:ind w:left="440"/>
              <w:spacing w:after="0"/>
              <w:rPr>
                <w:sz w:val="20"/>
                <w:szCs w:val="20"/>
                <w:color w:val="auto"/>
              </w:rPr>
            </w:pPr>
            <w:r>
              <w:rPr>
                <w:rFonts w:ascii="Courier New" w:cs="Courier New" w:eastAsia="Courier New" w:hAnsi="Courier New"/>
                <w:sz w:val="16"/>
                <w:szCs w:val="16"/>
                <w:color w:val="auto"/>
                <w:w w:val="99"/>
              </w:rPr>
              <w:t>Consent of Porter, Wright Morris &amp; Arthur LLP (included in Exhibit 5 filed</w:t>
            </w:r>
          </w:p>
        </w:tc>
      </w:tr>
      <w:tr>
        <w:trPr>
          <w:trHeight w:val="185"/>
        </w:trPr>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540" w:type="dxa"/>
            <w:vAlign w:val="bottom"/>
          </w:tcPr>
          <w:p>
            <w:pPr>
              <w:ind w:left="440"/>
              <w:spacing w:after="0"/>
              <w:rPr>
                <w:sz w:val="20"/>
                <w:szCs w:val="20"/>
                <w:color w:val="auto"/>
              </w:rPr>
            </w:pPr>
            <w:r>
              <w:rPr>
                <w:rFonts w:ascii="Courier New" w:cs="Courier New" w:eastAsia="Courier New" w:hAnsi="Courier New"/>
                <w:sz w:val="16"/>
                <w:szCs w:val="16"/>
                <w:color w:val="auto"/>
              </w:rPr>
              <w:t>herein).</w:t>
            </w:r>
          </w:p>
        </w:tc>
      </w:tr>
      <w:tr>
        <w:trPr>
          <w:trHeight w:val="370"/>
        </w:trPr>
        <w:tc>
          <w:tcPr>
            <w:tcW w:w="7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8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7540" w:type="dxa"/>
            <w:vAlign w:val="bottom"/>
          </w:tcPr>
          <w:p>
            <w:pPr>
              <w:ind w:left="440"/>
              <w:spacing w:after="0"/>
              <w:rPr>
                <w:sz w:val="20"/>
                <w:szCs w:val="20"/>
                <w:color w:val="auto"/>
              </w:rPr>
            </w:pPr>
            <w:r>
              <w:rPr>
                <w:rFonts w:ascii="Courier New" w:cs="Courier New" w:eastAsia="Courier New" w:hAnsi="Courier New"/>
                <w:sz w:val="16"/>
                <w:szCs w:val="16"/>
                <w:color w:val="auto"/>
              </w:rPr>
              <w:t>Consent of Deloitte &amp; Touche LLP.</w:t>
            </w:r>
          </w:p>
        </w:tc>
      </w:tr>
      <w:tr>
        <w:trPr>
          <w:trHeight w:val="370"/>
        </w:trPr>
        <w:tc>
          <w:tcPr>
            <w:tcW w:w="7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8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7540" w:type="dxa"/>
            <w:vAlign w:val="bottom"/>
          </w:tcPr>
          <w:p>
            <w:pPr>
              <w:ind w:left="440"/>
              <w:spacing w:after="0"/>
              <w:rPr>
                <w:sz w:val="20"/>
                <w:szCs w:val="20"/>
                <w:color w:val="auto"/>
              </w:rPr>
            </w:pPr>
            <w:r>
              <w:rPr>
                <w:rFonts w:ascii="Courier New" w:cs="Courier New" w:eastAsia="Courier New" w:hAnsi="Courier New"/>
                <w:sz w:val="16"/>
                <w:szCs w:val="16"/>
                <w:color w:val="auto"/>
              </w:rPr>
              <w:t>Consent of Deloitte &amp; Touche LLP.</w:t>
            </w:r>
          </w:p>
        </w:tc>
      </w:tr>
      <w:tr>
        <w:trPr>
          <w:trHeight w:val="370"/>
        </w:trPr>
        <w:tc>
          <w:tcPr>
            <w:tcW w:w="7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8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7540" w:type="dxa"/>
            <w:vAlign w:val="bottom"/>
          </w:tcPr>
          <w:p>
            <w:pPr>
              <w:ind w:left="440"/>
              <w:spacing w:after="0"/>
              <w:rPr>
                <w:sz w:val="20"/>
                <w:szCs w:val="20"/>
                <w:color w:val="auto"/>
              </w:rPr>
            </w:pPr>
            <w:r>
              <w:rPr>
                <w:rFonts w:ascii="Courier New" w:cs="Courier New" w:eastAsia="Courier New" w:hAnsi="Courier New"/>
                <w:sz w:val="16"/>
                <w:szCs w:val="16"/>
                <w:color w:val="auto"/>
              </w:rPr>
              <w:t>Consent of Arthur Andersen LLP.</w:t>
            </w:r>
          </w:p>
        </w:tc>
      </w:tr>
      <w:tr>
        <w:trPr>
          <w:trHeight w:val="370"/>
        </w:trPr>
        <w:tc>
          <w:tcPr>
            <w:tcW w:w="72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8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7540" w:type="dxa"/>
            <w:vAlign w:val="bottom"/>
          </w:tcPr>
          <w:p>
            <w:pPr>
              <w:ind w:left="440"/>
              <w:spacing w:after="0"/>
              <w:rPr>
                <w:sz w:val="20"/>
                <w:szCs w:val="20"/>
                <w:color w:val="auto"/>
              </w:rPr>
            </w:pPr>
            <w:r>
              <w:rPr>
                <w:rFonts w:ascii="Courier New" w:cs="Courier New" w:eastAsia="Courier New" w:hAnsi="Courier New"/>
                <w:sz w:val="16"/>
                <w:szCs w:val="16"/>
                <w:color w:val="auto"/>
              </w:rPr>
              <w:t>Power of Attorney.</w:t>
            </w:r>
          </w:p>
        </w:tc>
      </w:tr>
    </w:tbl>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 Filed with this Registration Statement</w:t>
      </w:r>
    </w:p>
    <w:p>
      <w:pPr>
        <w:sectPr>
          <w:pgSz w:w="11900" w:h="16838" w:orient="portrait"/>
          <w:cols w:equalWidth="0" w:num="1">
            <w:col w:w="10860"/>
          </w:cols>
          <w:pgMar w:left="240" w:top="300" w:right="79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860"/>
          </w:cols>
          <w:pgMar w:left="240" w:top="300" w:right="799"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9.</w:t>
        <w:tab/>
        <w:t>UNDERTAKINGS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We hereby undertake:</w:t>
      </w:r>
    </w:p>
    <w:p>
      <w:pPr>
        <w:spacing w:after="0" w:line="190" w:lineRule="exact"/>
        <w:rPr>
          <w:sz w:val="20"/>
          <w:szCs w:val="20"/>
          <w:color w:val="auto"/>
        </w:rPr>
      </w:pPr>
    </w:p>
    <w:p>
      <w:pPr>
        <w:ind w:left="1720" w:right="2639" w:hanging="857"/>
        <w:spacing w:after="0" w:line="243" w:lineRule="auto"/>
        <w:tabs>
          <w:tab w:leader="none" w:pos="17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8" w:lineRule="exact"/>
        <w:rPr>
          <w:rFonts w:ascii="Courier New" w:cs="Courier New" w:eastAsia="Courier New" w:hAnsi="Courier New"/>
          <w:sz w:val="16"/>
          <w:szCs w:val="16"/>
          <w:color w:val="auto"/>
        </w:rPr>
      </w:pPr>
    </w:p>
    <w:p>
      <w:pPr>
        <w:ind w:left="2600" w:right="3299" w:hanging="872"/>
        <w:spacing w:after="0" w:line="274" w:lineRule="auto"/>
        <w:tabs>
          <w:tab w:leader="none" w:pos="260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66" w:lineRule="exact"/>
        <w:rPr>
          <w:rFonts w:ascii="Courier New" w:cs="Courier New" w:eastAsia="Courier New" w:hAnsi="Courier New"/>
          <w:sz w:val="15"/>
          <w:szCs w:val="15"/>
          <w:color w:val="auto"/>
        </w:rPr>
      </w:pPr>
    </w:p>
    <w:p>
      <w:pPr>
        <w:ind w:left="2600" w:right="2539" w:hanging="872"/>
        <w:spacing w:after="0" w:line="244" w:lineRule="auto"/>
        <w:tabs>
          <w:tab w:leader="none" w:pos="260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what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93" w:lineRule="exact"/>
        <w:rPr>
          <w:rFonts w:ascii="Courier New" w:cs="Courier New" w:eastAsia="Courier New" w:hAnsi="Courier New"/>
          <w:sz w:val="16"/>
          <w:szCs w:val="16"/>
          <w:color w:val="auto"/>
        </w:rPr>
      </w:pPr>
    </w:p>
    <w:p>
      <w:pPr>
        <w:ind w:left="2600" w:right="2639" w:hanging="872"/>
        <w:spacing w:after="0" w:line="265" w:lineRule="auto"/>
        <w:tabs>
          <w:tab w:leader="none" w:pos="260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3" w:lineRule="exact"/>
        <w:rPr>
          <w:sz w:val="20"/>
          <w:szCs w:val="20"/>
          <w:color w:val="auto"/>
        </w:rPr>
      </w:pPr>
    </w:p>
    <w:p>
      <w:pPr>
        <w:ind w:left="1720" w:right="2719"/>
        <w:spacing w:after="0" w:line="244" w:lineRule="auto"/>
        <w:rPr>
          <w:sz w:val="20"/>
          <w:szCs w:val="20"/>
          <w:color w:val="auto"/>
        </w:rPr>
      </w:pPr>
      <w:r>
        <w:rPr>
          <w:rFonts w:ascii="Courier New" w:cs="Courier New" w:eastAsia="Courier New" w:hAnsi="Courier New"/>
          <w:sz w:val="16"/>
          <w:szCs w:val="16"/>
          <w:color w:val="auto"/>
        </w:rPr>
        <w:t>Provided, however, that paragraphs (1)(i) and (1)(ii) do not apply if the registration statement is on Form S-3 or Form S-8, and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89" w:lineRule="exact"/>
        <w:rPr>
          <w:sz w:val="20"/>
          <w:szCs w:val="20"/>
          <w:color w:val="auto"/>
        </w:rPr>
      </w:pPr>
    </w:p>
    <w:p>
      <w:pPr>
        <w:ind w:left="1720" w:right="2539" w:hanging="857"/>
        <w:spacing w:after="0" w:line="244" w:lineRule="auto"/>
        <w:tabs>
          <w:tab w:leader="none" w:pos="17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Courier New" w:cs="Courier New" w:eastAsia="Courier New" w:hAnsi="Courier New"/>
          <w:sz w:val="16"/>
          <w:szCs w:val="16"/>
          <w:color w:val="auto"/>
        </w:rPr>
      </w:pPr>
    </w:p>
    <w:p>
      <w:pPr>
        <w:ind w:left="1720" w:right="2639" w:hanging="857"/>
        <w:spacing w:after="0" w:line="243" w:lineRule="auto"/>
        <w:tabs>
          <w:tab w:leader="none" w:pos="17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We hereby undertake that, for purposes of determining any liability under the Securities Act of 1933, each filing of our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tot 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219"/>
          </w:cols>
          <w:pgMar w:left="240" w:top="30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300" w:right="1440" w:bottom="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right="3860" w:firstLine="865"/>
        <w:spacing w:after="0" w:line="24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duly caused this Registration Statement to be signed on its behalf by the undersigned, thereunto duly authorized, in the City of Norcross, State of Georgia, on April 28, 2000.</w:t>
      </w:r>
    </w:p>
    <w:p>
      <w:pPr>
        <w:spacing w:after="0" w:line="200" w:lineRule="exact"/>
        <w:rPr>
          <w:sz w:val="20"/>
          <w:szCs w:val="20"/>
          <w:color w:val="auto"/>
        </w:rPr>
      </w:pPr>
    </w:p>
    <w:p>
      <w:pPr>
        <w:spacing w:after="0" w:line="357"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CHECKFREE HOLDINGS CORPORATION</w:t>
      </w:r>
    </w:p>
    <w:p>
      <w:pPr>
        <w:spacing w:after="0" w:line="188"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By: /s/ Allen L. Shulman</w:t>
      </w:r>
    </w:p>
    <w:p>
      <w:pPr>
        <w:spacing w:after="0" w:line="4"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Allen L. Shulman, Executive Vice President, Chief Financial</w:t>
      </w:r>
    </w:p>
    <w:p>
      <w:pPr>
        <w:spacing w:after="0" w:line="4"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Officer, and General Counsel</w:t>
      </w:r>
    </w:p>
    <w:p>
      <w:pPr>
        <w:spacing w:after="0" w:line="190" w:lineRule="exact"/>
        <w:rPr>
          <w:sz w:val="20"/>
          <w:szCs w:val="20"/>
          <w:color w:val="auto"/>
        </w:rPr>
      </w:pPr>
    </w:p>
    <w:p>
      <w:pPr>
        <w:ind w:firstLine="865"/>
        <w:spacing w:after="0" w:line="242"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440"/>
          </w:cols>
          <w:pgMar w:left="240" w:top="300" w:right="219" w:bottom="1440" w:gutter="0" w:footer="0" w:header="0"/>
        </w:sectPr>
      </w:pPr>
    </w:p>
    <w:p>
      <w:pPr>
        <w:spacing w:after="0" w:line="189"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9" w:lineRule="exact"/>
        <w:rPr>
          <w:sz w:val="20"/>
          <w:szCs w:val="20"/>
          <w:color w:val="auto"/>
        </w:rPr>
      </w:pPr>
    </w:p>
    <w:p>
      <w:pPr>
        <w:sectPr>
          <w:pgSz w:w="11900" w:h="16838" w:orient="portrait"/>
          <w:cols w:equalWidth="0" w:num="3">
            <w:col w:w="4860" w:space="720"/>
            <w:col w:w="3400" w:space="720"/>
            <w:col w:w="1740"/>
          </w:cols>
          <w:pgMar w:left="240" w:top="300" w:right="219" w:bottom="1440" w:gutter="0" w:footer="0" w:header="0"/>
          <w:type w:val="continuous"/>
        </w:sectPr>
      </w:pPr>
    </w:p>
    <w:p>
      <w:pPr>
        <w:spacing w:after="0" w:line="173"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6"/>
          <w:szCs w:val="16"/>
          <w:color w:val="auto"/>
        </w:rPr>
        <w:t>* Peter J. Kight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5"/>
          <w:szCs w:val="15"/>
          <w:color w:val="auto"/>
        </w:rPr>
        <w:t>April 28, 2000</w:t>
      </w:r>
    </w:p>
    <w:p>
      <w:pPr>
        <w:spacing w:after="0" w:line="13" w:lineRule="exact"/>
        <w:rPr>
          <w:sz w:val="20"/>
          <w:szCs w:val="20"/>
          <w:color w:val="auto"/>
        </w:rPr>
      </w:pPr>
    </w:p>
    <w:p>
      <w:pPr>
        <w:sectPr>
          <w:pgSz w:w="11900" w:h="16838" w:orient="portrait"/>
          <w:cols w:equalWidth="0" w:num="4">
            <w:col w:w="3600" w:space="720"/>
            <w:col w:w="3420" w:space="720"/>
            <w:col w:w="140" w:space="720"/>
            <w:col w:w="2120"/>
          </w:cols>
          <w:pgMar w:left="240" w:top="300" w:right="21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3">
            <w:col w:w="3840" w:space="680"/>
            <w:col w:w="3400" w:space="720"/>
            <w:col w:w="2800"/>
          </w:cols>
          <w:pgMar w:left="240" w:top="300" w:right="219" w:bottom="1440" w:gutter="0" w:footer="0" w:header="0"/>
          <w:type w:val="continuous"/>
        </w:sectPr>
      </w:pPr>
    </w:p>
    <w:p>
      <w:pPr>
        <w:ind w:left="1340"/>
        <w:spacing w:after="0"/>
        <w:rPr>
          <w:sz w:val="20"/>
          <w:szCs w:val="20"/>
          <w:color w:val="auto"/>
        </w:rPr>
      </w:pPr>
      <w:r>
        <w:rPr>
          <w:rFonts w:ascii="Courier New" w:cs="Courier New" w:eastAsia="Courier New" w:hAnsi="Courier New"/>
          <w:sz w:val="16"/>
          <w:szCs w:val="16"/>
          <w:color w:val="auto"/>
        </w:rPr>
        <w:t>Peter J. Kight</w:t>
      </w:r>
    </w:p>
    <w:p>
      <w:pPr>
        <w:spacing w:after="0" w:line="188"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 Mark A. Johnson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(Principal Executive Officer)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28, 2000</w:t>
      </w:r>
    </w:p>
    <w:p>
      <w:pPr>
        <w:spacing w:after="0" w:line="198" w:lineRule="exact"/>
        <w:rPr>
          <w:sz w:val="20"/>
          <w:szCs w:val="20"/>
          <w:color w:val="auto"/>
        </w:rPr>
      </w:pPr>
    </w:p>
    <w:p>
      <w:pPr>
        <w:sectPr>
          <w:pgSz w:w="11900" w:h="16838" w:orient="portrait"/>
          <w:cols w:equalWidth="0" w:num="4">
            <w:col w:w="3840" w:space="480"/>
            <w:col w:w="3420" w:space="720"/>
            <w:col w:w="280" w:space="580"/>
            <w:col w:w="2120"/>
          </w:cols>
          <w:pgMar w:left="240" w:top="300" w:right="219" w:bottom="1440" w:gutter="0" w:footer="0" w:header="0"/>
          <w:type w:val="continuous"/>
        </w:sectPr>
      </w:pPr>
    </w:p>
    <w:p>
      <w:pPr>
        <w:ind w:left="1240"/>
        <w:spacing w:after="0"/>
        <w:rPr>
          <w:sz w:val="20"/>
          <w:szCs w:val="20"/>
          <w:color w:val="auto"/>
        </w:rPr>
      </w:pPr>
      <w:r>
        <w:rPr>
          <w:rFonts w:ascii="Courier New" w:cs="Courier New" w:eastAsia="Courier New" w:hAnsi="Courier New"/>
          <w:sz w:val="16"/>
          <w:szCs w:val="16"/>
          <w:color w:val="auto"/>
        </w:rPr>
        <w:t>Mark A. Johnson</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*Allen L. Shulman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hanging="191"/>
        <w:spacing w:after="0" w:line="260" w:lineRule="auto"/>
        <w:rPr>
          <w:sz w:val="20"/>
          <w:szCs w:val="20"/>
          <w:color w:val="auto"/>
        </w:rPr>
      </w:pPr>
      <w:r>
        <w:rPr>
          <w:rFonts w:ascii="Courier New" w:cs="Courier New" w:eastAsia="Courier New" w:hAnsi="Courier New"/>
          <w:sz w:val="15"/>
          <w:szCs w:val="15"/>
          <w:color w:val="auto"/>
        </w:rPr>
        <w:t>Executive Vice President, Chief Financial Officer and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28, 2000</w:t>
      </w:r>
    </w:p>
    <w:p>
      <w:pPr>
        <w:spacing w:after="0" w:line="199" w:lineRule="exact"/>
        <w:rPr>
          <w:sz w:val="20"/>
          <w:szCs w:val="20"/>
          <w:color w:val="auto"/>
        </w:rPr>
      </w:pPr>
    </w:p>
    <w:p>
      <w:pPr>
        <w:sectPr>
          <w:pgSz w:w="11900" w:h="16838" w:orient="portrait"/>
          <w:cols w:equalWidth="0" w:num="4">
            <w:col w:w="3840" w:space="680"/>
            <w:col w:w="3540" w:space="400"/>
            <w:col w:w="280" w:space="580"/>
            <w:col w:w="2120"/>
          </w:cols>
          <w:pgMar w:left="240" w:top="300" w:right="219" w:bottom="1440" w:gutter="0" w:footer="0" w:header="0"/>
          <w:type w:val="continuous"/>
        </w:sectPr>
      </w:pPr>
    </w:p>
    <w:p>
      <w:pPr>
        <w:ind w:left="1240"/>
        <w:spacing w:after="0"/>
        <w:rPr>
          <w:sz w:val="20"/>
          <w:szCs w:val="20"/>
          <w:color w:val="auto"/>
        </w:rPr>
      </w:pPr>
      <w:r>
        <w:rPr>
          <w:rFonts w:ascii="Courier New" w:cs="Courier New" w:eastAsia="Courier New" w:hAnsi="Courier New"/>
          <w:sz w:val="16"/>
          <w:szCs w:val="16"/>
          <w:color w:val="auto"/>
        </w:rPr>
        <w:t>Allen L. Shulman</w:t>
      </w:r>
    </w:p>
    <w:p>
      <w:pPr>
        <w:spacing w:after="0" w:line="188"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*Gary A. Luoma,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240"/>
        <w:spacing w:after="0" w:line="326" w:lineRule="auto"/>
        <w:rPr>
          <w:sz w:val="20"/>
          <w:szCs w:val="20"/>
          <w:color w:val="auto"/>
        </w:rPr>
      </w:pPr>
      <w:r>
        <w:rPr>
          <w:rFonts w:ascii="Courier New" w:cs="Courier New" w:eastAsia="Courier New" w:hAnsi="Courier New"/>
          <w:sz w:val="16"/>
          <w:szCs w:val="16"/>
          <w:color w:val="auto"/>
        </w:rPr>
        <w:t>(Principal Financial Officer) Vice President, Chief Accounting Officer and Assistant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28, 2000</w:t>
      </w:r>
    </w:p>
    <w:p>
      <w:pPr>
        <w:spacing w:after="0" w:line="200" w:lineRule="exact"/>
        <w:rPr>
          <w:sz w:val="20"/>
          <w:szCs w:val="20"/>
          <w:color w:val="auto"/>
        </w:rPr>
      </w:pPr>
    </w:p>
    <w:p>
      <w:pPr>
        <w:sectPr>
          <w:pgSz w:w="11900" w:h="16838" w:orient="portrait"/>
          <w:cols w:equalWidth="0" w:num="4">
            <w:col w:w="3840" w:space="480"/>
            <w:col w:w="3420" w:space="720"/>
            <w:col w:w="280" w:space="580"/>
            <w:col w:w="2120"/>
          </w:cols>
          <w:pgMar w:left="240" w:top="300" w:right="219" w:bottom="1440" w:gutter="0" w:footer="0" w:header="0"/>
          <w:type w:val="continuous"/>
        </w:sectPr>
      </w:pPr>
    </w:p>
    <w:p>
      <w:pPr>
        <w:ind w:left="1160"/>
        <w:spacing w:after="0" w:line="238" w:lineRule="auto"/>
        <w:rPr>
          <w:sz w:val="20"/>
          <w:szCs w:val="20"/>
          <w:color w:val="auto"/>
        </w:rPr>
      </w:pPr>
      <w:r>
        <w:rPr>
          <w:rFonts w:ascii="Courier New" w:cs="Courier New" w:eastAsia="Courier New" w:hAnsi="Courier New"/>
          <w:sz w:val="16"/>
          <w:szCs w:val="16"/>
          <w:color w:val="auto"/>
        </w:rPr>
        <w:t>Gary A. Luoma, Jr.</w:t>
      </w:r>
    </w:p>
    <w:p>
      <w:pPr>
        <w:spacing w:after="0" w:line="188"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*George R. Manser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28, 2000</w:t>
      </w:r>
    </w:p>
    <w:p>
      <w:pPr>
        <w:spacing w:after="0" w:line="198" w:lineRule="exact"/>
        <w:rPr>
          <w:sz w:val="20"/>
          <w:szCs w:val="20"/>
          <w:color w:val="auto"/>
        </w:rPr>
      </w:pPr>
    </w:p>
    <w:p>
      <w:pPr>
        <w:sectPr>
          <w:pgSz w:w="11900" w:h="16838" w:orient="portrait"/>
          <w:cols w:equalWidth="0" w:num="4">
            <w:col w:w="3840" w:space="480"/>
            <w:col w:w="3420" w:space="720"/>
            <w:col w:w="280" w:space="580"/>
            <w:col w:w="2120"/>
          </w:cols>
          <w:pgMar w:left="240" w:top="300" w:right="219" w:bottom="1440" w:gutter="0" w:footer="0" w:header="0"/>
          <w:type w:val="continuous"/>
        </w:sectPr>
      </w:pPr>
    </w:p>
    <w:p>
      <w:pPr>
        <w:ind w:left="1160"/>
        <w:spacing w:after="0"/>
        <w:rPr>
          <w:sz w:val="20"/>
          <w:szCs w:val="20"/>
          <w:color w:val="auto"/>
        </w:rPr>
      </w:pPr>
      <w:r>
        <w:rPr>
          <w:rFonts w:ascii="Courier New" w:cs="Courier New" w:eastAsia="Courier New" w:hAnsi="Courier New"/>
          <w:sz w:val="16"/>
          <w:szCs w:val="16"/>
          <w:color w:val="auto"/>
        </w:rPr>
        <w:t>George R. Manser</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*Eugene F. Quinn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28, 2000</w:t>
      </w:r>
    </w:p>
    <w:p>
      <w:pPr>
        <w:spacing w:after="0" w:line="198" w:lineRule="exact"/>
        <w:rPr>
          <w:sz w:val="20"/>
          <w:szCs w:val="20"/>
          <w:color w:val="auto"/>
        </w:rPr>
      </w:pPr>
    </w:p>
    <w:p>
      <w:pPr>
        <w:sectPr>
          <w:pgSz w:w="11900" w:h="16838" w:orient="portrait"/>
          <w:cols w:equalWidth="0" w:num="4">
            <w:col w:w="3840" w:space="480"/>
            <w:col w:w="3420" w:space="720"/>
            <w:col w:w="280" w:space="580"/>
            <w:col w:w="2120"/>
          </w:cols>
          <w:pgMar w:left="240" w:top="300" w:right="219" w:bottom="1440" w:gutter="0" w:footer="0" w:header="0"/>
          <w:type w:val="continuous"/>
        </w:sectPr>
      </w:pPr>
    </w:p>
    <w:p>
      <w:pPr>
        <w:ind w:left="1240"/>
        <w:spacing w:after="0"/>
        <w:rPr>
          <w:sz w:val="20"/>
          <w:szCs w:val="20"/>
          <w:color w:val="auto"/>
        </w:rPr>
      </w:pPr>
      <w:r>
        <w:rPr>
          <w:rFonts w:ascii="Courier New" w:cs="Courier New" w:eastAsia="Courier New" w:hAnsi="Courier New"/>
          <w:sz w:val="16"/>
          <w:szCs w:val="16"/>
          <w:color w:val="auto"/>
        </w:rPr>
        <w:t>Eugene F. Quinn</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*Jeffrey M. Wilkins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28, 2000</w:t>
      </w:r>
    </w:p>
    <w:p>
      <w:pPr>
        <w:spacing w:after="0" w:line="198" w:lineRule="exact"/>
        <w:rPr>
          <w:sz w:val="20"/>
          <w:szCs w:val="20"/>
          <w:color w:val="auto"/>
        </w:rPr>
      </w:pPr>
    </w:p>
    <w:p>
      <w:pPr>
        <w:sectPr>
          <w:pgSz w:w="11900" w:h="16838" w:orient="portrait"/>
          <w:cols w:equalWidth="0" w:num="4">
            <w:col w:w="3840" w:space="480"/>
            <w:col w:w="3420" w:space="720"/>
            <w:col w:w="280" w:space="580"/>
            <w:col w:w="2120"/>
          </w:cols>
          <w:pgMar w:left="240" w:top="300" w:right="219" w:bottom="1440" w:gutter="0" w:footer="0" w:header="0"/>
          <w:type w:val="continuous"/>
        </w:sectPr>
      </w:pPr>
    </w:p>
    <w:p>
      <w:pPr>
        <w:ind w:left="1240"/>
        <w:spacing w:after="0"/>
        <w:rPr>
          <w:sz w:val="20"/>
          <w:szCs w:val="20"/>
          <w:color w:val="auto"/>
        </w:rPr>
      </w:pPr>
      <w:r>
        <w:rPr>
          <w:rFonts w:ascii="Courier New" w:cs="Courier New" w:eastAsia="Courier New" w:hAnsi="Courier New"/>
          <w:sz w:val="16"/>
          <w:szCs w:val="16"/>
          <w:color w:val="auto"/>
        </w:rPr>
        <w:t>Jeffrey M. Wilkins</w:t>
      </w:r>
    </w:p>
    <w:p>
      <w:pPr>
        <w:spacing w:after="0" w:line="37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*William P. Boardman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5"/>
          <w:szCs w:val="15"/>
          <w:color w:val="auto"/>
        </w:rPr>
        <w:t>April 28, 2000</w:t>
      </w:r>
    </w:p>
    <w:p>
      <w:pPr>
        <w:spacing w:after="0" w:line="13" w:lineRule="exact"/>
        <w:rPr>
          <w:sz w:val="20"/>
          <w:szCs w:val="20"/>
          <w:color w:val="auto"/>
        </w:rPr>
      </w:pPr>
    </w:p>
    <w:p>
      <w:pPr>
        <w:sectPr>
          <w:pgSz w:w="11900" w:h="16838" w:orient="portrait"/>
          <w:cols w:equalWidth="0" w:num="4">
            <w:col w:w="3600" w:space="720"/>
            <w:col w:w="3420" w:space="720"/>
            <w:col w:w="140" w:space="720"/>
            <w:col w:w="2120"/>
          </w:cols>
          <w:pgMar w:left="240" w:top="300" w:right="21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2">
            <w:col w:w="7920" w:space="720"/>
            <w:col w:w="2800"/>
          </w:cols>
          <w:pgMar w:left="240" w:top="300" w:right="219" w:bottom="1440" w:gutter="0" w:footer="0" w:header="0"/>
          <w:type w:val="continuous"/>
        </w:sectPr>
      </w:pPr>
    </w:p>
    <w:p>
      <w:pPr>
        <w:ind w:left="1160"/>
        <w:spacing w:after="0"/>
        <w:rPr>
          <w:sz w:val="20"/>
          <w:szCs w:val="20"/>
          <w:color w:val="auto"/>
        </w:rPr>
      </w:pPr>
      <w:r>
        <w:rPr>
          <w:rFonts w:ascii="Courier New" w:cs="Courier New" w:eastAsia="Courier New" w:hAnsi="Courier New"/>
          <w:sz w:val="15"/>
          <w:szCs w:val="15"/>
          <w:color w:val="auto"/>
        </w:rPr>
        <w:t>William P. Boardman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20" w:lineRule="exact"/>
        <w:rPr>
          <w:sz w:val="20"/>
          <w:szCs w:val="20"/>
          <w:color w:val="auto"/>
        </w:rPr>
      </w:pPr>
    </w:p>
    <w:p>
      <w:pPr>
        <w:sectPr>
          <w:pgSz w:w="11900" w:h="16838" w:orient="portrait"/>
          <w:cols w:equalWidth="0" w:num="2">
            <w:col w:w="7740" w:space="720"/>
            <w:col w:w="2980"/>
          </w:cols>
          <w:pgMar w:left="240" w:top="300" w:right="21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6"/>
          <w:szCs w:val="16"/>
          <w:color w:val="auto"/>
        </w:rPr>
        <w:t>/s/ Curtis A. Loveland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Curtis A. Loveland, attorney-in-fact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for each of the persons indicated</w:t>
      </w:r>
    </w:p>
    <w:p>
      <w:pPr>
        <w:spacing w:after="0" w:line="200" w:lineRule="exact"/>
        <w:rPr>
          <w:sz w:val="20"/>
          <w:szCs w:val="20"/>
          <w:color w:val="auto"/>
        </w:rPr>
      </w:pPr>
    </w:p>
    <w:p>
      <w:pPr>
        <w:sectPr>
          <w:pgSz w:w="11900" w:h="16838" w:orient="portrait"/>
          <w:cols w:equalWidth="0" w:num="2">
            <w:col w:w="380" w:space="200"/>
            <w:col w:w="10860"/>
          </w:cols>
          <w:pgMar w:left="240" w:top="300" w:right="21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1440"/>
          </w:cols>
          <w:pgMar w:left="240" w:top="300" w:right="219"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REGISTRATION NO. 333 --</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WASHINGTON, D.C. 20549</w:t>
      </w:r>
    </w:p>
    <w:p>
      <w:pPr>
        <w:spacing w:after="0" w:line="373"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FORM S-8</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REGISTRATION STATEMENT</w:t>
      </w:r>
    </w:p>
    <w:p>
      <w:pPr>
        <w:spacing w:after="0" w:line="18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UNDER</w:t>
      </w:r>
    </w:p>
    <w:p>
      <w:pPr>
        <w:spacing w:after="0" w:line="188"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THE SECURITIES ACT OF 1933</w:t>
      </w:r>
    </w:p>
    <w:p>
      <w:pPr>
        <w:spacing w:after="0" w:line="373"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CHECKFREE HOLDINGS CORPORATION</w:t>
      </w:r>
    </w:p>
    <w:p>
      <w:pPr>
        <w:spacing w:after="0" w:line="373"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EXHIBITS</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939"/>
          </w:cols>
          <w:pgMar w:left="520" w:top="30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9</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9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760" w:type="dxa"/>
            <w:vAlign w:val="bottom"/>
          </w:tcPr>
          <w:p>
            <w:pPr>
              <w:spacing w:after="0"/>
              <w:rPr>
                <w:sz w:val="15"/>
                <w:szCs w:val="15"/>
                <w:color w:val="auto"/>
              </w:rPr>
            </w:pPr>
          </w:p>
        </w:tc>
        <w:tc>
          <w:tcPr>
            <w:tcW w:w="6160" w:type="dxa"/>
            <w:vAlign w:val="bottom"/>
          </w:tcPr>
          <w:p>
            <w:pPr>
              <w:ind w:left="2160"/>
              <w:spacing w:after="0"/>
              <w:rPr>
                <w:sz w:val="20"/>
                <w:szCs w:val="20"/>
                <w:color w:val="auto"/>
              </w:rPr>
            </w:pPr>
            <w:r>
              <w:rPr>
                <w:rFonts w:ascii="Courier New" w:cs="Courier New" w:eastAsia="Courier New" w:hAnsi="Courier New"/>
                <w:sz w:val="16"/>
                <w:szCs w:val="16"/>
                <w:color w:val="auto"/>
              </w:rPr>
              <w:t>Exhibit</w:t>
            </w:r>
          </w:p>
        </w:tc>
        <w:tc>
          <w:tcPr>
            <w:tcW w:w="2640" w:type="dxa"/>
            <w:vAlign w:val="bottom"/>
          </w:tcPr>
          <w:p>
            <w:pPr>
              <w:spacing w:after="0"/>
              <w:rPr>
                <w:sz w:val="15"/>
                <w:szCs w:val="15"/>
                <w:color w:val="auto"/>
              </w:rPr>
            </w:pP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760" w:type="dxa"/>
            <w:vAlign w:val="bottom"/>
          </w:tcPr>
          <w:p>
            <w:pPr>
              <w:spacing w:after="0"/>
              <w:rPr>
                <w:sz w:val="16"/>
                <w:szCs w:val="16"/>
                <w:color w:val="auto"/>
              </w:rPr>
            </w:pPr>
          </w:p>
        </w:tc>
        <w:tc>
          <w:tcPr>
            <w:tcW w:w="6160" w:type="dxa"/>
            <w:vAlign w:val="bottom"/>
          </w:tcPr>
          <w:p>
            <w:pPr>
              <w:ind w:left="1980"/>
              <w:spacing w:after="0"/>
              <w:rPr>
                <w:sz w:val="20"/>
                <w:szCs w:val="20"/>
                <w:color w:val="auto"/>
              </w:rPr>
            </w:pPr>
            <w:r>
              <w:rPr>
                <w:rFonts w:ascii="Courier New" w:cs="Courier New" w:eastAsia="Courier New" w:hAnsi="Courier New"/>
                <w:sz w:val="16"/>
                <w:szCs w:val="16"/>
                <w:color w:val="auto"/>
              </w:rPr>
              <w:t>Description</w:t>
            </w:r>
          </w:p>
        </w:tc>
        <w:tc>
          <w:tcPr>
            <w:tcW w:w="2640" w:type="dxa"/>
            <w:vAlign w:val="bottom"/>
          </w:tcPr>
          <w:p>
            <w:pPr>
              <w:spacing w:after="0"/>
              <w:rPr>
                <w:sz w:val="16"/>
                <w:szCs w:val="16"/>
                <w:color w:val="auto"/>
              </w:rPr>
            </w:pPr>
          </w:p>
        </w:tc>
      </w:tr>
      <w:tr>
        <w:trPr>
          <w:trHeight w:val="185"/>
        </w:trPr>
        <w:tc>
          <w:tcPr>
            <w:tcW w:w="920" w:type="dxa"/>
            <w:vAlign w:val="bottom"/>
          </w:tcPr>
          <w:p>
            <w:pPr>
              <w:jc w:val="center"/>
              <w:ind w:right="26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6"/>
                <w:szCs w:val="16"/>
                <w:color w:val="auto"/>
              </w:rPr>
            </w:pPr>
          </w:p>
        </w:tc>
        <w:tc>
          <w:tcPr>
            <w:tcW w:w="6160" w:type="dxa"/>
            <w:vAlign w:val="bottom"/>
          </w:tcPr>
          <w:p>
            <w:pPr>
              <w:ind w:left="1980"/>
              <w:spacing w:after="0"/>
              <w:rPr>
                <w:sz w:val="20"/>
                <w:szCs w:val="20"/>
                <w:color w:val="auto"/>
              </w:rPr>
            </w:pPr>
            <w:r>
              <w:rPr>
                <w:rFonts w:ascii="Courier New" w:cs="Courier New" w:eastAsia="Courier New" w:hAnsi="Courier New"/>
                <w:sz w:val="16"/>
                <w:szCs w:val="16"/>
                <w:color w:val="auto"/>
              </w:rPr>
              <w:t>-----------</w:t>
            </w:r>
          </w:p>
        </w:tc>
        <w:tc>
          <w:tcPr>
            <w:tcW w:w="2640" w:type="dxa"/>
            <w:vAlign w:val="bottom"/>
          </w:tcPr>
          <w:p>
            <w:pPr>
              <w:spacing w:after="0"/>
              <w:rPr>
                <w:sz w:val="16"/>
                <w:szCs w:val="16"/>
                <w:color w:val="auto"/>
              </w:rPr>
            </w:pPr>
          </w:p>
        </w:tc>
      </w:tr>
      <w:tr>
        <w:trPr>
          <w:trHeight w:val="554"/>
        </w:trPr>
        <w:tc>
          <w:tcPr>
            <w:tcW w:w="92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8"/>
              </w:rPr>
              <w:t>4(a)</w:t>
            </w:r>
          </w:p>
        </w:tc>
        <w:tc>
          <w:tcPr>
            <w:tcW w:w="7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880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BlueGill Technologies, Inc. Amended and Restated 1998 Incentive and Non-</w:t>
            </w:r>
          </w:p>
        </w:tc>
      </w:tr>
      <w:tr>
        <w:trPr>
          <w:trHeight w:val="185"/>
        </w:trPr>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160" w:type="dxa"/>
            <w:vAlign w:val="bottom"/>
          </w:tcPr>
          <w:p>
            <w:pPr>
              <w:ind w:left="440"/>
              <w:spacing w:after="0"/>
              <w:rPr>
                <w:sz w:val="20"/>
                <w:szCs w:val="20"/>
                <w:color w:val="auto"/>
              </w:rPr>
            </w:pPr>
            <w:r>
              <w:rPr>
                <w:rFonts w:ascii="Courier New" w:cs="Courier New" w:eastAsia="Courier New" w:hAnsi="Courier New"/>
                <w:sz w:val="16"/>
                <w:szCs w:val="16"/>
                <w:color w:val="auto"/>
              </w:rPr>
              <w:t>Qualified Stock Option Plan.</w:t>
            </w:r>
          </w:p>
        </w:tc>
        <w:tc>
          <w:tcPr>
            <w:tcW w:w="2640" w:type="dxa"/>
            <w:vAlign w:val="bottom"/>
          </w:tcPr>
          <w:p>
            <w:pPr>
              <w:spacing w:after="0"/>
              <w:rPr>
                <w:sz w:val="16"/>
                <w:szCs w:val="16"/>
                <w:color w:val="auto"/>
              </w:rPr>
            </w:pPr>
          </w:p>
        </w:tc>
      </w:tr>
      <w:tr>
        <w:trPr>
          <w:trHeight w:val="370"/>
        </w:trPr>
        <w:tc>
          <w:tcPr>
            <w:tcW w:w="92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8"/>
              </w:rPr>
              <w:t>4(b)</w:t>
            </w:r>
          </w:p>
        </w:tc>
        <w:tc>
          <w:tcPr>
            <w:tcW w:w="760" w:type="dxa"/>
            <w:vAlign w:val="bottom"/>
          </w:tcPr>
          <w:p>
            <w:pPr>
              <w:spacing w:after="0"/>
              <w:rPr>
                <w:sz w:val="24"/>
                <w:szCs w:val="24"/>
                <w:color w:val="auto"/>
              </w:rPr>
            </w:pPr>
          </w:p>
        </w:tc>
        <w:tc>
          <w:tcPr>
            <w:tcW w:w="880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Restated Certificate of Incorporation of the Company. (Exhibit 3(a) to the Current</w:t>
            </w:r>
          </w:p>
        </w:tc>
      </w:tr>
      <w:tr>
        <w:trPr>
          <w:trHeight w:val="185"/>
        </w:trPr>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160" w:type="dxa"/>
            <w:vAlign w:val="bottom"/>
          </w:tcPr>
          <w:p>
            <w:pPr>
              <w:ind w:left="440"/>
              <w:spacing w:after="0"/>
              <w:rPr>
                <w:sz w:val="20"/>
                <w:szCs w:val="20"/>
                <w:color w:val="auto"/>
              </w:rPr>
            </w:pPr>
            <w:r>
              <w:rPr>
                <w:rFonts w:ascii="Courier New" w:cs="Courier New" w:eastAsia="Courier New" w:hAnsi="Courier New"/>
                <w:sz w:val="16"/>
                <w:szCs w:val="16"/>
                <w:color w:val="auto"/>
              </w:rPr>
              <w:t>Report on Form 8-K, dated December 22, 1997, filed with the</w:t>
            </w:r>
          </w:p>
        </w:tc>
        <w:tc>
          <w:tcPr>
            <w:tcW w:w="2640" w:type="dxa"/>
            <w:vAlign w:val="bottom"/>
          </w:tcPr>
          <w:p>
            <w:pPr>
              <w:ind w:left="40"/>
              <w:spacing w:after="0"/>
              <w:rPr>
                <w:sz w:val="20"/>
                <w:szCs w:val="20"/>
                <w:color w:val="auto"/>
              </w:rPr>
            </w:pPr>
            <w:r>
              <w:rPr>
                <w:rFonts w:ascii="Courier New" w:cs="Courier New" w:eastAsia="Courier New" w:hAnsi="Courier New"/>
                <w:sz w:val="16"/>
                <w:szCs w:val="16"/>
                <w:color w:val="auto"/>
              </w:rPr>
              <w:t>Securities and Exchange</w:t>
            </w:r>
          </w:p>
        </w:tc>
      </w:tr>
      <w:tr>
        <w:trPr>
          <w:trHeight w:val="185"/>
        </w:trPr>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160" w:type="dxa"/>
            <w:vAlign w:val="bottom"/>
          </w:tcPr>
          <w:p>
            <w:pPr>
              <w:ind w:left="440"/>
              <w:spacing w:after="0"/>
              <w:rPr>
                <w:sz w:val="20"/>
                <w:szCs w:val="20"/>
                <w:color w:val="auto"/>
              </w:rPr>
            </w:pPr>
            <w:r>
              <w:rPr>
                <w:rFonts w:ascii="Courier New" w:cs="Courier New" w:eastAsia="Courier New" w:hAnsi="Courier New"/>
                <w:sz w:val="16"/>
                <w:szCs w:val="16"/>
                <w:color w:val="auto"/>
              </w:rPr>
              <w:t>Commission on December 30, 1997, and incorporated herein by</w:t>
            </w:r>
          </w:p>
        </w:tc>
        <w:tc>
          <w:tcPr>
            <w:tcW w:w="2640" w:type="dxa"/>
            <w:vAlign w:val="bottom"/>
          </w:tcPr>
          <w:p>
            <w:pPr>
              <w:ind w:left="40"/>
              <w:spacing w:after="0"/>
              <w:rPr>
                <w:sz w:val="20"/>
                <w:szCs w:val="20"/>
                <w:color w:val="auto"/>
              </w:rPr>
            </w:pPr>
            <w:r>
              <w:rPr>
                <w:rFonts w:ascii="Courier New" w:cs="Courier New" w:eastAsia="Courier New" w:hAnsi="Courier New"/>
                <w:sz w:val="16"/>
                <w:szCs w:val="16"/>
                <w:color w:val="auto"/>
              </w:rPr>
              <w:t>reference).</w:t>
            </w:r>
          </w:p>
        </w:tc>
      </w:tr>
      <w:tr>
        <w:trPr>
          <w:trHeight w:val="370"/>
        </w:trPr>
        <w:tc>
          <w:tcPr>
            <w:tcW w:w="92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8"/>
              </w:rPr>
              <w:t>4(c)</w:t>
            </w:r>
          </w:p>
        </w:tc>
        <w:tc>
          <w:tcPr>
            <w:tcW w:w="760" w:type="dxa"/>
            <w:vAlign w:val="bottom"/>
          </w:tcPr>
          <w:p>
            <w:pPr>
              <w:spacing w:after="0"/>
              <w:rPr>
                <w:sz w:val="24"/>
                <w:szCs w:val="24"/>
                <w:color w:val="auto"/>
              </w:rPr>
            </w:pPr>
          </w:p>
        </w:tc>
        <w:tc>
          <w:tcPr>
            <w:tcW w:w="6160" w:type="dxa"/>
            <w:vAlign w:val="bottom"/>
          </w:tcPr>
          <w:p>
            <w:pPr>
              <w:ind w:left="440"/>
              <w:spacing w:after="0"/>
              <w:rPr>
                <w:sz w:val="20"/>
                <w:szCs w:val="20"/>
                <w:color w:val="auto"/>
              </w:rPr>
            </w:pPr>
            <w:r>
              <w:rPr>
                <w:rFonts w:ascii="Courier New" w:cs="Courier New" w:eastAsia="Courier New" w:hAnsi="Courier New"/>
                <w:sz w:val="16"/>
                <w:szCs w:val="16"/>
                <w:color w:val="auto"/>
              </w:rPr>
              <w:t>By-Laws of the Company. (Exhibit 3(b) to the Current Report</w:t>
            </w:r>
          </w:p>
        </w:tc>
        <w:tc>
          <w:tcPr>
            <w:tcW w:w="2640" w:type="dxa"/>
            <w:vAlign w:val="bottom"/>
          </w:tcPr>
          <w:p>
            <w:pPr>
              <w:ind w:left="40"/>
              <w:spacing w:after="0"/>
              <w:rPr>
                <w:sz w:val="20"/>
                <w:szCs w:val="20"/>
                <w:color w:val="auto"/>
              </w:rPr>
            </w:pPr>
            <w:r>
              <w:rPr>
                <w:rFonts w:ascii="Courier New" w:cs="Courier New" w:eastAsia="Courier New" w:hAnsi="Courier New"/>
                <w:sz w:val="16"/>
                <w:szCs w:val="16"/>
                <w:color w:val="auto"/>
                <w:w w:val="99"/>
              </w:rPr>
              <w:t>on Form 8-K, dated December</w:t>
            </w:r>
          </w:p>
        </w:tc>
      </w:tr>
      <w:tr>
        <w:trPr>
          <w:trHeight w:val="185"/>
        </w:trPr>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160" w:type="dxa"/>
            <w:vAlign w:val="bottom"/>
          </w:tcPr>
          <w:p>
            <w:pPr>
              <w:ind w:left="440"/>
              <w:spacing w:after="0"/>
              <w:rPr>
                <w:sz w:val="20"/>
                <w:szCs w:val="20"/>
                <w:color w:val="auto"/>
              </w:rPr>
            </w:pPr>
            <w:r>
              <w:rPr>
                <w:rFonts w:ascii="Courier New" w:cs="Courier New" w:eastAsia="Courier New" w:hAnsi="Courier New"/>
                <w:sz w:val="16"/>
                <w:szCs w:val="16"/>
                <w:color w:val="auto"/>
              </w:rPr>
              <w:t>22, 1997, filed with the Securities and Exchange Commission</w:t>
            </w:r>
          </w:p>
        </w:tc>
        <w:tc>
          <w:tcPr>
            <w:tcW w:w="2640" w:type="dxa"/>
            <w:vAlign w:val="bottom"/>
          </w:tcPr>
          <w:p>
            <w:pPr>
              <w:ind w:left="40"/>
              <w:spacing w:after="0"/>
              <w:rPr>
                <w:sz w:val="20"/>
                <w:szCs w:val="20"/>
                <w:color w:val="auto"/>
              </w:rPr>
            </w:pPr>
            <w:r>
              <w:rPr>
                <w:rFonts w:ascii="Courier New" w:cs="Courier New" w:eastAsia="Courier New" w:hAnsi="Courier New"/>
                <w:sz w:val="16"/>
                <w:szCs w:val="16"/>
                <w:color w:val="auto"/>
              </w:rPr>
              <w:t>on December 30, 1997, and</w:t>
            </w:r>
          </w:p>
        </w:tc>
      </w:tr>
      <w:tr>
        <w:trPr>
          <w:trHeight w:val="185"/>
        </w:trPr>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160" w:type="dxa"/>
            <w:vAlign w:val="bottom"/>
          </w:tcPr>
          <w:p>
            <w:pPr>
              <w:ind w:left="440"/>
              <w:spacing w:after="0"/>
              <w:rPr>
                <w:sz w:val="20"/>
                <w:szCs w:val="20"/>
                <w:color w:val="auto"/>
              </w:rPr>
            </w:pPr>
            <w:r>
              <w:rPr>
                <w:rFonts w:ascii="Courier New" w:cs="Courier New" w:eastAsia="Courier New" w:hAnsi="Courier New"/>
                <w:sz w:val="16"/>
                <w:szCs w:val="16"/>
                <w:color w:val="auto"/>
              </w:rPr>
              <w:t>incorporated herein by reference).</w:t>
            </w:r>
          </w:p>
        </w:tc>
        <w:tc>
          <w:tcPr>
            <w:tcW w:w="2640" w:type="dxa"/>
            <w:vAlign w:val="bottom"/>
          </w:tcPr>
          <w:p>
            <w:pPr>
              <w:spacing w:after="0"/>
              <w:rPr>
                <w:sz w:val="16"/>
                <w:szCs w:val="16"/>
                <w:color w:val="auto"/>
              </w:rPr>
            </w:pPr>
          </w:p>
        </w:tc>
      </w:tr>
    </w:tbl>
    <w:p>
      <w:pPr>
        <w:spacing w:after="0" w:line="188" w:lineRule="exact"/>
        <w:rPr>
          <w:sz w:val="20"/>
          <w:szCs w:val="20"/>
          <w:color w:val="auto"/>
        </w:rPr>
      </w:pPr>
    </w:p>
    <w:p>
      <w:pPr>
        <w:ind w:left="1740" w:hanging="1061"/>
        <w:spacing w:after="0"/>
        <w:tabs>
          <w:tab w:leader="none" w:pos="1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Porter, Wright, Morris &amp; Arthur LLP regarding legality.</w:t>
      </w:r>
    </w:p>
    <w:p>
      <w:pPr>
        <w:spacing w:after="0" w:line="188" w:lineRule="exact"/>
        <w:rPr>
          <w:sz w:val="20"/>
          <w:szCs w:val="20"/>
          <w:color w:val="auto"/>
        </w:rPr>
      </w:pPr>
    </w:p>
    <w:tbl>
      <w:tblPr>
        <w:tblLayout w:type="fixed"/>
        <w:tblInd w:w="680" w:type="dxa"/>
        <w:tblCellMar>
          <w:top w:w="0" w:type="dxa"/>
          <w:left w:w="0" w:type="dxa"/>
          <w:bottom w:w="0" w:type="dxa"/>
          <w:right w:w="0" w:type="dxa"/>
        </w:tblCellMar>
      </w:tblPr>
      <w:tr>
        <w:trPr>
          <w:trHeight w:val="181"/>
        </w:trPr>
        <w:tc>
          <w:tcPr>
            <w:tcW w:w="7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860" w:type="dxa"/>
            <w:vAlign w:val="bottom"/>
          </w:tcPr>
          <w:p>
            <w:pPr>
              <w:spacing w:after="0"/>
              <w:rPr>
                <w:sz w:val="15"/>
                <w:szCs w:val="15"/>
                <w:color w:val="auto"/>
              </w:rPr>
            </w:pPr>
          </w:p>
        </w:tc>
        <w:tc>
          <w:tcPr>
            <w:tcW w:w="7540" w:type="dxa"/>
            <w:vAlign w:val="bottom"/>
          </w:tcPr>
          <w:p>
            <w:pPr>
              <w:ind w:left="440"/>
              <w:spacing w:after="0"/>
              <w:rPr>
                <w:sz w:val="20"/>
                <w:szCs w:val="20"/>
                <w:color w:val="auto"/>
              </w:rPr>
            </w:pPr>
            <w:r>
              <w:rPr>
                <w:rFonts w:ascii="Courier New" w:cs="Courier New" w:eastAsia="Courier New" w:hAnsi="Courier New"/>
                <w:sz w:val="16"/>
                <w:szCs w:val="16"/>
                <w:color w:val="auto"/>
                <w:w w:val="99"/>
              </w:rPr>
              <w:t>Consent of Porter, Wright Morris &amp; Arthur LLP (included in Exhibit 5 filed</w:t>
            </w:r>
          </w:p>
        </w:tc>
      </w:tr>
      <w:tr>
        <w:trPr>
          <w:trHeight w:val="185"/>
        </w:trPr>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540" w:type="dxa"/>
            <w:vAlign w:val="bottom"/>
          </w:tcPr>
          <w:p>
            <w:pPr>
              <w:ind w:left="440"/>
              <w:spacing w:after="0"/>
              <w:rPr>
                <w:sz w:val="20"/>
                <w:szCs w:val="20"/>
                <w:color w:val="auto"/>
              </w:rPr>
            </w:pPr>
            <w:r>
              <w:rPr>
                <w:rFonts w:ascii="Courier New" w:cs="Courier New" w:eastAsia="Courier New" w:hAnsi="Courier New"/>
                <w:sz w:val="16"/>
                <w:szCs w:val="16"/>
                <w:color w:val="auto"/>
              </w:rPr>
              <w:t>herein).</w:t>
            </w:r>
          </w:p>
        </w:tc>
      </w:tr>
      <w:tr>
        <w:trPr>
          <w:trHeight w:val="370"/>
        </w:trPr>
        <w:tc>
          <w:tcPr>
            <w:tcW w:w="7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8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7540" w:type="dxa"/>
            <w:vAlign w:val="bottom"/>
          </w:tcPr>
          <w:p>
            <w:pPr>
              <w:ind w:left="440"/>
              <w:spacing w:after="0"/>
              <w:rPr>
                <w:sz w:val="20"/>
                <w:szCs w:val="20"/>
                <w:color w:val="auto"/>
              </w:rPr>
            </w:pPr>
            <w:r>
              <w:rPr>
                <w:rFonts w:ascii="Courier New" w:cs="Courier New" w:eastAsia="Courier New" w:hAnsi="Courier New"/>
                <w:sz w:val="16"/>
                <w:szCs w:val="16"/>
                <w:color w:val="auto"/>
              </w:rPr>
              <w:t>Consent of Deloitte &amp; Touche LLP.</w:t>
            </w:r>
          </w:p>
        </w:tc>
      </w:tr>
      <w:tr>
        <w:trPr>
          <w:trHeight w:val="370"/>
        </w:trPr>
        <w:tc>
          <w:tcPr>
            <w:tcW w:w="7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8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7540" w:type="dxa"/>
            <w:vAlign w:val="bottom"/>
          </w:tcPr>
          <w:p>
            <w:pPr>
              <w:ind w:left="440"/>
              <w:spacing w:after="0"/>
              <w:rPr>
                <w:sz w:val="20"/>
                <w:szCs w:val="20"/>
                <w:color w:val="auto"/>
              </w:rPr>
            </w:pPr>
            <w:r>
              <w:rPr>
                <w:rFonts w:ascii="Courier New" w:cs="Courier New" w:eastAsia="Courier New" w:hAnsi="Courier New"/>
                <w:sz w:val="16"/>
                <w:szCs w:val="16"/>
                <w:color w:val="auto"/>
              </w:rPr>
              <w:t>Consent of Deloitte &amp; Touche LLP.</w:t>
            </w:r>
          </w:p>
        </w:tc>
      </w:tr>
      <w:tr>
        <w:trPr>
          <w:trHeight w:val="370"/>
        </w:trPr>
        <w:tc>
          <w:tcPr>
            <w:tcW w:w="7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8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7540" w:type="dxa"/>
            <w:vAlign w:val="bottom"/>
          </w:tcPr>
          <w:p>
            <w:pPr>
              <w:ind w:left="440"/>
              <w:spacing w:after="0"/>
              <w:rPr>
                <w:sz w:val="20"/>
                <w:szCs w:val="20"/>
                <w:color w:val="auto"/>
              </w:rPr>
            </w:pPr>
            <w:r>
              <w:rPr>
                <w:rFonts w:ascii="Courier New" w:cs="Courier New" w:eastAsia="Courier New" w:hAnsi="Courier New"/>
                <w:sz w:val="16"/>
                <w:szCs w:val="16"/>
                <w:color w:val="auto"/>
              </w:rPr>
              <w:t>Consent of Arthur Andersen LLP.</w:t>
            </w:r>
          </w:p>
        </w:tc>
      </w:tr>
      <w:tr>
        <w:trPr>
          <w:trHeight w:val="370"/>
        </w:trPr>
        <w:tc>
          <w:tcPr>
            <w:tcW w:w="72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86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7540" w:type="dxa"/>
            <w:vAlign w:val="bottom"/>
          </w:tcPr>
          <w:p>
            <w:pPr>
              <w:ind w:left="440"/>
              <w:spacing w:after="0"/>
              <w:rPr>
                <w:sz w:val="20"/>
                <w:szCs w:val="20"/>
                <w:color w:val="auto"/>
              </w:rPr>
            </w:pPr>
            <w:r>
              <w:rPr>
                <w:rFonts w:ascii="Courier New" w:cs="Courier New" w:eastAsia="Courier New" w:hAnsi="Courier New"/>
                <w:sz w:val="16"/>
                <w:szCs w:val="16"/>
                <w:color w:val="auto"/>
              </w:rPr>
              <w:t>Power of Attorney.</w:t>
            </w:r>
          </w:p>
        </w:tc>
      </w:tr>
    </w:tbl>
    <w:p>
      <w:pPr>
        <w:spacing w:after="0" w:line="18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 Filed with this Registration Statement</w:t>
      </w:r>
    </w:p>
    <w:p>
      <w:pPr>
        <w:sectPr>
          <w:pgSz w:w="11900" w:h="16838" w:orient="portrait"/>
          <w:cols w:equalWidth="0" w:num="1">
            <w:col w:w="11060"/>
          </w:cols>
          <w:pgMar w:left="520" w:top="300" w:right="31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4(a)</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AMENDED AND RESTATED</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BLUEGILL TECHNOLOGIES, INC.</w:t>
      </w:r>
    </w:p>
    <w:p>
      <w:pPr>
        <w:spacing w:after="0" w:line="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1998 INCENTIVE AND NON-QUALIFIED</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STOCK OPTION PLAN</w:t>
      </w:r>
    </w:p>
    <w:p>
      <w:pPr>
        <w:sectPr>
          <w:pgSz w:w="11900" w:h="16838" w:orient="portrait"/>
          <w:cols w:equalWidth="0" w:num="1">
            <w:col w:w="9939"/>
          </w:cols>
          <w:pgMar w:left="520" w:top="14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1"/>
        </w:trPr>
        <w:tc>
          <w:tcPr>
            <w:tcW w:w="110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c>
          <w:tcPr>
            <w:tcW w:w="96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739"/>
        </w:trPr>
        <w:tc>
          <w:tcPr>
            <w:tcW w:w="1100" w:type="dxa"/>
            <w:vAlign w:val="bottom"/>
          </w:tcPr>
          <w:p>
            <w:pPr>
              <w:spacing w:after="0"/>
              <w:rPr>
                <w:sz w:val="24"/>
                <w:szCs w:val="24"/>
                <w:color w:val="auto"/>
              </w:rPr>
            </w:pPr>
          </w:p>
        </w:tc>
        <w:tc>
          <w:tcPr>
            <w:tcW w:w="9660" w:type="dxa"/>
            <w:vAlign w:val="bottom"/>
          </w:tcPr>
          <w:p>
            <w:pPr>
              <w:jc w:val="right"/>
              <w:ind w:right="5980"/>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24"/>
                <w:szCs w:val="24"/>
                <w:color w:val="auto"/>
              </w:rPr>
            </w:pPr>
          </w:p>
        </w:tc>
      </w:tr>
      <w:tr>
        <w:trPr>
          <w:trHeight w:val="185"/>
        </w:trPr>
        <w:tc>
          <w:tcPr>
            <w:tcW w:w="1100" w:type="dxa"/>
            <w:vAlign w:val="bottom"/>
          </w:tcPr>
          <w:p>
            <w:pPr>
              <w:spacing w:after="0"/>
              <w:rPr>
                <w:sz w:val="16"/>
                <w:szCs w:val="16"/>
                <w:color w:val="auto"/>
              </w:rPr>
            </w:pPr>
          </w:p>
        </w:tc>
        <w:tc>
          <w:tcPr>
            <w:tcW w:w="9660" w:type="dxa"/>
            <w:vAlign w:val="bottom"/>
          </w:tcPr>
          <w:p>
            <w:pPr>
              <w:jc w:val="right"/>
              <w:ind w:right="598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370"/>
        </w:trPr>
        <w:tc>
          <w:tcPr>
            <w:tcW w:w="110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5"/>
        </w:trPr>
        <w:tc>
          <w:tcPr>
            <w:tcW w:w="1100" w:type="dxa"/>
            <w:vAlign w:val="bottom"/>
          </w:tcPr>
          <w:p>
            <w:pPr>
              <w:spacing w:after="0"/>
              <w:rPr>
                <w:sz w:val="16"/>
                <w:szCs w:val="16"/>
                <w:color w:val="auto"/>
              </w:rPr>
            </w:pPr>
          </w:p>
        </w:tc>
        <w:tc>
          <w:tcPr>
            <w:tcW w:w="9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554"/>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1.</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w w:val="98"/>
              </w:rPr>
              <w:t>Name and Purposes.....................................................................................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2.</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w w:val="98"/>
              </w:rPr>
              <w:t>Definitions...........................................................................................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3.</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w w:val="98"/>
              </w:rPr>
              <w:t>Administration........................................................................................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4.</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w w:val="98"/>
              </w:rPr>
              <w:t>Eligibility...........................................................................................</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5.</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w w:val="98"/>
              </w:rPr>
              <w:t>Stock Subject to the Plan.............................................................................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6.</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w w:val="98"/>
              </w:rPr>
              <w:t>Terms and Conditions of Options.......................................................................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7.</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w w:val="99"/>
              </w:rPr>
              <w:t>Fair Market Value of Common Stock....................................................................</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8.</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w w:val="99"/>
              </w:rPr>
              <w:t>Adjustments..........................................................................................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9.</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w w:val="99"/>
              </w:rPr>
              <w:t>Rights as a Shareholder..............................................................................</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10.</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rPr>
              <w:t>Forfeiture..........................................................................................</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11.</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rPr>
              <w:t>Time of Granting Options............................................................................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12.</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rPr>
              <w:t>Modification, Extension, Renewal of Option..........................................................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13.</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rPr>
              <w:t>Transferability.....................................................................................</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14.</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rPr>
              <w:t>Power of Board if Change of Control or Sale of the Company..........................................</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15.</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rPr>
              <w:t>Amendment or Termination of the Plan................................................................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16.</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rPr>
              <w:t>Application of Funds................................................................................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17.</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rPr>
              <w:t>No Obligation to Exercise Option....................................................................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18.</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rPr>
              <w:t>Approval of Shareholders............................................................................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19.</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rPr>
              <w:t>Conditions Upon Issuance of Shares..................................................................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w:t>
            </w:r>
          </w:p>
        </w:tc>
      </w:tr>
      <w:tr>
        <w:trPr>
          <w:trHeight w:val="370"/>
        </w:trPr>
        <w:tc>
          <w:tcPr>
            <w:tcW w:w="1100" w:type="dxa"/>
            <w:vAlign w:val="bottom"/>
          </w:tcPr>
          <w:p>
            <w:pPr>
              <w:spacing w:after="0"/>
              <w:rPr>
                <w:sz w:val="20"/>
                <w:szCs w:val="20"/>
                <w:color w:val="auto"/>
              </w:rPr>
            </w:pPr>
            <w:r>
              <w:rPr>
                <w:rFonts w:ascii="Courier New" w:cs="Courier New" w:eastAsia="Courier New" w:hAnsi="Courier New"/>
                <w:sz w:val="16"/>
                <w:szCs w:val="16"/>
                <w:color w:val="auto"/>
              </w:rPr>
              <w:t>Section 20.</w:t>
            </w:r>
          </w:p>
        </w:tc>
        <w:tc>
          <w:tcPr>
            <w:tcW w:w="9660" w:type="dxa"/>
            <w:vAlign w:val="bottom"/>
          </w:tcPr>
          <w:p>
            <w:pPr>
              <w:jc w:val="right"/>
              <w:spacing w:after="0"/>
              <w:rPr>
                <w:sz w:val="20"/>
                <w:szCs w:val="20"/>
                <w:color w:val="auto"/>
              </w:rPr>
            </w:pPr>
            <w:r>
              <w:rPr>
                <w:rFonts w:ascii="Courier New" w:cs="Courier New" w:eastAsia="Courier New" w:hAnsi="Courier New"/>
                <w:sz w:val="16"/>
                <w:szCs w:val="16"/>
                <w:color w:val="auto"/>
              </w:rPr>
              <w:t>Reservation of Shares...............................................................................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w:t>
            </w:r>
          </w:p>
        </w:tc>
      </w:tr>
    </w:tbl>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1140"/>
          </w:cols>
          <w:pgMar w:left="240" w:top="300" w:right="5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1"/>
        </w:trPr>
        <w:tc>
          <w:tcPr>
            <w:tcW w:w="116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c>
          <w:tcPr>
            <w:tcW w:w="97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554"/>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21.</w:t>
            </w:r>
          </w:p>
        </w:tc>
        <w:tc>
          <w:tcPr>
            <w:tcW w:w="9700" w:type="dxa"/>
            <w:vAlign w:val="bottom"/>
          </w:tcPr>
          <w:p>
            <w:pPr>
              <w:ind w:left="80"/>
              <w:spacing w:after="0"/>
              <w:rPr>
                <w:sz w:val="20"/>
                <w:szCs w:val="20"/>
                <w:color w:val="auto"/>
              </w:rPr>
            </w:pPr>
            <w:r>
              <w:rPr>
                <w:rFonts w:ascii="Courier New" w:cs="Courier New" w:eastAsia="Courier New" w:hAnsi="Courier New"/>
                <w:sz w:val="16"/>
                <w:szCs w:val="16"/>
                <w:color w:val="auto"/>
                <w:w w:val="99"/>
              </w:rPr>
              <w:t>Other Agreements....................................................................................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14</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22.</w:t>
            </w:r>
          </w:p>
        </w:tc>
        <w:tc>
          <w:tcPr>
            <w:tcW w:w="9700" w:type="dxa"/>
            <w:vAlign w:val="bottom"/>
          </w:tcPr>
          <w:p>
            <w:pPr>
              <w:ind w:left="80"/>
              <w:spacing w:after="0"/>
              <w:rPr>
                <w:sz w:val="20"/>
                <w:szCs w:val="20"/>
                <w:color w:val="auto"/>
              </w:rPr>
            </w:pPr>
            <w:r>
              <w:rPr>
                <w:rFonts w:ascii="Courier New" w:cs="Courier New" w:eastAsia="Courier New" w:hAnsi="Courier New"/>
                <w:sz w:val="16"/>
                <w:szCs w:val="16"/>
                <w:color w:val="auto"/>
                <w:w w:val="99"/>
              </w:rPr>
              <w:t>Taxes, Fees, Expenses and Withholding...............................................................</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15</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23.</w:t>
            </w:r>
          </w:p>
        </w:tc>
        <w:tc>
          <w:tcPr>
            <w:tcW w:w="9700" w:type="dxa"/>
            <w:vAlign w:val="bottom"/>
          </w:tcPr>
          <w:p>
            <w:pPr>
              <w:ind w:left="80"/>
              <w:spacing w:after="0"/>
              <w:rPr>
                <w:sz w:val="20"/>
                <w:szCs w:val="20"/>
                <w:color w:val="auto"/>
              </w:rPr>
            </w:pPr>
            <w:r>
              <w:rPr>
                <w:rFonts w:ascii="Courier New" w:cs="Courier New" w:eastAsia="Courier New" w:hAnsi="Courier New"/>
                <w:sz w:val="16"/>
                <w:szCs w:val="16"/>
                <w:color w:val="auto"/>
                <w:w w:val="99"/>
              </w:rPr>
              <w:t>Notices.............................................................................................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15</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24.</w:t>
            </w:r>
          </w:p>
        </w:tc>
        <w:tc>
          <w:tcPr>
            <w:tcW w:w="9700" w:type="dxa"/>
            <w:vAlign w:val="bottom"/>
          </w:tcPr>
          <w:p>
            <w:pPr>
              <w:ind w:left="80"/>
              <w:spacing w:after="0"/>
              <w:rPr>
                <w:sz w:val="20"/>
                <w:szCs w:val="20"/>
                <w:color w:val="auto"/>
              </w:rPr>
            </w:pPr>
            <w:r>
              <w:rPr>
                <w:rFonts w:ascii="Courier New" w:cs="Courier New" w:eastAsia="Courier New" w:hAnsi="Courier New"/>
                <w:sz w:val="16"/>
                <w:szCs w:val="16"/>
                <w:color w:val="auto"/>
                <w:w w:val="99"/>
              </w:rPr>
              <w:t>No Enlargement of Employee Rights...................................................................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15</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25.</w:t>
            </w:r>
          </w:p>
        </w:tc>
        <w:tc>
          <w:tcPr>
            <w:tcW w:w="9700" w:type="dxa"/>
            <w:vAlign w:val="bottom"/>
          </w:tcPr>
          <w:p>
            <w:pPr>
              <w:ind w:left="80"/>
              <w:spacing w:after="0"/>
              <w:rPr>
                <w:sz w:val="20"/>
                <w:szCs w:val="20"/>
                <w:color w:val="auto"/>
              </w:rPr>
            </w:pPr>
            <w:r>
              <w:rPr>
                <w:rFonts w:ascii="Courier New" w:cs="Courier New" w:eastAsia="Courier New" w:hAnsi="Courier New"/>
                <w:sz w:val="16"/>
                <w:szCs w:val="16"/>
                <w:color w:val="auto"/>
                <w:w w:val="99"/>
              </w:rPr>
              <w:t>Information to Optionees............................................................................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26.</w:t>
            </w:r>
          </w:p>
        </w:tc>
        <w:tc>
          <w:tcPr>
            <w:tcW w:w="9700" w:type="dxa"/>
            <w:vAlign w:val="bottom"/>
          </w:tcPr>
          <w:p>
            <w:pPr>
              <w:ind w:left="80"/>
              <w:spacing w:after="0"/>
              <w:rPr>
                <w:sz w:val="20"/>
                <w:szCs w:val="20"/>
                <w:color w:val="auto"/>
              </w:rPr>
            </w:pPr>
            <w:r>
              <w:rPr>
                <w:rFonts w:ascii="Courier New" w:cs="Courier New" w:eastAsia="Courier New" w:hAnsi="Courier New"/>
                <w:sz w:val="16"/>
                <w:szCs w:val="16"/>
                <w:color w:val="auto"/>
                <w:w w:val="99"/>
              </w:rPr>
              <w:t>Availability of Plan................................................................................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27.</w:t>
            </w:r>
          </w:p>
        </w:tc>
        <w:tc>
          <w:tcPr>
            <w:tcW w:w="9700" w:type="dxa"/>
            <w:vAlign w:val="bottom"/>
          </w:tcPr>
          <w:p>
            <w:pPr>
              <w:ind w:left="80"/>
              <w:spacing w:after="0"/>
              <w:rPr>
                <w:sz w:val="20"/>
                <w:szCs w:val="20"/>
                <w:color w:val="auto"/>
              </w:rPr>
            </w:pPr>
            <w:r>
              <w:rPr>
                <w:rFonts w:ascii="Courier New" w:cs="Courier New" w:eastAsia="Courier New" w:hAnsi="Courier New"/>
                <w:sz w:val="16"/>
                <w:szCs w:val="16"/>
                <w:color w:val="auto"/>
                <w:w w:val="99"/>
              </w:rPr>
              <w:t>Invalid Provisions..................................................................................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28.</w:t>
            </w:r>
          </w:p>
        </w:tc>
        <w:tc>
          <w:tcPr>
            <w:tcW w:w="9700" w:type="dxa"/>
            <w:vAlign w:val="bottom"/>
          </w:tcPr>
          <w:p>
            <w:pPr>
              <w:ind w:left="80"/>
              <w:spacing w:after="0"/>
              <w:rPr>
                <w:sz w:val="20"/>
                <w:szCs w:val="20"/>
                <w:color w:val="auto"/>
              </w:rPr>
            </w:pPr>
            <w:r>
              <w:rPr>
                <w:rFonts w:ascii="Courier New" w:cs="Courier New" w:eastAsia="Courier New" w:hAnsi="Courier New"/>
                <w:sz w:val="16"/>
                <w:szCs w:val="16"/>
                <w:color w:val="auto"/>
                <w:w w:val="99"/>
              </w:rPr>
              <w:t>Applicable Law......................................................................................</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29.</w:t>
            </w:r>
          </w:p>
        </w:tc>
        <w:tc>
          <w:tcPr>
            <w:tcW w:w="9700" w:type="dxa"/>
            <w:vAlign w:val="bottom"/>
          </w:tcPr>
          <w:p>
            <w:pPr>
              <w:ind w:left="80"/>
              <w:spacing w:after="0"/>
              <w:rPr>
                <w:sz w:val="20"/>
                <w:szCs w:val="20"/>
                <w:color w:val="auto"/>
              </w:rPr>
            </w:pPr>
            <w:r>
              <w:rPr>
                <w:rFonts w:ascii="Courier New" w:cs="Courier New" w:eastAsia="Courier New" w:hAnsi="Courier New"/>
                <w:sz w:val="16"/>
                <w:szCs w:val="16"/>
                <w:color w:val="auto"/>
                <w:w w:val="99"/>
              </w:rPr>
              <w:t>Board Action........................................................................................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370"/>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30.</w:t>
            </w:r>
          </w:p>
        </w:tc>
        <w:tc>
          <w:tcPr>
            <w:tcW w:w="9700" w:type="dxa"/>
            <w:vAlign w:val="bottom"/>
          </w:tcPr>
          <w:p>
            <w:pPr>
              <w:ind w:left="80"/>
              <w:spacing w:after="0"/>
              <w:rPr>
                <w:sz w:val="20"/>
                <w:szCs w:val="20"/>
                <w:color w:val="auto"/>
              </w:rPr>
            </w:pPr>
            <w:r>
              <w:rPr>
                <w:rFonts w:ascii="Courier New" w:cs="Courier New" w:eastAsia="Courier New" w:hAnsi="Courier New"/>
                <w:sz w:val="16"/>
                <w:szCs w:val="16"/>
                <w:color w:val="auto"/>
                <w:w w:val="99"/>
              </w:rPr>
              <w:t>Miscellaneous.......................................................................................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bl>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040"/>
          </w:cols>
          <w:pgMar w:left="240" w:top="300" w:right="619"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AMENDED AND RESTATED</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BLUEGILL TECHNOLOGIES, INC.</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1998 INCENTIVE AND NON-QUALIFIED</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STOCK OPTION PLAN</w:t>
      </w:r>
    </w:p>
    <w:p>
      <w:pPr>
        <w:spacing w:after="0" w:line="188" w:lineRule="exact"/>
        <w:rPr>
          <w:sz w:val="20"/>
          <w:szCs w:val="20"/>
          <w:color w:val="auto"/>
        </w:rPr>
      </w:pPr>
    </w:p>
    <w:p>
      <w:pPr>
        <w:ind w:left="860"/>
        <w:spacing w:after="0"/>
        <w:tabs>
          <w:tab w:leader="none" w:pos="200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5"/>
          <w:szCs w:val="15"/>
          <w:color w:val="auto"/>
        </w:rPr>
        <w:t>Name and Purposes of the Plan.</w:t>
      </w:r>
    </w:p>
    <w:p>
      <w:pPr>
        <w:spacing w:after="0" w:line="190" w:lineRule="exact"/>
        <w:rPr>
          <w:sz w:val="20"/>
          <w:szCs w:val="20"/>
          <w:color w:val="auto"/>
        </w:rPr>
      </w:pPr>
    </w:p>
    <w:p>
      <w:pPr>
        <w:ind w:right="2719" w:firstLine="863"/>
        <w:spacing w:after="0" w:line="242" w:lineRule="auto"/>
        <w:tabs>
          <w:tab w:leader="none" w:pos="124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The Plan will be known as the Amended and Restated BlueGill Technologies, Inc. 1998 Incentive and Non-Qualified Stock Option Plan.</w:t>
      </w:r>
    </w:p>
    <w:p>
      <w:pPr>
        <w:spacing w:after="0" w:line="18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(b)Purposes. The purpose of the Plan is to provide key Employees and Consultants with an opportunity to share in the capital appreciation of the Common Stock of the Company. The Options granted pursuant to the Plan are intended to constitute either Incentive Stock Options or Non-Qualified Stock Options, as determined by the Administrator of the Plan at the time of grant.</w:t>
      </w:r>
    </w:p>
    <w:p>
      <w:pPr>
        <w:spacing w:after="0" w:line="185"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Section 2. Definitions. As used herein, the following definitions shall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apply:</w:t>
      </w:r>
    </w:p>
    <w:p>
      <w:pPr>
        <w:spacing w:after="0" w:line="190" w:lineRule="exact"/>
        <w:rPr>
          <w:sz w:val="20"/>
          <w:szCs w:val="20"/>
          <w:color w:val="auto"/>
        </w:rPr>
      </w:pPr>
    </w:p>
    <w:p>
      <w:pPr>
        <w:ind w:right="2639" w:firstLine="863"/>
        <w:spacing w:after="0" w:line="242" w:lineRule="auto"/>
        <w:tabs>
          <w:tab w:leader="none" w:pos="124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"Administrator" shall be the Board or a Committee appointed by the Board pursuant to Section 3 of the Plan, which shall administer the Plan.</w:t>
      </w:r>
    </w:p>
    <w:p>
      <w:pPr>
        <w:spacing w:after="0" w:line="188" w:lineRule="exact"/>
        <w:rPr>
          <w:rFonts w:ascii="Courier New" w:cs="Courier New" w:eastAsia="Courier New" w:hAnsi="Courier New"/>
          <w:sz w:val="16"/>
          <w:szCs w:val="16"/>
          <w:color w:val="auto"/>
        </w:rPr>
      </w:pPr>
    </w:p>
    <w:p>
      <w:pPr>
        <w:jc w:val="both"/>
        <w:ind w:right="2539" w:firstLine="863"/>
        <w:spacing w:after="0" w:line="243" w:lineRule="auto"/>
        <w:tabs>
          <w:tab w:leader="none" w:pos="124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shall mean, whether now or hereafter existing, a person or entity that directly, or indirectly controls or is controlled by, or is under common control with, the Company, except that when used in connection with an Incentive Stock Option, "Affiliate" shall mean a Subsidiary.</w:t>
      </w:r>
    </w:p>
    <w:p>
      <w:pPr>
        <w:spacing w:after="0" w:line="189" w:lineRule="exact"/>
        <w:rPr>
          <w:rFonts w:ascii="Courier New" w:cs="Courier New" w:eastAsia="Courier New" w:hAnsi="Courier New"/>
          <w:sz w:val="16"/>
          <w:szCs w:val="16"/>
          <w:color w:val="auto"/>
        </w:rPr>
      </w:pPr>
    </w:p>
    <w:p>
      <w:pPr>
        <w:ind w:right="3199" w:firstLine="863"/>
        <w:spacing w:after="0" w:line="242" w:lineRule="auto"/>
        <w:tabs>
          <w:tab w:leader="none" w:pos="124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shall mean the Board of Directors of the Company, as constituted from time to time.</w:t>
      </w:r>
    </w:p>
    <w:p>
      <w:pPr>
        <w:spacing w:after="0" w:line="188"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shall mean the happening of an event (excluding a Public Offering) that shall be deemed to have occurred upon the earliest to occur of the following events: (i) the date the shareholders of the Company (or the Board, if shareholder action is not required) approve a plan or other arrangement pursuant to which the Company will be dissolved or liquidated; (ii) the date the stockholders of the Company (or the Board, if stockholder action is not required) approve a definitive agreement to sell or otherwise dispose of all or substantially all of the assets of the Company; (iii) the date the stockholders of the Company (or the Board, if stockholder action is not required) and the stockholders of the other constituent corporations (or their respective boards of directors, if and to the extent that stockholder action is not required) have approved a definitive agreement to merge or consolidate the Company with or into another corporation, other than, in either case, a merger or consolidation of the Company in which holders of shares of the Company's voting capital stock immediately prior to the merger or consolidation will have at least fifty percent (50%) of the ownership of voting capital stock of the surviving corporation immediately after the</w:t>
      </w:r>
    </w:p>
    <w:p>
      <w:pPr>
        <w:spacing w:after="0" w:line="19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00" w:right="1440" w:bottom="1440" w:gutter="0" w:footer="0" w:header="0"/>
        </w:sectPr>
      </w:pPr>
    </w:p>
    <w:bookmarkStart w:id="13" w:name="page14"/>
    <w:bookmarkEnd w:id="13"/>
    <w:p>
      <w:pPr>
        <w:ind w:left="281"/>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merger or consolidation (on a fully diluted basis), which voting capital stock is to be held by each such holder in the same or substantially similar proportion (on a fully diluted basis) as such holder's ownership of voting capital stock of the Company immediately before the merger or consolidation;</w:t>
      </w:r>
    </w:p>
    <w:p>
      <w:pPr>
        <w:spacing w:after="0" w:line="5" w:lineRule="exact"/>
        <w:rPr>
          <w:sz w:val="20"/>
          <w:szCs w:val="20"/>
          <w:color w:val="auto"/>
        </w:rPr>
      </w:pPr>
    </w:p>
    <w:p>
      <w:pPr>
        <w:ind w:left="1" w:right="2719" w:hanging="1"/>
        <w:spacing w:after="0" w:line="242" w:lineRule="auto"/>
        <w:tabs>
          <w:tab w:leader="none" w:pos="4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any entity, person or group (within the meaning of Section 13(d)(3) or Section 14(d)(2) of the Exchange Act), other than (A) the Company,</w:t>
      </w:r>
    </w:p>
    <w:p>
      <w:pPr>
        <w:spacing w:after="0" w:line="4"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any of its Subsidiaries, (C) any of the holders of the capital stock of the Company, as determined on the date that this Plan is adopted by the Board, (D) any employee benefit plan (or related trust) sponsored or maintained by the Company or any of its Subsidiaries or (E) any Affiliate of any of the foregoing, shall have acquired beneficial ownership of, or shall have acquired voting control over more than fifty percent (50%) of the outstanding shares of the Company's voting capital stock (on a fully diluted basis), unless the transaction pursuant to which such person, entity or group acquired such beneficial ownership or control resulted from the original issuance by the Company of shares of its voting capital stock and was approved by at least a majority of directors who shall have been members of the Board for at least twelve (12) months prior to the date of such approval; (v) the first day after the date of this Plan when directors are elected such that there shall have been a change in the composition of the Board such that a majority of the Board shall have been members of the Board for less than twelve (12) months, unless the nomination for election of each new director who was not a director at the beginning of such twelve (12) month period was approved by a vote of at least sixty percent (60%) of the directors then still in office who were directors at the beginning of such period; or (vi) the date upon which the Board determines (in its sole discretion) that based on then current available information, the events described in clause (iv) are reasonably likely to occur.</w:t>
      </w:r>
    </w:p>
    <w:p>
      <w:pPr>
        <w:spacing w:after="0" w:line="195" w:lineRule="exact"/>
        <w:rPr>
          <w:rFonts w:ascii="Courier New" w:cs="Courier New" w:eastAsia="Courier New" w:hAnsi="Courier New"/>
          <w:sz w:val="16"/>
          <w:szCs w:val="16"/>
          <w:color w:val="auto"/>
        </w:rPr>
      </w:pPr>
    </w:p>
    <w:p>
      <w:pPr>
        <w:ind w:left="1" w:right="2919" w:firstLine="863"/>
        <w:spacing w:after="0" w:line="242" w:lineRule="auto"/>
        <w:tabs>
          <w:tab w:leader="none" w:pos="125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shall mean the Internal Revenue Code of 1986, as amended from time to time, and any successor thereto.</w:t>
      </w:r>
    </w:p>
    <w:p>
      <w:pPr>
        <w:spacing w:after="0" w:line="188" w:lineRule="exact"/>
        <w:rPr>
          <w:rFonts w:ascii="Courier New" w:cs="Courier New" w:eastAsia="Courier New" w:hAnsi="Courier New"/>
          <w:sz w:val="16"/>
          <w:szCs w:val="16"/>
          <w:color w:val="auto"/>
        </w:rPr>
      </w:pPr>
    </w:p>
    <w:p>
      <w:pPr>
        <w:ind w:left="1" w:right="2539" w:firstLine="863"/>
        <w:spacing w:after="0" w:line="243" w:lineRule="auto"/>
        <w:tabs>
          <w:tab w:leader="none" w:pos="125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shall mean the Committee appointed by the Board in accordance with Section 3(a) of the Plan, if one is appointed, in which event the Committee shall possess the power and authority of the Board with respect to the Plan as set forth in Section 3(b) of the Plan.</w:t>
      </w:r>
    </w:p>
    <w:p>
      <w:pPr>
        <w:spacing w:after="0" w:line="189" w:lineRule="exact"/>
        <w:rPr>
          <w:rFonts w:ascii="Courier New" w:cs="Courier New" w:eastAsia="Courier New" w:hAnsi="Courier New"/>
          <w:sz w:val="16"/>
          <w:szCs w:val="16"/>
          <w:color w:val="auto"/>
        </w:rPr>
      </w:pPr>
    </w:p>
    <w:p>
      <w:pPr>
        <w:ind w:left="1" w:right="2539" w:firstLine="863"/>
        <w:spacing w:after="0" w:line="242" w:lineRule="auto"/>
        <w:tabs>
          <w:tab w:leader="none" w:pos="125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shall mean the common stock of the Company, [no] par value per share.</w:t>
      </w:r>
    </w:p>
    <w:p>
      <w:pPr>
        <w:spacing w:after="0" w:line="188" w:lineRule="exact"/>
        <w:rPr>
          <w:rFonts w:ascii="Courier New" w:cs="Courier New" w:eastAsia="Courier New" w:hAnsi="Courier New"/>
          <w:sz w:val="16"/>
          <w:szCs w:val="16"/>
          <w:color w:val="auto"/>
        </w:rPr>
      </w:pPr>
    </w:p>
    <w:p>
      <w:pPr>
        <w:ind w:left="1" w:right="2819" w:firstLine="863"/>
        <w:spacing w:after="0" w:line="243" w:lineRule="auto"/>
        <w:tabs>
          <w:tab w:leader="none" w:pos="125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mean BLUEGILL TECHNOLOGIES, INC., a Delaware corporation, and any successor in interest that agrees to assume and maintain the Plan.</w:t>
      </w:r>
    </w:p>
    <w:p>
      <w:pPr>
        <w:spacing w:after="0" w:line="188" w:lineRule="exact"/>
        <w:rPr>
          <w:rFonts w:ascii="Courier New" w:cs="Courier New" w:eastAsia="Courier New" w:hAnsi="Courier New"/>
          <w:sz w:val="16"/>
          <w:szCs w:val="16"/>
          <w:color w:val="auto"/>
        </w:rPr>
      </w:pPr>
    </w:p>
    <w:p>
      <w:pPr>
        <w:ind w:left="1" w:right="2539" w:firstLine="863"/>
        <w:spacing w:after="0" w:line="244" w:lineRule="auto"/>
        <w:tabs>
          <w:tab w:leader="none" w:pos="125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 shall mean: (i) any person associated with the Company or any Subsidiary of the Company who is engaged by the Company or the Subsidiary to render services and is compensated by the Company or the Subsidiary for such services, including but not limited to, an advisor or independent contractor; and (ii) any director of the Company or any Subsidiary of the Company whether or not compensated for such services in person's capacity as a director; provided, however, that in the event the Company registers any class of an equity security pursuant to the Exchange Act, the term "Consultant" will thereafter not include any director who is not compensated for his services or is paid only a director's fee by the Company.</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9" w:top="300" w:right="1440" w:bottom="1440" w:gutter="0" w:footer="0" w:header="0"/>
        </w:sectPr>
      </w:pPr>
    </w:p>
    <w:bookmarkStart w:id="14" w:name="page15"/>
    <w:bookmarkEnd w:id="14"/>
    <w:p>
      <w:pPr>
        <w:ind w:left="281"/>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ind w:left="1241" w:hanging="377"/>
        <w:spacing w:after="0"/>
        <w:tabs>
          <w:tab w:leader="none" w:pos="124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or "Disabled" with respect to an Optionee shall mean</w:t>
      </w:r>
    </w:p>
    <w:p>
      <w:pPr>
        <w:spacing w:after="0" w:line="5" w:lineRule="exact"/>
        <w:rPr>
          <w:rFonts w:ascii="Courier New" w:cs="Courier New" w:eastAsia="Courier New" w:hAnsi="Courier New"/>
          <w:sz w:val="16"/>
          <w:szCs w:val="16"/>
          <w:color w:val="auto"/>
        </w:rPr>
      </w:pPr>
    </w:p>
    <w:p>
      <w:pPr>
        <w:ind w:left="1" w:right="2639" w:hanging="1"/>
        <w:spacing w:after="0" w:line="260" w:lineRule="auto"/>
        <w:tabs>
          <w:tab w:leader="none" w:pos="38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Optionee is determined to be disabled within the meaning of any long-term disability policy or program sponsored by the Company covering the Optionee, as in effect as of the date of such determination, or (ii) if no such policy or program shall be in effect, (A) if the Optionee is an employee of the Company, when the Optionee is unable to resume full-time employment with the Company for a continuous period of six (6) consecutive months or six (6) months in any twelve (12) consecutive month period by reason of a physical or mental impairment, or (B) if the Optionee is not an employee of the Company, when the Optionee is unable to engage in any substantial gainful activity by reason of a physical or mental impairment that can be expected to result in death or that has lasted or can be expected to last for a continuous period of not less than six (6) months or six (6) months in any twelve (12) consecutive month period. The determination of whether an Optionee is Disabled pursuant to subparagraph</w:t>
      </w:r>
    </w:p>
    <w:p>
      <w:pPr>
        <w:spacing w:after="0" w:line="8" w:lineRule="exact"/>
        <w:rPr>
          <w:rFonts w:ascii="Courier New" w:cs="Courier New" w:eastAsia="Courier New" w:hAnsi="Courier New"/>
          <w:sz w:val="15"/>
          <w:szCs w:val="15"/>
          <w:color w:val="auto"/>
        </w:rPr>
      </w:pPr>
    </w:p>
    <w:p>
      <w:pPr>
        <w:ind w:left="1" w:right="2539" w:hanging="1"/>
        <w:spacing w:after="0" w:line="244" w:lineRule="auto"/>
        <w:tabs>
          <w:tab w:leader="none" w:pos="4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determined by the Board of Directors, whose determination shall be conclusive; provided that, (A) if an Optionee is bound by the terms of an employment agreement between the Optionee and the Company, then whether the Optionee is "Disabled" for purposes of the Plan shall be determined in accordance with the procedures set forth in said employment agreement, if such procedures are therein provided; and (B) an Optionee bound by such an employment agreement shall not be determined to be Disabled under the Plan any earlier than he or she would be determined to be disabled under his or her employment agreement.</w:t>
      </w:r>
    </w:p>
    <w:p>
      <w:pPr>
        <w:spacing w:after="0" w:line="189" w:lineRule="exact"/>
        <w:rPr>
          <w:rFonts w:ascii="Courier New" w:cs="Courier New" w:eastAsia="Courier New" w:hAnsi="Courier New"/>
          <w:sz w:val="16"/>
          <w:szCs w:val="16"/>
          <w:color w:val="auto"/>
        </w:rPr>
      </w:pPr>
    </w:p>
    <w:p>
      <w:pPr>
        <w:ind w:left="1" w:right="2639" w:firstLine="863"/>
        <w:spacing w:after="0" w:line="274" w:lineRule="auto"/>
        <w:tabs>
          <w:tab w:leader="none" w:pos="125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"Disinterested Person" shall have the meaning set forth in Rule 16(b)-3(c)(2)(i), as amended, promulgated under Section 16 of the Exchange Act.</w:t>
      </w:r>
    </w:p>
    <w:p>
      <w:pPr>
        <w:spacing w:after="0" w:line="166" w:lineRule="exact"/>
        <w:rPr>
          <w:rFonts w:ascii="Courier New" w:cs="Courier New" w:eastAsia="Courier New" w:hAnsi="Courier New"/>
          <w:sz w:val="15"/>
          <w:szCs w:val="15"/>
          <w:color w:val="auto"/>
        </w:rPr>
      </w:pPr>
    </w:p>
    <w:p>
      <w:pPr>
        <w:ind w:left="1" w:right="2719" w:firstLine="863"/>
        <w:spacing w:after="0" w:line="243" w:lineRule="auto"/>
        <w:tabs>
          <w:tab w:leader="none" w:pos="125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shall mean any person, including but not limited to, officers and directors, employed by the Company or any Subsidiary of the Company. The payment of directors' fees by the Company shall not be sufficient to constitute "employment" by the Company.</w:t>
      </w:r>
    </w:p>
    <w:p>
      <w:pPr>
        <w:spacing w:after="0" w:line="187"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shall mean the Securities Exchange Act of 1934, as</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amended.</w:t>
      </w:r>
    </w:p>
    <w:p>
      <w:pPr>
        <w:spacing w:after="0" w:line="190" w:lineRule="exact"/>
        <w:rPr>
          <w:rFonts w:ascii="Courier New" w:cs="Courier New" w:eastAsia="Courier New" w:hAnsi="Courier New"/>
          <w:sz w:val="16"/>
          <w:szCs w:val="16"/>
          <w:color w:val="auto"/>
        </w:rPr>
      </w:pPr>
    </w:p>
    <w:p>
      <w:pPr>
        <w:jc w:val="both"/>
        <w:ind w:left="1" w:right="2919" w:firstLine="863"/>
        <w:spacing w:after="0" w:line="242" w:lineRule="auto"/>
        <w:tabs>
          <w:tab w:leader="none" w:pos="125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shall mean, as of any date, the fair market value of a share of Common Stock as determined pursuant to Section 7 hereof.</w:t>
      </w:r>
    </w:p>
    <w:p>
      <w:pPr>
        <w:spacing w:after="0" w:line="188" w:lineRule="exact"/>
        <w:rPr>
          <w:rFonts w:ascii="Courier New" w:cs="Courier New" w:eastAsia="Courier New" w:hAnsi="Courier New"/>
          <w:sz w:val="16"/>
          <w:szCs w:val="16"/>
          <w:color w:val="auto"/>
        </w:rPr>
      </w:pPr>
    </w:p>
    <w:p>
      <w:pPr>
        <w:jc w:val="both"/>
        <w:ind w:left="1" w:right="2639" w:firstLine="863"/>
        <w:spacing w:after="0" w:line="243" w:lineRule="auto"/>
        <w:tabs>
          <w:tab w:leader="none" w:pos="125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shall mean any Option that is intended to be and is designated as an incentive stock option within the meaning of Section 422 of the Code.</w:t>
      </w:r>
    </w:p>
    <w:p>
      <w:pPr>
        <w:spacing w:after="0" w:line="188" w:lineRule="exact"/>
        <w:rPr>
          <w:rFonts w:ascii="Courier New" w:cs="Courier New" w:eastAsia="Courier New" w:hAnsi="Courier New"/>
          <w:sz w:val="16"/>
          <w:szCs w:val="16"/>
          <w:color w:val="auto"/>
        </w:rPr>
      </w:pPr>
    </w:p>
    <w:p>
      <w:pPr>
        <w:ind w:left="1" w:right="3019" w:firstLine="863"/>
        <w:spacing w:after="0" w:line="242" w:lineRule="auto"/>
        <w:tabs>
          <w:tab w:leader="none" w:pos="125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Stock Option" shall mean any Option that is not intended to qualify as an Incentive Stock Option.</w:t>
      </w:r>
    </w:p>
    <w:p>
      <w:pPr>
        <w:spacing w:after="0" w:line="188" w:lineRule="exact"/>
        <w:rPr>
          <w:rFonts w:ascii="Courier New" w:cs="Courier New" w:eastAsia="Courier New" w:hAnsi="Courier New"/>
          <w:sz w:val="16"/>
          <w:szCs w:val="16"/>
          <w:color w:val="auto"/>
        </w:rPr>
      </w:pPr>
    </w:p>
    <w:p>
      <w:pPr>
        <w:ind w:left="1" w:right="2819" w:firstLine="863"/>
        <w:spacing w:after="0" w:line="242" w:lineRule="auto"/>
        <w:tabs>
          <w:tab w:leader="none" w:pos="125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shall mean an Incentive Stock Option or a Non-Qualified Stock Option as the case may be, granted pursuant to the Plan.</w:t>
      </w:r>
    </w:p>
    <w:p>
      <w:pPr>
        <w:spacing w:after="0" w:line="188" w:lineRule="exact"/>
        <w:rPr>
          <w:rFonts w:ascii="Courier New" w:cs="Courier New" w:eastAsia="Courier New" w:hAnsi="Courier New"/>
          <w:sz w:val="16"/>
          <w:szCs w:val="16"/>
          <w:color w:val="auto"/>
        </w:rPr>
      </w:pPr>
    </w:p>
    <w:p>
      <w:pPr>
        <w:ind w:left="1" w:right="2639" w:firstLine="863"/>
        <w:spacing w:after="0" w:line="243" w:lineRule="auto"/>
        <w:tabs>
          <w:tab w:leader="none" w:pos="125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Agreement" shall mean the written agreement by and between the Company and an Optionee under which Optionee may purchase the Shares pursuant to the exercise of an Option.</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300"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ind w:left="1240" w:hanging="377"/>
        <w:spacing w:after="0"/>
        <w:tabs>
          <w:tab w:leader="none" w:pos="12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shall mean an Employee or Consultant to whom an Option</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is granted.</w:t>
      </w:r>
    </w:p>
    <w:p>
      <w:pPr>
        <w:spacing w:after="0" w:line="190" w:lineRule="exact"/>
        <w:rPr>
          <w:rFonts w:ascii="Courier New" w:cs="Courier New" w:eastAsia="Courier New" w:hAnsi="Courier New"/>
          <w:sz w:val="16"/>
          <w:szCs w:val="16"/>
          <w:color w:val="auto"/>
        </w:rPr>
      </w:pPr>
    </w:p>
    <w:p>
      <w:pPr>
        <w:ind w:right="2539" w:firstLine="863"/>
        <w:spacing w:after="0" w:line="243" w:lineRule="auto"/>
        <w:tabs>
          <w:tab w:leader="none" w:pos="124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shall mean this Amended and Restated BlueGill Technologies, Inc. 1998 Incentive and Non-Qualified Stock Option Plan, as amended from time to time.</w:t>
      </w:r>
    </w:p>
    <w:p>
      <w:pPr>
        <w:spacing w:after="0" w:line="188"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Offering" shall mean the consummation of a firm commitment underwritten public offering of equity securities of the Company registered under the Securities Act.</w:t>
      </w:r>
    </w:p>
    <w:p>
      <w:pPr>
        <w:spacing w:after="0" w:line="188"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of the Company" shall mean the earliest of: (i) the closing of a sale, transfer or other disposition of all or substantially all of the shares of the capital stock then outstanding of the Company (except if such transferee is then an Affiliate); (ii) the closing of a sale, transfer or other disposition of all or substantially all of the assets of the Company (except if such transferee is then an Affiliate); or (iii) the merger or consolidation of the Company with or into another corporation (except an Affiliate), other than a merger or consolidation of the Company in which the holders of shares of the Company's voting capital stock outstanding immediately before such merger or consolidation hold greater than fifty percent (50%) of the surviving entity's voting capital stock after such consolidation or merger.</w:t>
      </w:r>
    </w:p>
    <w:p>
      <w:pPr>
        <w:spacing w:after="0" w:line="188"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Act" shall mean the Securities Act of 1933, as amended.</w:t>
      </w:r>
    </w:p>
    <w:p>
      <w:pPr>
        <w:spacing w:after="0" w:line="190" w:lineRule="exact"/>
        <w:rPr>
          <w:rFonts w:ascii="Courier New" w:cs="Courier New" w:eastAsia="Courier New" w:hAnsi="Courier New"/>
          <w:sz w:val="16"/>
          <w:szCs w:val="16"/>
          <w:color w:val="auto"/>
        </w:rPr>
      </w:pPr>
    </w:p>
    <w:p>
      <w:pPr>
        <w:ind w:right="2539" w:firstLine="863"/>
        <w:spacing w:after="0" w:line="274" w:lineRule="auto"/>
        <w:tabs>
          <w:tab w:leader="none" w:pos="12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Broker" means a registered securities broker acceptable to the Board who agrees to effect the cashless exercise of an Option.</w:t>
      </w:r>
    </w:p>
    <w:p>
      <w:pPr>
        <w:spacing w:after="0" w:line="166" w:lineRule="exact"/>
        <w:rPr>
          <w:rFonts w:ascii="Courier New" w:cs="Courier New" w:eastAsia="Courier New" w:hAnsi="Courier New"/>
          <w:sz w:val="15"/>
          <w:szCs w:val="15"/>
          <w:color w:val="auto"/>
        </w:rPr>
      </w:pPr>
    </w:p>
    <w:p>
      <w:pPr>
        <w:jc w:val="both"/>
        <w:ind w:right="2719" w:firstLine="863"/>
        <w:spacing w:after="0" w:line="243" w:lineRule="auto"/>
        <w:tabs>
          <w:tab w:leader="none" w:pos="124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 shall mean a share or shares of Common Stock, as adjusted in accordance with Section 8 of the Plan, that is allocated to the Plan.</w:t>
      </w:r>
    </w:p>
    <w:p>
      <w:pPr>
        <w:spacing w:after="0" w:line="188" w:lineRule="exact"/>
        <w:rPr>
          <w:rFonts w:ascii="Courier New" w:cs="Courier New" w:eastAsia="Courier New" w:hAnsi="Courier New"/>
          <w:sz w:val="16"/>
          <w:szCs w:val="16"/>
          <w:color w:val="auto"/>
        </w:rPr>
      </w:pPr>
    </w:p>
    <w:p>
      <w:pPr>
        <w:jc w:val="both"/>
        <w:ind w:right="2639" w:firstLine="863"/>
        <w:spacing w:after="0" w:line="265" w:lineRule="auto"/>
        <w:tabs>
          <w:tab w:leader="none" w:pos="12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Purchase and Restriction Agreement" shall mean an agreement in such form or forms as the Board (subject to the terms and conditions of this Plan) may from time to time approve, which an Optionee shall be required to execute as a condition of purchasing Shares upon the exercise of an Option.</w:t>
      </w:r>
    </w:p>
    <w:p>
      <w:pPr>
        <w:spacing w:after="0" w:line="173" w:lineRule="exact"/>
        <w:rPr>
          <w:sz w:val="20"/>
          <w:szCs w:val="20"/>
          <w:color w:val="auto"/>
        </w:rPr>
      </w:pPr>
    </w:p>
    <w:p>
      <w:pPr>
        <w:ind w:right="2819" w:firstLine="863"/>
        <w:spacing w:after="0" w:line="243" w:lineRule="auto"/>
        <w:tabs>
          <w:tab w:leader="none" w:pos="134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shall mean, whether now or hereafter existing, a subsidiary or parent corporation of the Company as such term is defined in Sections 424(e), (f) and (g) of the Code. Subsidiary shall also mean BlueGill Technologies Corp., an Ontario corporation.</w:t>
      </w:r>
    </w:p>
    <w:p>
      <w:pPr>
        <w:spacing w:after="0" w:line="189" w:lineRule="exact"/>
        <w:rPr>
          <w:rFonts w:ascii="Courier New" w:cs="Courier New" w:eastAsia="Courier New" w:hAnsi="Courier New"/>
          <w:sz w:val="16"/>
          <w:szCs w:val="16"/>
          <w:color w:val="auto"/>
        </w:rPr>
      </w:pPr>
    </w:p>
    <w:p>
      <w:pPr>
        <w:ind w:right="2539" w:firstLine="863"/>
        <w:spacing w:after="0" w:line="243" w:lineRule="auto"/>
        <w:tabs>
          <w:tab w:leader="none" w:pos="134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"Vested Amount" shall mean, with respect to each Option, a percentage of the shares for which the Option has become exercisable (subject to the further terms of the Plan) by application of the schedule set forth in Section 4(b).</w:t>
      </w:r>
    </w:p>
    <w:p>
      <w:pPr>
        <w:spacing w:after="0" w:line="188" w:lineRule="exact"/>
        <w:rPr>
          <w:sz w:val="20"/>
          <w:szCs w:val="20"/>
          <w:color w:val="auto"/>
        </w:rPr>
      </w:pPr>
    </w:p>
    <w:p>
      <w:pPr>
        <w:ind w:left="860"/>
        <w:spacing w:after="0"/>
        <w:tabs>
          <w:tab w:leader="none" w:pos="2000" w:val="left"/>
        </w:tabs>
        <w:rPr>
          <w:sz w:val="20"/>
          <w:szCs w:val="20"/>
          <w:color w:val="auto"/>
        </w:rPr>
      </w:pPr>
      <w:r>
        <w:rPr>
          <w:rFonts w:ascii="Courier New" w:cs="Courier New" w:eastAsia="Courier New" w:hAnsi="Courier New"/>
          <w:sz w:val="16"/>
          <w:szCs w:val="16"/>
          <w:color w:val="auto"/>
        </w:rPr>
        <w:t>Section 3.</w:t>
        <w:tab/>
        <w:t>Administration.</w:t>
      </w:r>
    </w:p>
    <w:p>
      <w:pPr>
        <w:spacing w:after="0" w:line="190" w:lineRule="exact"/>
        <w:rPr>
          <w:sz w:val="20"/>
          <w:szCs w:val="20"/>
          <w:color w:val="auto"/>
        </w:rPr>
      </w:pPr>
    </w:p>
    <w:p>
      <w:pPr>
        <w:ind w:right="2819" w:firstLine="863"/>
        <w:spacing w:after="0" w:line="243" w:lineRule="auto"/>
        <w:tabs>
          <w:tab w:leader="none" w:pos="124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The Plan shall be administered by the Board or a Committee consisting of not less than two (2) persons appointed by the Board, which shall be the Administrator. Members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of the Board or the Committee who are eligible for Options or who have been granted Options may vote on any matters affecting the administration of the Plan or the grant of any Options pursuant to the Plan, except that no such member shall act upon the granting of an Option to himself or herself, but any such member may be counted in determining the existence of a quorum at any meeting of the Board or the Committee during which action is taken with respect to the granting of Options to such member. In the event the Company has a class of equity securities registered under the Exchange Act and, unless the Board determines otherwise, from the effective date of such registration until six (6) months after the termination of such registration, all grants of options to eligible officers or directors of the Company shall be made solely by the Board, only if each member is a Disinterested Person or, otherwise, by a Committee of two (2) or more directors, each of whom is a Disinterested Person.</w:t>
      </w:r>
    </w:p>
    <w:p>
      <w:pPr>
        <w:spacing w:after="0" w:line="191" w:lineRule="exact"/>
        <w:rPr>
          <w:sz w:val="20"/>
          <w:szCs w:val="20"/>
          <w:color w:val="auto"/>
        </w:rPr>
      </w:pPr>
    </w:p>
    <w:p>
      <w:pPr>
        <w:ind w:right="2719" w:firstLine="863"/>
        <w:spacing w:after="0" w:line="244" w:lineRule="auto"/>
        <w:tabs>
          <w:tab w:leader="none" w:pos="124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If a Committee is appointed by the Board, then the Committee shall possess the power and authority of the Board in administering the Plan on behalf of the Board, subject to the terms and conditions as the Board may prescribe. Members of the Committee may or may not be members of the Board and shall serve for such period of time as the Board may determine. From time to time, the Board may increase the size of the Committee and appoint additional members thereto, remove members (with or without cause) and appoint new members in substitution therefor, fill vacancies however caused, or remove all members of the Committee and thereafter directly administer the Plan.</w:t>
      </w:r>
    </w:p>
    <w:p>
      <w:pPr>
        <w:spacing w:after="0" w:line="189"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the Administrator. Subject to the provisions of the Plan (and, in the case of the Committee, the specific duties delegated by the Board to such Committee), the Administrator shall have the authority, in its sole discretion:</w:t>
      </w:r>
    </w:p>
    <w:p>
      <w:pPr>
        <w:spacing w:after="0" w:line="189" w:lineRule="exact"/>
        <w:rPr>
          <w:rFonts w:ascii="Courier New" w:cs="Courier New" w:eastAsia="Courier New" w:hAnsi="Courier New"/>
          <w:sz w:val="16"/>
          <w:szCs w:val="16"/>
          <w:color w:val="auto"/>
        </w:rPr>
      </w:pPr>
    </w:p>
    <w:p>
      <w:pPr>
        <w:ind w:left="860" w:right="3199" w:firstLine="868"/>
        <w:spacing w:after="0" w:line="242" w:lineRule="auto"/>
        <w:tabs>
          <w:tab w:leader="none" w:pos="210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and to what extent Options are granted hereunder;</w:t>
      </w:r>
    </w:p>
    <w:p>
      <w:pPr>
        <w:spacing w:after="0" w:line="188" w:lineRule="exact"/>
        <w:rPr>
          <w:rFonts w:ascii="Courier New" w:cs="Courier New" w:eastAsia="Courier New" w:hAnsi="Courier New"/>
          <w:sz w:val="16"/>
          <w:szCs w:val="16"/>
          <w:color w:val="auto"/>
        </w:rPr>
      </w:pPr>
    </w:p>
    <w:p>
      <w:pPr>
        <w:ind w:left="860" w:right="2919" w:firstLine="868"/>
        <w:spacing w:after="0" w:line="243" w:lineRule="auto"/>
        <w:tabs>
          <w:tab w:leader="none" w:pos="210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Fair Market Value of the Common Stock based upon review of relevant information and in accordance with Section 7 of the Plan;</w:t>
      </w:r>
    </w:p>
    <w:p>
      <w:pPr>
        <w:spacing w:after="0" w:line="188" w:lineRule="exact"/>
        <w:rPr>
          <w:rFonts w:ascii="Courier New" w:cs="Courier New" w:eastAsia="Courier New" w:hAnsi="Courier New"/>
          <w:sz w:val="16"/>
          <w:szCs w:val="16"/>
          <w:color w:val="auto"/>
        </w:rPr>
      </w:pPr>
    </w:p>
    <w:p>
      <w:pPr>
        <w:ind w:left="860" w:right="3399" w:firstLine="868"/>
        <w:spacing w:after="0" w:line="242" w:lineRule="auto"/>
        <w:tabs>
          <w:tab w:leader="none" w:pos="210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exercise price of the Options in accordance with Section 6(b) of the Plan;</w:t>
      </w:r>
    </w:p>
    <w:p>
      <w:pPr>
        <w:spacing w:after="0" w:line="188" w:lineRule="exact"/>
        <w:rPr>
          <w:rFonts w:ascii="Courier New" w:cs="Courier New" w:eastAsia="Courier New" w:hAnsi="Courier New"/>
          <w:sz w:val="16"/>
          <w:szCs w:val="16"/>
          <w:color w:val="auto"/>
        </w:rPr>
      </w:pPr>
    </w:p>
    <w:p>
      <w:pPr>
        <w:ind w:left="860" w:right="2719" w:firstLine="868"/>
        <w:spacing w:after="0" w:line="242" w:lineRule="auto"/>
        <w:tabs>
          <w:tab w:leader="none" w:pos="210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Optionees to whom Options may from time or time be granted;</w:t>
      </w:r>
    </w:p>
    <w:p>
      <w:pPr>
        <w:spacing w:after="0" w:line="188" w:lineRule="exact"/>
        <w:rPr>
          <w:rFonts w:ascii="Courier New" w:cs="Courier New" w:eastAsia="Courier New" w:hAnsi="Courier New"/>
          <w:sz w:val="16"/>
          <w:szCs w:val="16"/>
          <w:color w:val="auto"/>
        </w:rPr>
      </w:pPr>
    </w:p>
    <w:p>
      <w:pPr>
        <w:ind w:left="860" w:right="2819" w:firstLine="868"/>
        <w:spacing w:after="0" w:line="242" w:lineRule="auto"/>
        <w:tabs>
          <w:tab w:leader="none" w:pos="210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number of Shares to be subject to each Option granted hereunder;</w:t>
      </w:r>
    </w:p>
    <w:p>
      <w:pPr>
        <w:spacing w:after="0" w:line="188" w:lineRule="exact"/>
        <w:rPr>
          <w:rFonts w:ascii="Courier New" w:cs="Courier New" w:eastAsia="Courier New" w:hAnsi="Courier New"/>
          <w:sz w:val="16"/>
          <w:szCs w:val="16"/>
          <w:color w:val="auto"/>
        </w:rPr>
      </w:pPr>
    </w:p>
    <w:p>
      <w:pPr>
        <w:ind w:left="860" w:right="3019" w:firstLine="868"/>
        <w:spacing w:after="0" w:line="242" w:lineRule="auto"/>
        <w:tabs>
          <w:tab w:leader="none" w:pos="210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prescribe, amend and rescind rules and regulations relating to the Plan;</w:t>
      </w:r>
    </w:p>
    <w:p>
      <w:pPr>
        <w:spacing w:after="0" w:line="188" w:lineRule="exact"/>
        <w:rPr>
          <w:rFonts w:ascii="Courier New" w:cs="Courier New" w:eastAsia="Courier New" w:hAnsi="Courier New"/>
          <w:sz w:val="16"/>
          <w:szCs w:val="16"/>
          <w:color w:val="auto"/>
        </w:rPr>
      </w:pPr>
    </w:p>
    <w:p>
      <w:pPr>
        <w:ind w:left="860" w:right="2639" w:firstLine="868"/>
        <w:spacing w:after="0" w:line="243" w:lineRule="auto"/>
        <w:tabs>
          <w:tab w:leader="none" w:pos="210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terms and provisions of each Option granted under the Plan, each Option Agreement and each other agreement that in the sole discretion of the Administrator</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left="580" w:right="2539"/>
        <w:spacing w:after="0" w:line="242" w:lineRule="auto"/>
        <w:rPr>
          <w:sz w:val="20"/>
          <w:szCs w:val="20"/>
          <w:color w:val="auto"/>
        </w:rPr>
      </w:pPr>
      <w:r>
        <w:rPr>
          <w:rFonts w:ascii="Courier New" w:cs="Courier New" w:eastAsia="Courier New" w:hAnsi="Courier New"/>
          <w:sz w:val="16"/>
          <w:szCs w:val="16"/>
          <w:color w:val="auto"/>
        </w:rPr>
        <w:t>may be required (all of which agreements need not be identical with the terms of other Options, Option Agreements or other agreements);</w:t>
      </w:r>
    </w:p>
    <w:p>
      <w:pPr>
        <w:spacing w:after="0" w:line="189" w:lineRule="exact"/>
        <w:rPr>
          <w:sz w:val="20"/>
          <w:szCs w:val="20"/>
          <w:color w:val="auto"/>
        </w:rPr>
      </w:pPr>
    </w:p>
    <w:p>
      <w:pPr>
        <w:ind w:left="580" w:right="2639" w:firstLine="868"/>
        <w:spacing w:after="0" w:line="242" w:lineRule="auto"/>
        <w:tabs>
          <w:tab w:leader="none" w:pos="1829"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circumstances under which the vesting or exercise date of an Option will be accelerated;</w:t>
      </w:r>
    </w:p>
    <w:p>
      <w:pPr>
        <w:spacing w:after="0" w:line="188" w:lineRule="exact"/>
        <w:rPr>
          <w:rFonts w:ascii="Courier New" w:cs="Courier New" w:eastAsia="Courier New" w:hAnsi="Courier New"/>
          <w:sz w:val="16"/>
          <w:szCs w:val="16"/>
          <w:color w:val="auto"/>
        </w:rPr>
      </w:pPr>
    </w:p>
    <w:p>
      <w:pPr>
        <w:ind w:left="580" w:right="2719" w:firstLine="868"/>
        <w:spacing w:after="0" w:line="242" w:lineRule="auto"/>
        <w:tabs>
          <w:tab w:leader="none" w:pos="1829"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interpret the Plan or any agreement entered into with respect to the grant or exercise of Options;</w:t>
      </w:r>
    </w:p>
    <w:p>
      <w:pPr>
        <w:spacing w:after="0" w:line="188" w:lineRule="exact"/>
        <w:rPr>
          <w:rFonts w:ascii="Courier New" w:cs="Courier New" w:eastAsia="Courier New" w:hAnsi="Courier New"/>
          <w:sz w:val="16"/>
          <w:szCs w:val="16"/>
          <w:color w:val="auto"/>
        </w:rPr>
      </w:pPr>
    </w:p>
    <w:p>
      <w:pPr>
        <w:ind w:left="580" w:right="2539" w:firstLine="868"/>
        <w:spacing w:after="0" w:line="244" w:lineRule="auto"/>
        <w:tabs>
          <w:tab w:leader="none" w:pos="1925"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authorize any person to execute on behalf of the Company any instrument required to effectuate the grant of an Option previously granted by the Board or to take such other actions as may be necessary or appropriate with respect to the Company's rights pursuant to Options or agreements relating to the granting or exercise thereof;</w:t>
      </w:r>
    </w:p>
    <w:p>
      <w:pPr>
        <w:spacing w:after="0" w:line="187" w:lineRule="exact"/>
        <w:rPr>
          <w:rFonts w:ascii="Courier New" w:cs="Courier New" w:eastAsia="Courier New" w:hAnsi="Courier New"/>
          <w:sz w:val="16"/>
          <w:szCs w:val="16"/>
          <w:color w:val="auto"/>
        </w:rPr>
      </w:pPr>
    </w:p>
    <w:p>
      <w:pPr>
        <w:ind w:left="580" w:right="2819" w:firstLine="868"/>
        <w:spacing w:after="0" w:line="243" w:lineRule="auto"/>
        <w:tabs>
          <w:tab w:leader="none" w:pos="1925"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and under what circumstances an Option may be exercised without a payment of cash under Section 6(c) hereof;</w:t>
      </w:r>
    </w:p>
    <w:p>
      <w:pPr>
        <w:spacing w:after="0" w:line="188" w:lineRule="exact"/>
        <w:rPr>
          <w:rFonts w:ascii="Courier New" w:cs="Courier New" w:eastAsia="Courier New" w:hAnsi="Courier New"/>
          <w:sz w:val="16"/>
          <w:szCs w:val="16"/>
          <w:color w:val="auto"/>
        </w:rPr>
      </w:pPr>
    </w:p>
    <w:p>
      <w:pPr>
        <w:ind w:left="580" w:right="2539" w:firstLine="868"/>
        <w:spacing w:after="0" w:line="242" w:lineRule="auto"/>
        <w:tabs>
          <w:tab w:leader="none" w:pos="1925"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terminate the Plan in the event of a Change of Control or Sale of the Company; and</w:t>
      </w:r>
    </w:p>
    <w:p>
      <w:pPr>
        <w:spacing w:after="0" w:line="188" w:lineRule="exact"/>
        <w:rPr>
          <w:rFonts w:ascii="Courier New" w:cs="Courier New" w:eastAsia="Courier New" w:hAnsi="Courier New"/>
          <w:sz w:val="16"/>
          <w:szCs w:val="16"/>
          <w:color w:val="auto"/>
        </w:rPr>
      </w:pPr>
    </w:p>
    <w:p>
      <w:pPr>
        <w:ind w:left="580" w:right="3019" w:firstLine="868"/>
        <w:spacing w:after="0" w:line="243" w:lineRule="auto"/>
        <w:tabs>
          <w:tab w:leader="none" w:pos="1925"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such other determinations and establish such other procedures as it deems necessary or advisable for the administration of the Plan.</w:t>
      </w:r>
    </w:p>
    <w:p>
      <w:pPr>
        <w:spacing w:after="0" w:line="188" w:lineRule="exact"/>
        <w:rPr>
          <w:rFonts w:ascii="Courier New" w:cs="Courier New" w:eastAsia="Courier New" w:hAnsi="Courier New"/>
          <w:sz w:val="16"/>
          <w:szCs w:val="16"/>
          <w:color w:val="auto"/>
        </w:rPr>
      </w:pPr>
    </w:p>
    <w:p>
      <w:pPr>
        <w:ind w:left="-280" w:right="2539" w:firstLine="863"/>
        <w:spacing w:after="0" w:line="243" w:lineRule="auto"/>
        <w:tabs>
          <w:tab w:leader="none" w:pos="96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the Administrator's Decision. All decisions, determinations and interpretations of the Administrator pursuant to the provisions of the Plan shall be final and binding on all Optionees and any other holders of Options.</w:t>
      </w:r>
    </w:p>
    <w:p>
      <w:pPr>
        <w:spacing w:after="0" w:line="189" w:lineRule="exact"/>
        <w:rPr>
          <w:rFonts w:ascii="Courier New" w:cs="Courier New" w:eastAsia="Courier New" w:hAnsi="Courier New"/>
          <w:sz w:val="16"/>
          <w:szCs w:val="16"/>
          <w:color w:val="auto"/>
        </w:rPr>
      </w:pPr>
    </w:p>
    <w:p>
      <w:pPr>
        <w:ind w:left="-280" w:right="2719" w:firstLine="863"/>
        <w:spacing w:after="0" w:line="243" w:lineRule="auto"/>
        <w:tabs>
          <w:tab w:leader="none" w:pos="96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of Liability. Notwithstanding anything herein to the contrary, no member of the Board or the Committee shall be liable for any good faith determination, act or failure to act in connection with the Plan or any Option awarded hereunder.</w:t>
      </w:r>
    </w:p>
    <w:p>
      <w:pPr>
        <w:spacing w:after="0" w:line="188" w:lineRule="exact"/>
        <w:rPr>
          <w:sz w:val="20"/>
          <w:szCs w:val="20"/>
          <w:color w:val="auto"/>
        </w:rPr>
      </w:pPr>
    </w:p>
    <w:p>
      <w:pPr>
        <w:ind w:left="580"/>
        <w:spacing w:after="0"/>
        <w:tabs>
          <w:tab w:leader="none" w:pos="172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5"/>
          <w:szCs w:val="15"/>
          <w:color w:val="auto"/>
        </w:rPr>
        <w:t>Eligibility.</w:t>
      </w:r>
    </w:p>
    <w:p>
      <w:pPr>
        <w:spacing w:after="0" w:line="190" w:lineRule="exact"/>
        <w:rPr>
          <w:sz w:val="20"/>
          <w:szCs w:val="20"/>
          <w:color w:val="auto"/>
        </w:rPr>
      </w:pPr>
    </w:p>
    <w:p>
      <w:pPr>
        <w:ind w:left="-280" w:right="2539" w:firstLine="863"/>
        <w:spacing w:after="0" w:line="244" w:lineRule="auto"/>
        <w:tabs>
          <w:tab w:leader="none" w:pos="9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Persons. Options may be granted at any time and from time to time to any Employee or Consultant who shall be selected by the Administrator. Any grant of Options may include or exclude any Employee or Consultant as the Administrator shall determine in its sole discretion. Consultants who are not also Employees of the Company are eligible to be granted Non-Qualified Stock Options under the Plan but are not eligible to be granted Incentive Stock Options under the Plan.</w:t>
      </w:r>
    </w:p>
    <w:p>
      <w:pPr>
        <w:spacing w:after="0" w:line="188" w:lineRule="exact"/>
        <w:rPr>
          <w:rFonts w:ascii="Courier New" w:cs="Courier New" w:eastAsia="Courier New" w:hAnsi="Courier New"/>
          <w:sz w:val="16"/>
          <w:szCs w:val="16"/>
          <w:color w:val="auto"/>
        </w:rPr>
      </w:pPr>
    </w:p>
    <w:p>
      <w:pPr>
        <w:ind w:left="-280" w:right="2539" w:firstLine="863"/>
        <w:spacing w:after="0" w:line="243" w:lineRule="auto"/>
        <w:tabs>
          <w:tab w:leader="none" w:pos="9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and Exercisability of Options. Subject to the provisions of Section 6 hereof and except to the extent the Board provides otherwise, each Option shall not be exercisable until</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939"/>
          </w:cols>
          <w:pgMar w:left="520" w:top="300"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vested and shall vest as follows: twenty percent (20%) on the first anniversary of the date of grant and five percent (5%) on each three month anniversary following that first anniversary.</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The Vested Amount of each Option shall be exercisable on and after that portion of the Option becomes vested. The unvested portion of each Option may not be exercised.</w:t>
      </w:r>
    </w:p>
    <w:p>
      <w:pPr>
        <w:spacing w:after="0" w:line="189" w:lineRule="exact"/>
        <w:rPr>
          <w:sz w:val="20"/>
          <w:szCs w:val="20"/>
          <w:color w:val="auto"/>
        </w:rPr>
      </w:pPr>
    </w:p>
    <w:p>
      <w:pPr>
        <w:ind w:right="2639" w:firstLine="863"/>
        <w:spacing w:after="0" w:line="244" w:lineRule="auto"/>
        <w:tabs>
          <w:tab w:leader="none" w:pos="124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Upon Engagement. The Plan will not and does not confer upon any Optionee any right with respect to the continuation of any employment, consulting or any other relationship with the Company nor will it interfere in any way with such Optionee's right or the Company's right to terminate that Optionee's employment, consulting or other relationship with the Company at any time, whether with or without cause.</w:t>
      </w:r>
    </w:p>
    <w:p>
      <w:pPr>
        <w:spacing w:after="0" w:line="186" w:lineRule="exact"/>
        <w:rPr>
          <w:sz w:val="20"/>
          <w:szCs w:val="20"/>
          <w:color w:val="auto"/>
        </w:rPr>
      </w:pPr>
    </w:p>
    <w:p>
      <w:pPr>
        <w:ind w:left="860"/>
        <w:spacing w:after="0"/>
        <w:tabs>
          <w:tab w:leader="none" w:pos="2000" w:val="left"/>
        </w:tabs>
        <w:rPr>
          <w:sz w:val="20"/>
          <w:szCs w:val="20"/>
          <w:color w:val="auto"/>
        </w:rPr>
      </w:pPr>
      <w:r>
        <w:rPr>
          <w:rFonts w:ascii="Courier New" w:cs="Courier New" w:eastAsia="Courier New" w:hAnsi="Courier New"/>
          <w:sz w:val="16"/>
          <w:szCs w:val="16"/>
          <w:color w:val="auto"/>
        </w:rPr>
        <w:t>Section 5.</w:t>
        <w:tab/>
        <w:t>Stock Subject to the Plan.</w:t>
      </w:r>
    </w:p>
    <w:p>
      <w:pPr>
        <w:spacing w:after="0" w:line="190" w:lineRule="exact"/>
        <w:rPr>
          <w:sz w:val="20"/>
          <w:szCs w:val="20"/>
          <w:color w:val="auto"/>
        </w:rPr>
      </w:pPr>
    </w:p>
    <w:p>
      <w:pPr>
        <w:ind w:right="2539" w:firstLine="863"/>
        <w:spacing w:after="0" w:line="243" w:lineRule="auto"/>
        <w:tabs>
          <w:tab w:leader="none" w:pos="124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Maximum Number of Shares. Subject to the provisions of Section 8 of the Plan, the maximum aggregate number of Shares which may be optioned and sold under the Plan is four million (4,000,000) Shares. The Shares may be authorized, but unissued or reacquired, Common Stock.</w:t>
      </w:r>
    </w:p>
    <w:p>
      <w:pPr>
        <w:spacing w:after="0" w:line="189"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of Shares to the Plan. If an Option expires, is terminated or become unexercisable for any reason without having been exercised in full, then the unpurchased Shares subject thereto shall, unless the Plan shall have been terminated, return to the Plan and become available for future grants under the Plan.</w:t>
      </w:r>
    </w:p>
    <w:p>
      <w:pPr>
        <w:spacing w:after="0" w:line="187"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6. Terms and Conditions of Options. Each Option granted under the Plan shall be authorized by the Administrator and shall be evidenced by an Option Agreement, which shall state or incorporate by reference all other terms and conditions of the Plan including, without limitation, the following terms and conditions:</w:t>
      </w:r>
    </w:p>
    <w:p>
      <w:pPr>
        <w:spacing w:after="0" w:line="187" w:lineRule="exact"/>
        <w:rPr>
          <w:sz w:val="20"/>
          <w:szCs w:val="20"/>
          <w:color w:val="auto"/>
        </w:rPr>
      </w:pPr>
    </w:p>
    <w:p>
      <w:pPr>
        <w:ind w:right="2819" w:firstLine="863"/>
        <w:spacing w:after="0" w:line="242" w:lineRule="auto"/>
        <w:tabs>
          <w:tab w:leader="none" w:pos="124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The Option Agreement shall state the number of Shares subject to the Option.</w:t>
      </w:r>
    </w:p>
    <w:p>
      <w:pPr>
        <w:spacing w:after="0" w:line="188" w:lineRule="exact"/>
        <w:rPr>
          <w:rFonts w:ascii="Courier New" w:cs="Courier New" w:eastAsia="Courier New" w:hAnsi="Courier New"/>
          <w:sz w:val="16"/>
          <w:szCs w:val="16"/>
          <w:color w:val="auto"/>
        </w:rPr>
      </w:pPr>
    </w:p>
    <w:p>
      <w:pPr>
        <w:ind w:right="2539" w:firstLine="863"/>
        <w:spacing w:after="0" w:line="262" w:lineRule="auto"/>
        <w:tabs>
          <w:tab w:leader="none" w:pos="12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 Price. The per Share exercise price for the Shares to be issued pursuant to the exercise of an Incentive Stock Option shall be stated in the Option Agreement and shall be no less than the Fair Market Value per share of the Common Stock on the date such Option is granted, without regard to any restriction other than a restriction that by its terms will never lapse; provided, however, that any Incentive Stock Option granted under this Plan to an Employee who, at the time such Option is granted, owns more than ten percent (10%) of the current total combined voting power of all classes of the capital stock of the Company, shall have an exercise price per Share of not less than one hundred ten percent (110%) of the Fair Market Value of the Common Stock on the date such Option is granted. The per Share exercise price for the Shares to be issued pursuant to the exercise of a Non-Qualified Stock Option shall be stated in the Option Agreement and shall be determined by the Administrator.</w:t>
      </w:r>
    </w:p>
    <w:p>
      <w:pPr>
        <w:spacing w:after="0" w:line="1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left="-280" w:right="2539" w:firstLine="863"/>
        <w:spacing w:after="0" w:line="244" w:lineRule="auto"/>
        <w:tabs>
          <w:tab w:leader="none" w:pos="96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Consideration. The consideration to be paid for the Shares to be issued upon the exercise of an Option, including the method of payment, shall be determined by the Administrator and may consist entirely of: (i) cash; (ii) check; (iii) authorization from the Company to retain, from the total number of Shares for which the Option is exercised, that number of Shares having a Fair Market Value on the date of exercise equal to the exercise price for the total Shares for which the Option is exercised; (iv) to the extent permitted under the Exchange Act, the delivery of a properly executed exercise notice together with irrevocable instructions to a Securities Broker to promptly deliver to the Company the amount of sale or loan proceeds required to pay the exercise price; or (v) such other consideration and method of payment as the Administrator may from time to time determine. In making its determination as to the type of consideration to accept, the Administrator shall consider if the acceptance of such consideration may be reasonably expected to benefit the Company.</w:t>
      </w:r>
    </w:p>
    <w:p>
      <w:pPr>
        <w:spacing w:after="0" w:line="191" w:lineRule="exact"/>
        <w:rPr>
          <w:rFonts w:ascii="Courier New" w:cs="Courier New" w:eastAsia="Courier New" w:hAnsi="Courier New"/>
          <w:sz w:val="16"/>
          <w:szCs w:val="16"/>
          <w:color w:val="auto"/>
        </w:rPr>
      </w:pPr>
    </w:p>
    <w:p>
      <w:pPr>
        <w:ind w:left="-280" w:right="2539" w:firstLine="863"/>
        <w:spacing w:after="0" w:line="244" w:lineRule="auto"/>
        <w:tabs>
          <w:tab w:leader="none" w:pos="96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Option. The Option Agreement shall state whether the Option granted thereunder is intended to be an Incentive Stock Option or a Non-Qualified Stock Option and shall, subject to the terms of the Option Agreement, constitute a binding determination as to the form of Option granted thereunder.</w:t>
      </w:r>
    </w:p>
    <w:p>
      <w:pPr>
        <w:spacing w:after="0" w:line="369" w:lineRule="exact"/>
        <w:rPr>
          <w:rFonts w:ascii="Courier New" w:cs="Courier New" w:eastAsia="Courier New" w:hAnsi="Courier New"/>
          <w:sz w:val="16"/>
          <w:szCs w:val="16"/>
          <w:color w:val="auto"/>
        </w:rPr>
      </w:pPr>
    </w:p>
    <w:p>
      <w:pPr>
        <w:ind w:left="960" w:hanging="377"/>
        <w:spacing w:after="0"/>
        <w:tabs>
          <w:tab w:leader="none" w:pos="9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an Option.</w:t>
      </w:r>
    </w:p>
    <w:p>
      <w:pPr>
        <w:spacing w:after="0" w:line="190" w:lineRule="exact"/>
        <w:rPr>
          <w:rFonts w:ascii="Courier New" w:cs="Courier New" w:eastAsia="Courier New" w:hAnsi="Courier New"/>
          <w:sz w:val="16"/>
          <w:szCs w:val="16"/>
          <w:color w:val="auto"/>
        </w:rPr>
      </w:pPr>
    </w:p>
    <w:p>
      <w:pPr>
        <w:ind w:left="580" w:right="2539" w:firstLine="868"/>
        <w:spacing w:after="0" w:line="244" w:lineRule="auto"/>
        <w:tabs>
          <w:tab w:leader="none" w:pos="1829"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provided by the Administrator, the Vested Amount of any Option granted hereunder shall be exercisable, in whole or in part, at such times and under such further conditions as may be determined by the Administrator and as set forth in the Option Agreement.</w:t>
      </w:r>
    </w:p>
    <w:p>
      <w:pPr>
        <w:spacing w:after="0" w:line="187" w:lineRule="exact"/>
        <w:rPr>
          <w:rFonts w:ascii="Courier New" w:cs="Courier New" w:eastAsia="Courier New" w:hAnsi="Courier New"/>
          <w:sz w:val="16"/>
          <w:szCs w:val="16"/>
          <w:color w:val="auto"/>
        </w:rPr>
      </w:pPr>
    </w:p>
    <w:p>
      <w:pPr>
        <w:ind w:left="580" w:right="2639" w:firstLine="868"/>
        <w:spacing w:after="0" w:line="244" w:lineRule="auto"/>
        <w:tabs>
          <w:tab w:leader="none" w:pos="1829"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may not be exercised for a fraction of a Share. In the event of a "cashless exercise" as permitted under Section 6(c) hereof, the Company shall issue shares for the whole number of shares acquired through such cashless exercise and cash for the value of any fractional share.</w:t>
      </w:r>
    </w:p>
    <w:p>
      <w:pPr>
        <w:spacing w:after="0" w:line="187" w:lineRule="exact"/>
        <w:rPr>
          <w:rFonts w:ascii="Courier New" w:cs="Courier New" w:eastAsia="Courier New" w:hAnsi="Courier New"/>
          <w:sz w:val="16"/>
          <w:szCs w:val="16"/>
          <w:color w:val="auto"/>
        </w:rPr>
      </w:pPr>
    </w:p>
    <w:p>
      <w:pPr>
        <w:ind w:left="580" w:right="2719" w:firstLine="868"/>
        <w:spacing w:after="0" w:line="242" w:lineRule="auto"/>
        <w:tabs>
          <w:tab w:leader="none" w:pos="1829"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may not be exercised after the date of expiration of its term as shall be set forth in the Option Agreement.</w:t>
      </w:r>
    </w:p>
    <w:p>
      <w:pPr>
        <w:spacing w:after="0" w:line="188" w:lineRule="exact"/>
        <w:rPr>
          <w:rFonts w:ascii="Courier New" w:cs="Courier New" w:eastAsia="Courier New" w:hAnsi="Courier New"/>
          <w:sz w:val="16"/>
          <w:szCs w:val="16"/>
          <w:color w:val="auto"/>
        </w:rPr>
      </w:pPr>
    </w:p>
    <w:p>
      <w:pPr>
        <w:ind w:left="580" w:right="2539" w:firstLine="868"/>
        <w:spacing w:after="0" w:line="244" w:lineRule="auto"/>
        <w:tabs>
          <w:tab w:leader="none" w:pos="1829"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shall be deemed to have been exercised when written notice of such exercise has been received by the Company at its principal executive office in accordance with the terms of the Option Agreement by the person entitled to exercise the Option, and full payment for the Shares with respect to which the Option is to be exercised has been received by the Company, accompanied by an executed Stock Purchase and Restriction Agreement and any other agreements required by the Administrator or the terms of the Plan and/or Option Agreement. An Optionee shall have no right to vote or receive dividends and shall have no other rights as a shareholder with respect to the Shares, notwithstanding the exercise of the Option, until the issuance (as evidenced by the appropriate entry on the books of the Company or of a duly authorized transfer agent of the Company) of the stock certificate evidencing such Shares. No adjustment shall be made for a</w:t>
      </w:r>
    </w:p>
    <w:p>
      <w:pPr>
        <w:spacing w:after="0" w:line="190"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939"/>
          </w:cols>
          <w:pgMar w:left="520" w:top="300"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12</w:t>
      </w:r>
    </w:p>
    <w:p>
      <w:pPr>
        <w:spacing w:after="0" w:line="190" w:lineRule="exact"/>
        <w:rPr>
          <w:sz w:val="20"/>
          <w:szCs w:val="20"/>
          <w:color w:val="auto"/>
        </w:rPr>
      </w:pPr>
    </w:p>
    <w:p>
      <w:pPr>
        <w:ind w:left="580" w:right="2639"/>
        <w:spacing w:after="0" w:line="242" w:lineRule="auto"/>
        <w:rPr>
          <w:sz w:val="20"/>
          <w:szCs w:val="20"/>
          <w:color w:val="auto"/>
        </w:rPr>
      </w:pPr>
      <w:r>
        <w:rPr>
          <w:rFonts w:ascii="Courier New" w:cs="Courier New" w:eastAsia="Courier New" w:hAnsi="Courier New"/>
          <w:sz w:val="16"/>
          <w:szCs w:val="16"/>
          <w:color w:val="auto"/>
        </w:rPr>
        <w:t>dividend or other right for which the record date is prior to the date stock certificate with respect to the Shares is issued.</w:t>
      </w:r>
    </w:p>
    <w:p>
      <w:pPr>
        <w:spacing w:after="0" w:line="189" w:lineRule="exact"/>
        <w:rPr>
          <w:sz w:val="20"/>
          <w:szCs w:val="20"/>
          <w:color w:val="auto"/>
        </w:rPr>
      </w:pPr>
    </w:p>
    <w:p>
      <w:pPr>
        <w:ind w:left="580" w:right="2539" w:firstLine="868"/>
        <w:spacing w:after="0" w:line="244" w:lineRule="auto"/>
        <w:tabs>
          <w:tab w:leader="none" w:pos="1829"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proper exercise of an Option in accordance with the provisions of the Plan, the Company shall, without transfer or issue tax to the Optionee, deliver to the Optionee at the principal executive office of the Company or such other place as shall be mutually agreed upon between the Company and the Optionee, a certificate or certificates representing the Shares for which the Option shall have been exercised. The time of issuance and delivery of the certificate(s) representing the Shares for which the Option shall have been exercised may be postponed by the Company for such period as may be required by the Company, with reasonable diligence, to comply with any applicable listing requirements of any national or regional securities exchange or any law or regulation applicable to the issuance or delivery of such Shares.</w:t>
      </w:r>
    </w:p>
    <w:p>
      <w:pPr>
        <w:spacing w:after="0" w:line="191" w:lineRule="exact"/>
        <w:rPr>
          <w:rFonts w:ascii="Courier New" w:cs="Courier New" w:eastAsia="Courier New" w:hAnsi="Courier New"/>
          <w:sz w:val="16"/>
          <w:szCs w:val="16"/>
          <w:color w:val="auto"/>
        </w:rPr>
      </w:pPr>
    </w:p>
    <w:p>
      <w:pPr>
        <w:jc w:val="both"/>
        <w:ind w:left="580" w:right="2539" w:firstLine="868"/>
        <w:spacing w:after="0" w:line="243" w:lineRule="auto"/>
        <w:tabs>
          <w:tab w:leader="none" w:pos="1829"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of an Option in any manner shall result in a decrease in the number of Shares that thereafter may be available both for purposes of the Plan and for sale under the Option by the number of Shares as to which the Option is exercised.</w:t>
      </w:r>
    </w:p>
    <w:p>
      <w:pPr>
        <w:spacing w:after="0" w:line="187" w:lineRule="exact"/>
        <w:rPr>
          <w:rFonts w:ascii="Courier New" w:cs="Courier New" w:eastAsia="Courier New" w:hAnsi="Courier New"/>
          <w:sz w:val="16"/>
          <w:szCs w:val="16"/>
          <w:color w:val="auto"/>
        </w:rPr>
      </w:pPr>
    </w:p>
    <w:p>
      <w:pPr>
        <w:ind w:left="960" w:hanging="377"/>
        <w:spacing w:after="0"/>
        <w:tabs>
          <w:tab w:leader="none" w:pos="9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Options.</w:t>
      </w:r>
    </w:p>
    <w:p>
      <w:pPr>
        <w:spacing w:after="0" w:line="190" w:lineRule="exact"/>
        <w:rPr>
          <w:rFonts w:ascii="Courier New" w:cs="Courier New" w:eastAsia="Courier New" w:hAnsi="Courier New"/>
          <w:sz w:val="16"/>
          <w:szCs w:val="16"/>
          <w:color w:val="auto"/>
        </w:rPr>
      </w:pPr>
    </w:p>
    <w:p>
      <w:pPr>
        <w:ind w:left="580" w:right="2639" w:firstLine="868"/>
        <w:spacing w:after="0" w:line="265" w:lineRule="auto"/>
        <w:tabs>
          <w:tab w:leader="none" w:pos="1829"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in General. Unless sooner terminated as provided in this Plan, each Option shall be exercisable for the period of time as shall be determined by the Administrator and set forth in the Option Agreement and shall be void and unexercisable thereafter.</w:t>
      </w:r>
    </w:p>
    <w:p>
      <w:pPr>
        <w:spacing w:after="0" w:line="173" w:lineRule="exact"/>
        <w:rPr>
          <w:rFonts w:ascii="Courier New" w:cs="Courier New" w:eastAsia="Courier New" w:hAnsi="Courier New"/>
          <w:sz w:val="15"/>
          <w:szCs w:val="15"/>
          <w:color w:val="auto"/>
        </w:rPr>
      </w:pPr>
    </w:p>
    <w:p>
      <w:pPr>
        <w:ind w:left="580" w:right="2539" w:firstLine="868"/>
        <w:spacing w:after="0" w:line="244" w:lineRule="auto"/>
        <w:tabs>
          <w:tab w:leader="none" w:pos="1829"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Relationship with the Company. Unless sooner terminated as provided in this Plan, in the event of the termination of an Optionee's employment or consulting relationship with the Company (as the case may be) for any reason other than the death or Disability of the Optionee, such Optionee may, within three (3) months (or such other period of time as is determined by the Administrator) from the date of such termination (but in no event later than the expiration date of the term of such Option as set forth in the Option Agreement), exercise the Option up to the Vested Amount as of the date of termination, but only to the extent that the Optionee was entitled to exercise the Option on the date of such termination. To the extent the Optionee was not entitled to exercise the Option on the date of such termination, or if the Optionee does not exercise such Option to the extent so entitled within the time specified herein, the Option will terminate.</w:t>
      </w:r>
    </w:p>
    <w:p>
      <w:pPr>
        <w:spacing w:after="0" w:line="192" w:lineRule="exact"/>
        <w:rPr>
          <w:rFonts w:ascii="Courier New" w:cs="Courier New" w:eastAsia="Courier New" w:hAnsi="Courier New"/>
          <w:sz w:val="16"/>
          <w:szCs w:val="16"/>
          <w:color w:val="auto"/>
        </w:rPr>
      </w:pPr>
    </w:p>
    <w:p>
      <w:pPr>
        <w:ind w:left="580" w:right="2539" w:firstLine="868"/>
        <w:spacing w:after="0" w:line="244" w:lineRule="auto"/>
        <w:tabs>
          <w:tab w:leader="none" w:pos="1829"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Unless sooner terminated as provided in this Plan, in the event of the death or Disability of an Optionee while employed or engaged by the Company (as the case may be), Options held by such Optionee that are exercisable on the date of Disability or death shall be exercisable up to the Vested Amount as of the date of Disability or death for a period of twelve (12) months commencing on the date of the Optionee's Disability or death. Such Options may be exercisable by the Optionee or his or her legal guardian or representative or, in the case of death, by his or her executor(s) or administrator(s); provided, however, if such disabled Optionee shall commence any employment or engagement during such twelve (12) month period with or by a competitor of the Company (including, but not limited to, full or part-time employment or</w:t>
      </w:r>
    </w:p>
    <w:p>
      <w:pPr>
        <w:spacing w:after="0" w:line="189"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939"/>
          </w:cols>
          <w:pgMar w:left="520" w:top="300"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13</w:t>
      </w:r>
    </w:p>
    <w:p>
      <w:pPr>
        <w:spacing w:after="0" w:line="190" w:lineRule="exact"/>
        <w:rPr>
          <w:sz w:val="20"/>
          <w:szCs w:val="20"/>
          <w:color w:val="auto"/>
        </w:rPr>
      </w:pPr>
    </w:p>
    <w:p>
      <w:pPr>
        <w:ind w:left="860" w:right="2539"/>
        <w:spacing w:after="0" w:line="243" w:lineRule="auto"/>
        <w:rPr>
          <w:sz w:val="20"/>
          <w:szCs w:val="20"/>
          <w:color w:val="auto"/>
        </w:rPr>
      </w:pPr>
      <w:r>
        <w:rPr>
          <w:rFonts w:ascii="Courier New" w:cs="Courier New" w:eastAsia="Courier New" w:hAnsi="Courier New"/>
          <w:sz w:val="16"/>
          <w:szCs w:val="16"/>
          <w:color w:val="auto"/>
        </w:rPr>
        <w:t>independent consulting work), as determined solely in the judgment of the Administrator, then all Options held by such Optionee that have not yet been exercised shall terminate immediately upon the commencement thereof.</w:t>
      </w:r>
    </w:p>
    <w:p>
      <w:pPr>
        <w:spacing w:after="0" w:line="190" w:lineRule="exact"/>
        <w:rPr>
          <w:sz w:val="20"/>
          <w:szCs w:val="20"/>
          <w:color w:val="auto"/>
        </w:rPr>
      </w:pPr>
    </w:p>
    <w:p>
      <w:pPr>
        <w:ind w:left="860" w:right="2719" w:firstLine="868"/>
        <w:spacing w:after="0" w:line="242" w:lineRule="auto"/>
        <w:tabs>
          <w:tab w:leader="none" w:pos="2109"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to Terminate. Options may be terminated at any time by agreement between the Company and the Optionee.</w:t>
      </w:r>
    </w:p>
    <w:p>
      <w:pPr>
        <w:spacing w:after="0" w:line="186"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Provisions.</w:t>
      </w:r>
    </w:p>
    <w:p>
      <w:pPr>
        <w:spacing w:after="0" w:line="190" w:lineRule="exact"/>
        <w:rPr>
          <w:rFonts w:ascii="Courier New" w:cs="Courier New" w:eastAsia="Courier New" w:hAnsi="Courier New"/>
          <w:sz w:val="16"/>
          <w:szCs w:val="16"/>
          <w:color w:val="auto"/>
        </w:rPr>
      </w:pPr>
    </w:p>
    <w:p>
      <w:pPr>
        <w:ind w:left="860" w:right="2539" w:firstLine="868"/>
        <w:spacing w:after="0" w:line="244" w:lineRule="auto"/>
        <w:tabs>
          <w:tab w:leader="none" w:pos="2109"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in this Plan or an Option Agreement to the contrary, no Option granted to any Optionee under this Plan shall be treated as an Incentive Stock Option to the extent that such Option would cause the aggregate Fair Market Value of all Shares with respect to which Incentive Stock Options are exercisable by such Optionee for the first time during any calendar year (determined as of the date of grant of each such Option) to exceed $100,000. For purposes of determining whether an Incentive Stock Option granted to an Optionee would cause the aggregate Fair Market Value to exceed the $100,000 limitation, such Incentive Stock Options shall be taken into account in the order granted. For purposes of this subsection, Incentive Stock Options granted to an Optionee shall include all incentive stock options under all plans of the Company that are incentive stock option plans within the meaning of Section 422 of the Code. Options may be exercised in any order elected by the Optionee, whether or not the Optionee holds any unexercised Options under this Plan or any other plan of the Company.</w:t>
      </w:r>
    </w:p>
    <w:p>
      <w:pPr>
        <w:spacing w:after="0" w:line="193" w:lineRule="exact"/>
        <w:rPr>
          <w:rFonts w:ascii="Courier New" w:cs="Courier New" w:eastAsia="Courier New" w:hAnsi="Courier New"/>
          <w:sz w:val="16"/>
          <w:szCs w:val="16"/>
          <w:color w:val="auto"/>
        </w:rPr>
      </w:pPr>
    </w:p>
    <w:p>
      <w:pPr>
        <w:ind w:left="860" w:right="2819" w:firstLine="868"/>
        <w:spacing w:after="0" w:line="242" w:lineRule="auto"/>
        <w:tabs>
          <w:tab w:leader="none" w:pos="2109"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Plan or an Option Agreement to the contrary, no Incentive Stock Option shall be</w:t>
      </w:r>
    </w:p>
    <w:p>
      <w:pPr>
        <w:spacing w:after="0" w:line="4" w:lineRule="exact"/>
        <w:rPr>
          <w:rFonts w:ascii="Courier New" w:cs="Courier New" w:eastAsia="Courier New" w:hAnsi="Courier New"/>
          <w:sz w:val="16"/>
          <w:szCs w:val="16"/>
          <w:color w:val="auto"/>
        </w:rPr>
      </w:pPr>
    </w:p>
    <w:p>
      <w:pPr>
        <w:ind w:left="860"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granted under this Plan after ten (10) years from the date on which this Plan is adopted by the Board, or (B) exercisable more than ten (10) years from the date of grant; provided that if an Incentive Stock Option shall be granted under this Plan to any Employee who, at the time of the grant of such Option, owns stock possessing more than ten percent (10%) of the total combined voting power for all classes of the Company's capital stock, the foregoing clause (B) shall be deemed modified by substituting the term "five (5) years" for the term "ten (10) years" that appears therein.</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Section 7. Fair Market Value of Common Stock. The Fair Market Value of a Share of Common Stock, as of any date, shall be determined as follows:</w:t>
      </w:r>
    </w:p>
    <w:p>
      <w:pPr>
        <w:spacing w:after="0" w:line="189" w:lineRule="exact"/>
        <w:rPr>
          <w:sz w:val="20"/>
          <w:szCs w:val="20"/>
          <w:color w:val="auto"/>
        </w:rPr>
      </w:pPr>
    </w:p>
    <w:p>
      <w:pPr>
        <w:ind w:right="2539" w:firstLine="863"/>
        <w:spacing w:after="0" w:line="244" w:lineRule="auto"/>
        <w:tabs>
          <w:tab w:leader="none" w:pos="124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Shares of Common Stock are listed on a national or regional securities exchange or traded through NASDAQ/NMS, then the Fair Market Value of a share of Common Stock shall be the closing price for a share of Common Stock on the principal such exchange or on NASDAQ/NMS, as reported in The Wall Street Journal or such other source as the Administrator deems reliable on the relevant valuation date, or if there is no trading on that date, on the next trading date.</w:t>
      </w:r>
    </w:p>
    <w:p>
      <w:pPr>
        <w:spacing w:after="0" w:line="188"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Shares of Common Stock are traded in the over-the-counter market, then the Fair Market Value of a share of Common Stock shall be the mean of the bid and asked prices for a</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0"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14</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share of Common Stock on the relevant valuation date as reported in The Wall Street Journal or other source the Administrator deems reliable (or, if not so reported, as otherwise reported by the National Association of Securities Dealers Automated Quotations ("NASDAQ") System or the NASD OTC Bulletin Board), or if there is no trading on such date, on the next trading date.</w:t>
      </w:r>
    </w:p>
    <w:p>
      <w:pPr>
        <w:spacing w:after="0" w:line="187" w:lineRule="exact"/>
        <w:rPr>
          <w:sz w:val="20"/>
          <w:szCs w:val="20"/>
          <w:color w:val="auto"/>
        </w:rPr>
      </w:pPr>
    </w:p>
    <w:p>
      <w:pPr>
        <w:ind w:right="2719" w:firstLine="863"/>
        <w:spacing w:after="0" w:line="243" w:lineRule="auto"/>
        <w:tabs>
          <w:tab w:leader="none" w:pos="124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an established market for the Common Stock, the Fair Market Value of a share of Common Stock shall be determined by the Administrator in its sole discretion.</w:t>
      </w:r>
    </w:p>
    <w:p>
      <w:pPr>
        <w:spacing w:after="0" w:line="187" w:lineRule="exact"/>
        <w:rPr>
          <w:sz w:val="20"/>
          <w:szCs w:val="20"/>
          <w:color w:val="auto"/>
        </w:rPr>
      </w:pPr>
    </w:p>
    <w:p>
      <w:pPr>
        <w:ind w:left="860"/>
        <w:spacing w:after="0"/>
        <w:tabs>
          <w:tab w:leader="none" w:pos="2000" w:val="left"/>
        </w:tabs>
        <w:rPr>
          <w:sz w:val="20"/>
          <w:szCs w:val="20"/>
          <w:color w:val="auto"/>
        </w:rPr>
      </w:pPr>
      <w:r>
        <w:rPr>
          <w:rFonts w:ascii="Courier New" w:cs="Courier New" w:eastAsia="Courier New" w:hAnsi="Courier New"/>
          <w:sz w:val="16"/>
          <w:szCs w:val="16"/>
          <w:color w:val="auto"/>
        </w:rPr>
        <w:t>Section 8.</w:t>
      </w:r>
      <w:r>
        <w:rPr>
          <w:sz w:val="20"/>
          <w:szCs w:val="20"/>
          <w:color w:val="auto"/>
        </w:rPr>
        <w:tab/>
      </w:r>
      <w:r>
        <w:rPr>
          <w:rFonts w:ascii="Courier New" w:cs="Courier New" w:eastAsia="Courier New" w:hAnsi="Courier New"/>
          <w:sz w:val="15"/>
          <w:szCs w:val="15"/>
          <w:color w:val="auto"/>
        </w:rPr>
        <w:t>Adjustments.</w:t>
      </w:r>
    </w:p>
    <w:p>
      <w:pPr>
        <w:spacing w:after="0" w:line="190" w:lineRule="exact"/>
        <w:rPr>
          <w:sz w:val="20"/>
          <w:szCs w:val="20"/>
          <w:color w:val="auto"/>
        </w:rPr>
      </w:pPr>
    </w:p>
    <w:p>
      <w:pPr>
        <w:ind w:right="2539" w:firstLine="863"/>
        <w:spacing w:after="0" w:line="244" w:lineRule="auto"/>
        <w:tabs>
          <w:tab w:leader="none" w:pos="124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Subject to any required action by the shareholders of the Company, the number of Shares covered by each outstanding Option, the number of Shares that have been authorized for issuance under the Plan but as to which no Options have yet been granted or that have been returned to the Plan upon cancellation or expiration of an Option, and the price per Share of the Common Stock covered by an Option will each be proportionately adjusted for any increase or decrease in the number of outstanding shares of Common Stock resulting from stock splits, reverse stock splits, stock dividends, reclassifications and recapitalizations. Such adjustment shall be made by the Board whose determination in that respect will be final, binding and conclusive. Except as provided herein, no issuance by the Company of shares of stock of any class or securities convertible into shares of stock of any class, will affect, and no adjustment by reason thereof will be made with respect to, the number or price of shares of Common Stock subject to an Option.</w:t>
      </w:r>
    </w:p>
    <w:p>
      <w:pPr>
        <w:spacing w:after="0" w:line="191"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Fractional Shares. No fractional Shares shall be issuable on account of any action aforesaid, and the aggregate number of Shares into which Shares then covered by the Option, when changed as the result of such action, shall be reduced to the number of whole Shares resulting from such action, unless the Board, in its sole discretion, shall determine to issue scrip certificates in respect to any fractional Shares, which scrip certificates shall be in a form and have such terms and conditions as the Board in its discretion shall prescribe.</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9. Rights as a Shareholder. An Optionee shall have no rights as a shareholder of the Company and shall not have the right to vote nor receive dividends with respect to any Shares subject to an Option until such Option has been exercised and a stock certificate with respect to the Shares purchased upon such exercise of the Option has been issued to Optionee as set forth in Section 6(e)(4) and (5) hereof.</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10. Forfeiture. Notwithstanding any other provision of this Plan, if an Optionee's employment or consulting relationship with the Company (as the case may be) is terminated by the Company and the Board makes a determination that the Optionee (i) has engaged in any type of disloyalty to the Company, including without limitation, fraud, embezzlement, theft, or dishonesty in the course of Optionee's employment or consulting relationship, (ii) has been convicted of a felony or other crime involving a breach of trust or fiduciary duty owed to the Company, (iii) has made an unauthorized disclosure of trade secrets or confidential information of the Company, or (iv) has breached any employment agreement, consulting agreement, confidentiality agreement, assignment</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0"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of inventions or work product agreement, non-competition agreement or any other agreement with the Company in any material respect, then, at the election of the Board, all unexercised Options held by the Optionee (whether or not then exercisable) shall terminate. In the event of such an election by the Board, in addition to immediate termination of all unexercised Options, the Optionee shall forfeit all Shares for which the Company has not yet delivered stock certificates to the Optionee and the Company shall refund to the Optionee the exercise price paid to it upon exercise of the Option with respect to such Shares. Notwithstanding anything herein to the contrary, the Company may withhold delivery of stock certificates pending the resolution of any inquiry that could lead to a finding resulting in forfeiture.</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Section 11. Time of Granting Options. The date of grant of an Option shall, for all purposes, be the date on which the Administrator makes the determination to grant the Option or such other date as is determined by the Administrator. Notice of the determination shall be given to each Optionee to whom an Option is so granted within a reasonable time after the date of such grant.</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12. Modification, Extension, Renewal of Option. Subject to the terms and conditions of the Plan, the Board may modify, extend or renew an Option, or accept the surrender of an Option (to the extent not theretofore exercised); provided that no Incentive Stock Option may be modified, extended or renewed if such action would cause such Option to cease to be an incentive stock option within the meaning of Section 422 of the Code.</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13. Transferability. No Option may be sold, pledged, assigned, transferred or disposed of in any manner other than by will or by the laws of descent and distribution. During the lifetime of the Optionee, his or her Options shall be exercisable only by the Optionee, or, in the event of the Optionee's legal incapacity or Disability, by the legal guardian or representative of the Optionee.</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14. Power of Board if Change of Control or Sale of the Company. Notwithstanding anything to the contrary set forth in this Plan, in the event of a Change of Control or Sale of the Company, the Board shall have the right, in its sole discretion, to accelerate the vesting of all Options that have not vested as of the date of the Change of Control or sale of the Company and/or to establish an earlier date for the expiration of the exercise of an Option (notwithstanding a later expiration of exercisability set forth in an Option Agreement). In addition, in the event of a Change of Control, the Board shall have the right, in its sole discretion, subject to and conditioned upon a Sale of the Company, to (1) arrange for the successor company (or other entity) to assume all of the rights and obligations of the Company under this Plan; or (2) terminate this Plan and (a) to pay to all Optionees cash with respect to those Options that are vested as of the date of the Sale of the Company in an amount equal to the difference between the Option Price and the Fair Market Value of a Share of Common Stock (determined as of the date the Plan is terminated) multiplied by the number of Options that are vested as of the date of the Sale of the Company which are held by the Optionee as of the date of the Sale of the Company, or (b) to arrange for the exchange of all Options for options to purchase common stock in the successor corporation, or (c) to distribute to each Optionee other property in an amount equal to and in the same form as the Optionee would have</w:t>
      </w:r>
    </w:p>
    <w:p>
      <w:pPr>
        <w:spacing w:after="0" w:line="19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0"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received from the successor corporation if the Optionee had owned the Shares subject to Options that are vested as of the date of the Sale of the Company rather than the Option at the time of the Sale of the Company. The form of payment or distribution to the Optionee pursuant to this Section shall be determined by the Board in its sole discretion.</w:t>
      </w:r>
    </w:p>
    <w:p>
      <w:pPr>
        <w:spacing w:after="0" w:line="187"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15. Amendment or Termination of the Plan. Insofar as permitted by law and the Plan, the Board may at any time suspend, terminate, discontinue, alter or amend the Plan in any respect whatsoever; provided, however, that without prior approval of the shareholders, no such revision or amendment may change the aggregate number of Shares for which Options may be granted hereunder, change the designation of the class of Optionees eligible to receive Options or decrease the price at which Options may be granted. Any other provision of this Section notwithstanding, the Board specifically is authorized to adopt any amendment to this Plan deemed by the Board to be necessary or advisable to assure that the Incentive Stock Options or the Non-Qualified Stock Options available under the Plan continue to be treated as such, respectively, under all applicable laws.</w:t>
      </w:r>
    </w:p>
    <w:p>
      <w:pPr>
        <w:spacing w:after="0" w:line="191"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Section 16. Application of Funds. The proceeds received by the Company from the sale of Shares pursuant to the exercise of Options shall be used for general corporate purposes.</w:t>
      </w:r>
    </w:p>
    <w:p>
      <w:pPr>
        <w:spacing w:after="0" w:line="189"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Section 17. No Obligation to Exercise Option. The granting of an Option shall impose no obligation upon the Optionee to exercise such Option.</w:t>
      </w:r>
    </w:p>
    <w:p>
      <w:pPr>
        <w:spacing w:after="0" w:line="189" w:lineRule="exact"/>
        <w:rPr>
          <w:sz w:val="20"/>
          <w:szCs w:val="20"/>
          <w:color w:val="auto"/>
        </w:rPr>
      </w:pPr>
    </w:p>
    <w:p>
      <w:pPr>
        <w:ind w:right="2639" w:firstLine="865"/>
        <w:spacing w:after="0" w:line="262" w:lineRule="auto"/>
        <w:rPr>
          <w:sz w:val="20"/>
          <w:szCs w:val="20"/>
          <w:color w:val="auto"/>
        </w:rPr>
      </w:pPr>
      <w:r>
        <w:rPr>
          <w:rFonts w:ascii="Courier New" w:cs="Courier New" w:eastAsia="Courier New" w:hAnsi="Courier New"/>
          <w:sz w:val="15"/>
          <w:szCs w:val="15"/>
          <w:color w:val="auto"/>
        </w:rPr>
        <w:t>Section 18. Approval of Shareholders. This Plan shall become effective on the date that it is adopted by the Board; provided that it shall become limited to a non-qualified stock option plan if it is not approved by the shareholders of a majority of the Company's outstanding voting stock within one year (365 days) of its adoption by the Board. The Board may grant Options hereunder prior to approval of the Plan, or any material amendments thereto, by the holders of a majority of the Company's outstanding voting stock; provided that any and all Options so granted shall be converted into non-qualified stock options if the Plan, or a material amendment, is not approved by such shareholders within 365 days of its adoption or material amendment.</w:t>
      </w:r>
    </w:p>
    <w:p>
      <w:pPr>
        <w:spacing w:after="0" w:line="176" w:lineRule="exact"/>
        <w:rPr>
          <w:sz w:val="20"/>
          <w:szCs w:val="20"/>
          <w:color w:val="auto"/>
        </w:rPr>
      </w:pPr>
    </w:p>
    <w:p>
      <w:pPr>
        <w:ind w:left="860"/>
        <w:spacing w:after="0"/>
        <w:tabs>
          <w:tab w:leader="none" w:pos="2100" w:val="left"/>
        </w:tabs>
        <w:rPr>
          <w:sz w:val="20"/>
          <w:szCs w:val="20"/>
          <w:color w:val="auto"/>
        </w:rPr>
      </w:pPr>
      <w:r>
        <w:rPr>
          <w:rFonts w:ascii="Courier New" w:cs="Courier New" w:eastAsia="Courier New" w:hAnsi="Courier New"/>
          <w:sz w:val="16"/>
          <w:szCs w:val="16"/>
          <w:color w:val="auto"/>
        </w:rPr>
        <w:t>Section 19.</w:t>
      </w:r>
      <w:r>
        <w:rPr>
          <w:sz w:val="20"/>
          <w:szCs w:val="20"/>
          <w:color w:val="auto"/>
        </w:rPr>
        <w:tab/>
      </w:r>
      <w:r>
        <w:rPr>
          <w:rFonts w:ascii="Courier New" w:cs="Courier New" w:eastAsia="Courier New" w:hAnsi="Courier New"/>
          <w:sz w:val="15"/>
          <w:szCs w:val="15"/>
          <w:color w:val="auto"/>
        </w:rPr>
        <w:t>Conditions Upon Issuance of Shares.</w:t>
      </w:r>
    </w:p>
    <w:p>
      <w:pPr>
        <w:spacing w:after="0" w:line="190" w:lineRule="exact"/>
        <w:rPr>
          <w:sz w:val="20"/>
          <w:szCs w:val="20"/>
          <w:color w:val="auto"/>
        </w:rPr>
      </w:pPr>
    </w:p>
    <w:p>
      <w:pPr>
        <w:ind w:right="2719" w:firstLine="863"/>
        <w:spacing w:after="0" w:line="243" w:lineRule="auto"/>
        <w:tabs>
          <w:tab w:leader="none" w:pos="124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under the Plan are conditioned upon the Company obtaining any required permit or order from appropriate governmental agencies, authorizing the Company to issue such Options and Shares issuable upon the exercise thereof.</w:t>
      </w:r>
    </w:p>
    <w:p>
      <w:pPr>
        <w:spacing w:after="0" w:line="189" w:lineRule="exact"/>
        <w:rPr>
          <w:rFonts w:ascii="Courier New" w:cs="Courier New" w:eastAsia="Courier New" w:hAnsi="Courier New"/>
          <w:sz w:val="16"/>
          <w:szCs w:val="16"/>
          <w:color w:val="auto"/>
        </w:rPr>
      </w:pPr>
    </w:p>
    <w:p>
      <w:pPr>
        <w:ind w:right="2639" w:firstLine="863"/>
        <w:spacing w:after="0" w:line="263" w:lineRule="auto"/>
        <w:tabs>
          <w:tab w:leader="none" w:pos="12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shall not be issued pursuant to the exercise of an Option unless the exercise of such Option and the issuance and delivery of such Shares pursuant thereto shall comply with all relevant provisions of law, including, without limitation, the Securities Act, the Exchange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1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0"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639" w:firstLine="863"/>
        <w:spacing w:after="0" w:line="244" w:lineRule="auto"/>
        <w:tabs>
          <w:tab w:leader="none" w:pos="124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condition to the exercise of an Option, the Board may require the person exercising such Option to execute an agreement with, and/or may require the person exercising such Option to make any representation and/or warranty to, the Company as may be, in the judgment of counsel to the Company, required under applicable law or regulation, including but not limited to, a representation and warranty that the Shares are being purchased only for investment and without any present intention to sell or distribute such Shares if, in the opinion of counsel for the Company, such a representation and warranty is appropriate under any of the aforementioned relevant provisions of law.</w:t>
      </w:r>
    </w:p>
    <w:p>
      <w:pPr>
        <w:spacing w:after="0" w:line="188" w:lineRule="exact"/>
        <w:rPr>
          <w:sz w:val="20"/>
          <w:szCs w:val="20"/>
          <w:color w:val="auto"/>
        </w:rPr>
      </w:pPr>
    </w:p>
    <w:p>
      <w:pPr>
        <w:ind w:left="860"/>
        <w:spacing w:after="0"/>
        <w:tabs>
          <w:tab w:leader="none" w:pos="2100" w:val="left"/>
        </w:tabs>
        <w:rPr>
          <w:sz w:val="20"/>
          <w:szCs w:val="20"/>
          <w:color w:val="auto"/>
        </w:rPr>
      </w:pPr>
      <w:r>
        <w:rPr>
          <w:rFonts w:ascii="Courier New" w:cs="Courier New" w:eastAsia="Courier New" w:hAnsi="Courier New"/>
          <w:sz w:val="16"/>
          <w:szCs w:val="16"/>
          <w:color w:val="auto"/>
        </w:rPr>
        <w:t>Section 20.</w:t>
      </w:r>
      <w:r>
        <w:rPr>
          <w:sz w:val="20"/>
          <w:szCs w:val="20"/>
          <w:color w:val="auto"/>
        </w:rPr>
        <w:tab/>
      </w:r>
      <w:r>
        <w:rPr>
          <w:rFonts w:ascii="Courier New" w:cs="Courier New" w:eastAsia="Courier New" w:hAnsi="Courier New"/>
          <w:sz w:val="15"/>
          <w:szCs w:val="15"/>
          <w:color w:val="auto"/>
        </w:rPr>
        <w:t>Reservation of Shares.</w:t>
      </w:r>
    </w:p>
    <w:p>
      <w:pPr>
        <w:spacing w:after="0" w:line="190" w:lineRule="exact"/>
        <w:rPr>
          <w:sz w:val="20"/>
          <w:szCs w:val="20"/>
          <w:color w:val="auto"/>
        </w:rPr>
      </w:pPr>
    </w:p>
    <w:p>
      <w:pPr>
        <w:jc w:val="both"/>
        <w:ind w:right="3119" w:firstLine="863"/>
        <w:spacing w:after="0" w:line="243" w:lineRule="auto"/>
        <w:tabs>
          <w:tab w:leader="none" w:pos="124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during the term of this Plan, shall at all times reserve and keep available such number of Shares as shall be sufficient to satisfy the requirements of the Plan.</w:t>
      </w:r>
    </w:p>
    <w:p>
      <w:pPr>
        <w:spacing w:after="0" w:line="188"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during the term of this Plan, shall use its best efforts to seek to obtain from appropriate regulatory agencies any requisite authorization in order to issue and sell such number of Shares as shall be sufficient to satisfy the requirements of the Plan. The inability of the Company to obtain from any such regulatory agency having jurisdiction the requisite authorization(s) deemed by the Company's counsel to be necessary for the lawful issuance and sale of any Shares hereunder, or the inability of the Company to confirm to its satisfaction that any issuance and sale of any Shares hereunder will meet applicable legal requirements, shall relieve the Company of any liability in respect to the failure to issue or sell such Shares as to which such requisite authority shall not have been obtained.</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21. Other Agreements. Options shall be evidenced by an Option Agreement in such form or forms as the Administrator (subject to the terms and conditions of this Plan) may from time to time approve, which Option Agreement shall evidence and reflect the terms and conditions of an Option as set forth in Section 6 hereof. Upon exercise of an Option, the Optionee shall execute and deliver to the Company a Stock Purchase and Restriction Agreement in such form or forms as the Administrator shall approve from time to time. The Administrator may, from time to time, require such other agreements in connection with the Option as it, in its sole discretion, deems advisable. The Option Agreement and the Stock Purchase and Restriction Agreement and any other agreement required by the Plan or the Option Agreement, as determined by the Board or the Administrator, may contain such other provisions as the Board or the Administrator, in its discretion deems advisable and that are not inconsistent with the provisions of this Plan, including, without limitation, restrictions upon or conditions precedent to the exercise of the Option.</w:t>
      </w:r>
    </w:p>
    <w:p>
      <w:pPr>
        <w:spacing w:after="0" w:line="190" w:lineRule="exact"/>
        <w:rPr>
          <w:sz w:val="20"/>
          <w:szCs w:val="20"/>
          <w:color w:val="auto"/>
        </w:rPr>
      </w:pPr>
    </w:p>
    <w:p>
      <w:pPr>
        <w:ind w:left="860"/>
        <w:spacing w:after="0"/>
        <w:tabs>
          <w:tab w:leader="none" w:pos="2100" w:val="left"/>
        </w:tabs>
        <w:rPr>
          <w:sz w:val="20"/>
          <w:szCs w:val="20"/>
          <w:color w:val="auto"/>
        </w:rPr>
      </w:pPr>
      <w:r>
        <w:rPr>
          <w:rFonts w:ascii="Courier New" w:cs="Courier New" w:eastAsia="Courier New" w:hAnsi="Courier New"/>
          <w:sz w:val="16"/>
          <w:szCs w:val="16"/>
          <w:color w:val="auto"/>
        </w:rPr>
        <w:t>Section 22.</w:t>
      </w:r>
      <w:r>
        <w:rPr>
          <w:sz w:val="20"/>
          <w:szCs w:val="20"/>
          <w:color w:val="auto"/>
        </w:rPr>
        <w:tab/>
      </w:r>
      <w:r>
        <w:rPr>
          <w:rFonts w:ascii="Courier New" w:cs="Courier New" w:eastAsia="Courier New" w:hAnsi="Courier New"/>
          <w:sz w:val="15"/>
          <w:szCs w:val="15"/>
          <w:color w:val="auto"/>
        </w:rPr>
        <w:t>Taxes, Fees, Expenses and Withholding.</w:t>
      </w:r>
    </w:p>
    <w:p>
      <w:pPr>
        <w:spacing w:after="0" w:line="190" w:lineRule="exact"/>
        <w:rPr>
          <w:sz w:val="20"/>
          <w:szCs w:val="20"/>
          <w:color w:val="auto"/>
        </w:rPr>
      </w:pPr>
    </w:p>
    <w:p>
      <w:pPr>
        <w:ind w:right="2819" w:firstLine="863"/>
        <w:spacing w:after="0" w:line="243" w:lineRule="auto"/>
        <w:tabs>
          <w:tab w:leader="none" w:pos="124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all original issue and transfer taxes (but not income taxes, if any) with respect to the grant of an Option and/or the issue and transfer of Shares pursuant to the exercise thereof, and all other fees and expenses necessarily incurred by the Company in connection</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0"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therewith, and will, from time to time, use its best efforts to comply with all laws and regulations that, in the opinion of counsel for the Company, shall be applicable thereto.</w:t>
      </w:r>
    </w:p>
    <w:p>
      <w:pPr>
        <w:spacing w:after="0" w:line="189" w:lineRule="exact"/>
        <w:rPr>
          <w:sz w:val="20"/>
          <w:szCs w:val="20"/>
          <w:color w:val="auto"/>
        </w:rPr>
      </w:pPr>
    </w:p>
    <w:p>
      <w:pPr>
        <w:ind w:right="2639" w:firstLine="863"/>
        <w:spacing w:after="0" w:line="262" w:lineRule="auto"/>
        <w:tabs>
          <w:tab w:leader="none" w:pos="12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granting of Options hereunder and the issuance of Shares pursuant to the exercise thereof is conditioned upon the Company's reservation of the right to withhold in accordance with any applicable law, from any compensation or other amounts payable to the Optionee, any taxes required to be withheld under federal, state or local law as a result of the grant or exercise of such Option or the sale of the Shares issued upon exercise thereof. To the extent that compensation or other amounts, if any, payable to the Optionee is insufficient to pay any taxes required to be so withheld, the Company may, in its sole discretion, require the Optionee (or such other person entitled herein to exercise the Option), as a condition to the exercise of an Option, to pay in cash to the Company an amount sufficient to cover such tax liability or otherwise to make adequate provision for the Company's satisfaction of its withholding obligations under federal, state and local law.</w:t>
      </w:r>
    </w:p>
    <w:p>
      <w:pPr>
        <w:spacing w:after="0" w:line="361"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23. Notices. Any notice to be given to the Company pursuant to the provisions of this Plan shall be addressed to the Company in care of its Secretary (or such other person as the Company may designate from time to time) at its principal executive office, and any notice to be given to an Optionee shall be delivered personally, by facsimile or addressed to the Optionee at the address given beneath the signature of the Optionee on his or her Option Agreement, or at such other address as such Optionee or his or her permitted transferee (upon the transfer of the Shares) may hereafter designate in writing to the Company. Any such notice shall be deemed duly given when delivered, when acknowledged received by sender's facsimile machine, or when enclosed in a properly sealed envelope or wrapper addressed as aforesaid, registered or certified, and deposited, postage and registry or certification fee prepaid, in a post office or branch post office regularly maintained by the United States Postal Service. It shall be the obligation of each Optionee and each permitted transferee holding Shares purchased upon exercise of an Option to provide the Secretary of the Company, by letter mailed as provided herein, with written notice of his or her direct mailing address.</w:t>
      </w:r>
    </w:p>
    <w:p>
      <w:pPr>
        <w:spacing w:after="0" w:line="193"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Section 24. No Enlargement of Employee Rights. This Plan is purely voluntary on the part of the Company, and the continuance of the Plan shall not be deemed to constitute a contract between the Company and any Employee or Consultant, or to be consideration for, or a condition of, the employment or service of any Employee or Consultant as the case may be. Nothing contained in this Plan shall be deemed to give any Employee or Consultant the right to be retained in the employ or service of the Company, or to interfere with the right of the Company to discharge or retire any Employee or Consultant thereof at any time. No Employee or Consultant shall have any right to or interest in Options authorized hereunder prior to the grant thereof to such Employee or Consultant, and upon such grant such Employee or Consultant shall have only such rights and</w:t>
      </w:r>
    </w:p>
    <w:p>
      <w:pPr>
        <w:spacing w:after="0" w:line="17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0"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interests as are expressly provided herein, subject, however, to all applicable provisions of the Company's Certificate of Incorporation, as the same may be amended from time to time.</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Section 25. Information to Optionees. The Company, upon request, shall provide without charge to each Optionee copies of such annual and periodic reports as are provided by the Company to its shareholders generally.</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Section 26. Availability of Plan. A copy of this Plan shall be delivered to the Secretary of the Company and shall be shown to any eligible person making reasonable inquiry concerning it.</w:t>
      </w:r>
    </w:p>
    <w:p>
      <w:pPr>
        <w:spacing w:after="0" w:line="189" w:lineRule="exact"/>
        <w:rPr>
          <w:sz w:val="20"/>
          <w:szCs w:val="20"/>
          <w:color w:val="auto"/>
        </w:rPr>
      </w:pPr>
    </w:p>
    <w:p>
      <w:pPr>
        <w:ind w:right="2539" w:firstLine="865"/>
        <w:spacing w:after="0" w:line="263" w:lineRule="auto"/>
        <w:rPr>
          <w:sz w:val="20"/>
          <w:szCs w:val="20"/>
          <w:color w:val="auto"/>
        </w:rPr>
      </w:pPr>
      <w:r>
        <w:rPr>
          <w:rFonts w:ascii="Courier New" w:cs="Courier New" w:eastAsia="Courier New" w:hAnsi="Courier New"/>
          <w:sz w:val="15"/>
          <w:szCs w:val="15"/>
          <w:color w:val="auto"/>
        </w:rPr>
        <w:t>Section 27. Invalid Provisions. In the event that any provision of this Plan is found to be invalid or otherwise unenforceable under any applicable law, such invalidity or unenforceability shall not be construed as rendering any other provisions contained herein as invalid or unenforceable, and all such other provisions shall be given full force and effect to the same extent as though the invalid or unenforceable provision was not contained herein.</w:t>
      </w:r>
    </w:p>
    <w:p>
      <w:pPr>
        <w:spacing w:after="0" w:line="176"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Section 28. Applicable Law. This Plan shall be governed by and construed in accordance with the laws of the State of Michigan.</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29. Board Action. Notwithstanding anything to the contrary set forth in this Plan, any and all actions of the Board or Committee, as the case may be, taken under or in connection with this Plan and any agreements, instruments, documents, certificates or other writings entered into, executed, granted, issued and/or delivered pursuant to the terms hereof, shall be subject to and limited by any and all votes, consents, approvals, waivers or other actions of all or certain shareholders of the Company or other persons required pursuant to (a) the Company's Certificate of Incorporation (as the same may be amended and/or restated from time to time), (b) the Company's Bylaws (as the same may be amended and/or restated from time to time), and (c) any other agreement, instrument, document or writing now or hereafter existing, between or among the Company and its shareholders or other persons (as the same may be amended from time to time).</w:t>
      </w:r>
    </w:p>
    <w:p>
      <w:pPr>
        <w:spacing w:after="0" w:line="191"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Section 30. Miscellaneous. This Plan is intended to comply with the conditions and requirements for employee benefit plans under Rule 16b-3, as promulgated under Section 16 of the Exchange Act.</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0"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1</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5</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PORTER, WRIGHT, MORRIS &amp; ARTHUR LLP</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41 South High Street</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Columbus, Ohio 43215-6194</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Telephone: 614/227-2000</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Facsimile: 614/227-2100</w:t>
      </w:r>
    </w:p>
    <w:p>
      <w:pPr>
        <w:spacing w:after="0" w:line="37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April 28, 2000</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CheckFree Holdings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4411 East Jones Bridge Road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Norcross, Georgia 30092</w:t>
      </w:r>
    </w:p>
    <w:p>
      <w:pPr>
        <w:sectPr>
          <w:pgSz w:w="11900" w:h="16838" w:orient="portrait"/>
          <w:cols w:equalWidth="0" w:num="1">
            <w:col w:w="10219"/>
          </w:cols>
          <w:pgMar w:left="240" w:top="140" w:right="1440" w:bottom="1440" w:gutter="0" w:footer="0" w:header="0"/>
        </w:sectPr>
      </w:pPr>
    </w:p>
    <w:p>
      <w:pPr>
        <w:spacing w:after="0" w:line="37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Statement on Form S-8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BlueGill Technologies, Inc. Amended and Restated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Incentive and Non-Qualified Stock Option (the "Plan")</w:t>
      </w:r>
    </w:p>
    <w:p>
      <w:pPr>
        <w:spacing w:after="0" w:line="188" w:lineRule="exact"/>
        <w:rPr>
          <w:sz w:val="20"/>
          <w:szCs w:val="20"/>
          <w:color w:val="auto"/>
        </w:rPr>
      </w:pPr>
    </w:p>
    <w:p>
      <w:pPr>
        <w:sectPr>
          <w:pgSz w:w="11900" w:h="16838" w:orient="portrait"/>
          <w:cols w:equalWidth="0" w:num="2">
            <w:col w:w="1160" w:space="560"/>
            <w:col w:w="8499"/>
          </w:cols>
          <w:pgMar w:left="240" w:top="1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We have acted as counsel for CheckFree Holdings Corporation, a Delaware corporation ("CheckFree"), in connection with the Registration Statement on Form S-8 (the "Registration Statement"), filed by CheckFree with the Securities and Exchange Commission under the Securities Act of 1933, as amended, with respect to the registration of 591,796 shares of CheckFree common stock, $.01 par value (the "Shares"), to be issued under the Plan.</w:t>
      </w:r>
    </w:p>
    <w:p>
      <w:pPr>
        <w:spacing w:after="0" w:line="188"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In connection with this opinion, we have examined such corporate records, documents, and other instruments of the registrant as we have deemed necessary.</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Based on the foregoing, we are of the opinion that the Shares will, when issued and paid for in accordance with the provisions of the Plan, be legally issued, fully paid and nonassessable, and entitled to the benefits of the Plan.</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w:t>
      </w:r>
    </w:p>
    <w:p>
      <w:pPr>
        <w:spacing w:after="0" w:line="372"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Very truly yours,</w:t>
      </w:r>
    </w:p>
    <w:p>
      <w:pPr>
        <w:spacing w:after="0" w:line="190"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Porter, Wright, Morris &amp; Arthur LLP</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PORTER, WRIGHT, MORRIS &amp; ARTHUR LLP</w:t>
      </w:r>
    </w:p>
    <w:p>
      <w:pPr>
        <w:sectPr>
          <w:pgSz w:w="11900" w:h="16838" w:orient="portrait"/>
          <w:cols w:equalWidth="0" w:num="1">
            <w:col w:w="10219"/>
          </w:cols>
          <w:pgMar w:left="240" w:top="140"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23.2</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CheckFree Holdings Corporation on Form S-8 of our reports dated August 9, 1999, appearing in and incorporated by reference in the Annual Report on Form 10-K of CheckFree Holdings Corporation for the year ended June 30, 1999.</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Atlanta, Georgia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27, 2000</w:t>
      </w:r>
    </w:p>
    <w:p>
      <w:pPr>
        <w:sectPr>
          <w:pgSz w:w="11900" w:h="16838" w:orient="portrait"/>
          <w:cols w:equalWidth="0" w:num="1">
            <w:col w:w="10219"/>
          </w:cols>
          <w:pgMar w:left="240" w:top="140"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ind w:left="6240"/>
        <w:spacing w:after="0"/>
        <w:rPr>
          <w:sz w:val="20"/>
          <w:szCs w:val="20"/>
          <w:color w:val="auto"/>
        </w:rPr>
      </w:pPr>
      <w:r>
        <w:rPr>
          <w:rFonts w:ascii="Courier New" w:cs="Courier New" w:eastAsia="Courier New" w:hAnsi="Courier New"/>
          <w:sz w:val="16"/>
          <w:szCs w:val="16"/>
          <w:color w:val="auto"/>
        </w:rPr>
        <w:t>Exhibit 23.3</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INDEPENDENT AUDITORS' CONSENT</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of CheckFree Holdings Corporation on Form S-8 of our report dated October 22, 1999 (February 15, 2000 as to Note 4) on the consolidated financial statements of MSFDC, L.L.C. and subsidiaries, a development stage company, as of July 2, 1999, and July 3, 1998, and the related consolidated statements of operations, members' capital deficiency and cash flows for the year ended July 2, 1999, and the periods from June 18, 1997 (inception) to July 3, 1998, and from June 18, 1997 (inception) to July 2, 1999, appearing in Amendment No. 1 to Current Report on Form 8-K/A of CheckFree Holdings Corporation, filed April 27, 2000.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Seattle, Washington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27, 2000</w:t>
      </w:r>
    </w:p>
    <w:p>
      <w:pPr>
        <w:sectPr>
          <w:pgSz w:w="11900" w:h="16838" w:orient="portrait"/>
          <w:cols w:equalWidth="0" w:num="1">
            <w:col w:w="10219"/>
          </w:cols>
          <w:pgMar w:left="240" w:top="140"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23.4</w:t>
      </w:r>
    </w:p>
    <w:p>
      <w:pPr>
        <w:spacing w:after="0" w:line="373"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of our report dated February 28, 2000, included in CheckFree Holdings Corporation's Current Report on Form 8-K dated March 16, 2000 for the year ended December 31, 1999 and to all references to our Firm included in this registration statement.</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Arthur Andersen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 Arbor, Michigan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26, 2000</w:t>
      </w:r>
    </w:p>
    <w:p>
      <w:pPr>
        <w:sectPr>
          <w:pgSz w:w="11900" w:h="16838" w:orient="portrait"/>
          <w:cols w:equalWidth="0" w:num="1">
            <w:col w:w="10219"/>
          </w:cols>
          <w:pgMar w:left="240" w:top="140" w:right="1440" w:bottom="1440" w:gutter="0" w:footer="0" w:header="0"/>
        </w:sectPr>
      </w:pPr>
    </w:p>
    <w:bookmarkStart w:id="32" w:name="page33"/>
    <w:bookmarkEnd w:id="32"/>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24</w:t>
      </w:r>
    </w:p>
    <w:p>
      <w:pPr>
        <w:spacing w:after="0" w:line="188"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POWER OF ATTORNEY</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Each of the undersigned officers and directors of CheckFree Holdings Corporation, a Delaware corporation (the "Company") hereby appoints Peter J. Kight, Mark A. Johnson, and Curtis A. Loveland as his true and lawful attorneys-in-fact, or any of them, with power to act without the others, as his true and lawful attorney-in-fact, in his name and on his behalf, and in any and all capacities stated below, to sign and to cause to be filed with the Securities and Exchange Commission (the "Commission"), the Company's Registration Statement on Form S-8 (the "Registration Statement") to register under the Securities Act of 1933, as amended, 910,000 shares of Common Stock, $.01 par value, of the Company to be sold and distributed by the Company pursuant to the BlueGill Technologies, Inc. Amended and Restated 1998 Incentive and Non-Qualified Stock Option Plan (the "Plan") and such other number of shares as may be issued under the anti-dilution provision of the Plan, and any and all amendments, including post-effective amendments, to the Registration Statement, hereby granting unto such attorneys-in-fact, and to each of them, full power and authority to do and perform in the name of and on behalf of the undersigned, in any and all such capacities, every act and thing whatsoever necessary to be done in and about the premises as fully as the undersigned could or might do in person, hereby granting to each such attorney-in-fact full power of substitution and revocation, and hereby ratifying all that any such attorney-in-fact or his substitute may do by virtue hereof.</w:t>
      </w:r>
    </w:p>
    <w:p>
      <w:pPr>
        <w:spacing w:after="0" w:line="195" w:lineRule="exact"/>
        <w:rPr>
          <w:sz w:val="20"/>
          <w:szCs w:val="20"/>
          <w:color w:val="auto"/>
        </w:rPr>
      </w:pPr>
    </w:p>
    <w:p>
      <w:pPr>
        <w:ind w:left="1" w:right="2919" w:firstLine="865"/>
        <w:spacing w:after="0" w:line="242" w:lineRule="auto"/>
        <w:rPr>
          <w:sz w:val="20"/>
          <w:szCs w:val="20"/>
          <w:color w:val="auto"/>
        </w:rPr>
      </w:pPr>
      <w:r>
        <w:rPr>
          <w:rFonts w:ascii="Courier New" w:cs="Courier New" w:eastAsia="Courier New" w:hAnsi="Courier New"/>
          <w:sz w:val="16"/>
          <w:szCs w:val="16"/>
          <w:color w:val="auto"/>
        </w:rPr>
        <w:t>IN WITNESS WHEREOF, the undersigned have signed these presents this 22nd day of March, 2000.</w:t>
      </w:r>
    </w:p>
    <w:p>
      <w:pPr>
        <w:sectPr>
          <w:pgSz w:w="11900" w:h="16838" w:orient="portrait"/>
          <w:cols w:equalWidth="0" w:num="1">
            <w:col w:w="10221"/>
          </w:cols>
          <w:pgMar w:left="239" w:top="140"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1441"/>
        <w:spacing w:after="0"/>
        <w:rPr>
          <w:sz w:val="20"/>
          <w:szCs w:val="20"/>
          <w:color w:val="auto"/>
        </w:rPr>
      </w:pPr>
      <w:r>
        <w:rPr>
          <w:rFonts w:ascii="Courier New" w:cs="Courier New" w:eastAsia="Courier New" w:hAnsi="Courier New"/>
          <w:sz w:val="15"/>
          <w:szCs w:val="15"/>
          <w:color w:val="auto"/>
        </w:rPr>
        <w:t>Signature</w:t>
      </w:r>
    </w:p>
    <w:p>
      <w:pPr>
        <w:spacing w:after="0" w:line="15" w:lineRule="exact"/>
        <w:rPr>
          <w:sz w:val="20"/>
          <w:szCs w:val="20"/>
          <w:color w:val="auto"/>
        </w:rPr>
      </w:pPr>
    </w:p>
    <w:p>
      <w:pPr>
        <w:ind w:left="1441"/>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481" w:space="720"/>
            <w:col w:w="3019"/>
          </w:cols>
          <w:pgMar w:left="239" w:top="140" w:right="1440" w:bottom="1440" w:gutter="0" w:footer="0" w:header="0"/>
          <w:type w:val="continuous"/>
        </w:sectPr>
      </w:pPr>
    </w:p>
    <w:p>
      <w:pPr>
        <w:spacing w:after="0" w:line="183"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/s/ Peter J. Kight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Peter J. Kight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and Chief Executive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2">
            <w:col w:w="5241" w:space="720"/>
            <w:col w:w="4259"/>
          </w:cols>
          <w:pgMar w:left="239" w:top="140" w:right="1440" w:bottom="1440" w:gutter="0" w:footer="0" w:header="0"/>
          <w:type w:val="continuous"/>
        </w:sectPr>
      </w:pPr>
    </w:p>
    <w:p>
      <w:pPr>
        <w:spacing w:after="0" w:line="175" w:lineRule="exact"/>
        <w:rPr>
          <w:sz w:val="20"/>
          <w:szCs w:val="20"/>
          <w:color w:val="auto"/>
        </w:rPr>
      </w:pPr>
    </w:p>
    <w:p>
      <w:pPr>
        <w:ind w:left="961"/>
        <w:spacing w:after="0"/>
        <w:rPr>
          <w:sz w:val="20"/>
          <w:szCs w:val="20"/>
          <w:color w:val="auto"/>
        </w:rPr>
      </w:pPr>
      <w:r>
        <w:rPr>
          <w:rFonts w:ascii="Courier New" w:cs="Courier New" w:eastAsia="Courier New" w:hAnsi="Courier New"/>
          <w:sz w:val="15"/>
          <w:szCs w:val="15"/>
          <w:color w:val="auto"/>
        </w:rPr>
        <w:t>/s/ Mark A. Johnson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Vice Chairman and Director</w:t>
      </w:r>
    </w:p>
    <w:p>
      <w:pPr>
        <w:spacing w:after="0" w:line="4" w:lineRule="exact"/>
        <w:rPr>
          <w:sz w:val="20"/>
          <w:szCs w:val="20"/>
          <w:color w:val="auto"/>
        </w:rPr>
      </w:pPr>
    </w:p>
    <w:p>
      <w:pPr>
        <w:sectPr>
          <w:pgSz w:w="11900" w:h="16838" w:orient="portrait"/>
          <w:cols w:equalWidth="0" w:num="2">
            <w:col w:w="5241" w:space="720"/>
            <w:col w:w="4259"/>
          </w:cols>
          <w:pgMar w:left="239" w:top="140" w:right="1440" w:bottom="1440" w:gutter="0" w:footer="0" w:header="0"/>
          <w:type w:val="continuous"/>
        </w:sectPr>
      </w:pPr>
    </w:p>
    <w:p>
      <w:pPr>
        <w:ind w:left="201" w:hanging="201"/>
        <w:spacing w:after="0"/>
        <w:tabs>
          <w:tab w:leader="none" w:pos="20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Mark A. Johnson</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100" w:type="dxa"/>
            <w:vAlign w:val="bottom"/>
          </w:tcPr>
          <w:p>
            <w:pPr>
              <w:ind w:left="960"/>
              <w:spacing w:after="0"/>
              <w:rPr>
                <w:sz w:val="20"/>
                <w:szCs w:val="20"/>
                <w:color w:val="auto"/>
              </w:rPr>
            </w:pPr>
            <w:r>
              <w:rPr>
                <w:rFonts w:ascii="Courier New" w:cs="Courier New" w:eastAsia="Courier New" w:hAnsi="Courier New"/>
                <w:sz w:val="16"/>
                <w:szCs w:val="16"/>
                <w:color w:val="auto"/>
              </w:rPr>
              <w:t>/s/ Allen L. Shulman</w:t>
            </w:r>
          </w:p>
        </w:tc>
        <w:tc>
          <w:tcPr>
            <w:tcW w:w="50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Executive Vice President, Chief Financial</w:t>
            </w:r>
          </w:p>
        </w:tc>
      </w:tr>
      <w:tr>
        <w:trPr>
          <w:trHeight w:val="185"/>
        </w:trPr>
        <w:tc>
          <w:tcPr>
            <w:tcW w:w="5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920" w:type="dxa"/>
            <w:vAlign w:val="bottom"/>
          </w:tcPr>
          <w:p>
            <w:pPr>
              <w:ind w:left="1040"/>
              <w:spacing w:after="0"/>
              <w:rPr>
                <w:sz w:val="20"/>
                <w:szCs w:val="20"/>
                <w:color w:val="auto"/>
              </w:rPr>
            </w:pPr>
            <w:r>
              <w:rPr>
                <w:rFonts w:ascii="Courier New" w:cs="Courier New" w:eastAsia="Courier New" w:hAnsi="Courier New"/>
                <w:sz w:val="16"/>
                <w:szCs w:val="16"/>
                <w:color w:val="auto"/>
              </w:rPr>
              <w:t>Officer and General</w:t>
            </w:r>
          </w:p>
        </w:tc>
        <w:tc>
          <w:tcPr>
            <w:tcW w:w="2160" w:type="dxa"/>
            <w:vAlign w:val="bottom"/>
          </w:tcPr>
          <w:p>
            <w:pPr>
              <w:ind w:left="40"/>
              <w:spacing w:after="0"/>
              <w:rPr>
                <w:sz w:val="20"/>
                <w:szCs w:val="20"/>
                <w:color w:val="auto"/>
              </w:rPr>
            </w:pPr>
            <w:r>
              <w:rPr>
                <w:rFonts w:ascii="Courier New" w:cs="Courier New" w:eastAsia="Courier New" w:hAnsi="Courier New"/>
                <w:sz w:val="16"/>
                <w:szCs w:val="16"/>
                <w:color w:val="auto"/>
              </w:rPr>
              <w:t>Counsel</w:t>
            </w:r>
          </w:p>
        </w:tc>
      </w:tr>
      <w:tr>
        <w:trPr>
          <w:trHeight w:val="185"/>
        </w:trPr>
        <w:tc>
          <w:tcPr>
            <w:tcW w:w="5100" w:type="dxa"/>
            <w:vAlign w:val="bottom"/>
          </w:tcPr>
          <w:p>
            <w:pPr>
              <w:ind w:left="960"/>
              <w:spacing w:after="0"/>
              <w:rPr>
                <w:sz w:val="20"/>
                <w:szCs w:val="20"/>
                <w:color w:val="auto"/>
              </w:rPr>
            </w:pPr>
            <w:r>
              <w:rPr>
                <w:rFonts w:ascii="Courier New" w:cs="Courier New" w:eastAsia="Courier New" w:hAnsi="Courier New"/>
                <w:sz w:val="16"/>
                <w:szCs w:val="16"/>
                <w:color w:val="auto"/>
              </w:rPr>
              <w:t>Allen L. Shulman</w:t>
            </w:r>
          </w:p>
        </w:tc>
        <w:tc>
          <w:tcPr>
            <w:tcW w:w="508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(Principal Financial Officer)</w:t>
            </w:r>
          </w:p>
        </w:tc>
      </w:tr>
      <w:tr>
        <w:trPr>
          <w:trHeight w:val="554"/>
        </w:trPr>
        <w:tc>
          <w:tcPr>
            <w:tcW w:w="5100" w:type="dxa"/>
            <w:vAlign w:val="bottom"/>
          </w:tcPr>
          <w:p>
            <w:pPr>
              <w:ind w:left="960"/>
              <w:spacing w:after="0"/>
              <w:rPr>
                <w:sz w:val="20"/>
                <w:szCs w:val="20"/>
                <w:color w:val="auto"/>
              </w:rPr>
            </w:pPr>
            <w:r>
              <w:rPr>
                <w:rFonts w:ascii="Courier New" w:cs="Courier New" w:eastAsia="Courier New" w:hAnsi="Courier New"/>
                <w:sz w:val="16"/>
                <w:szCs w:val="16"/>
                <w:color w:val="auto"/>
              </w:rPr>
              <w:t>/s/ Gary A. Luoma, Jr.</w:t>
            </w:r>
          </w:p>
        </w:tc>
        <w:tc>
          <w:tcPr>
            <w:tcW w:w="2920" w:type="dxa"/>
            <w:vAlign w:val="bottom"/>
          </w:tcPr>
          <w:p>
            <w:pPr>
              <w:ind w:left="860"/>
              <w:spacing w:after="0"/>
              <w:rPr>
                <w:sz w:val="20"/>
                <w:szCs w:val="20"/>
                <w:color w:val="auto"/>
              </w:rPr>
            </w:pPr>
            <w:r>
              <w:rPr>
                <w:rFonts w:ascii="Courier New" w:cs="Courier New" w:eastAsia="Courier New" w:hAnsi="Courier New"/>
                <w:sz w:val="16"/>
                <w:szCs w:val="16"/>
                <w:color w:val="auto"/>
              </w:rPr>
              <w:t>Vice President, Chief</w:t>
            </w:r>
          </w:p>
        </w:tc>
        <w:tc>
          <w:tcPr>
            <w:tcW w:w="2160" w:type="dxa"/>
            <w:vAlign w:val="bottom"/>
          </w:tcPr>
          <w:p>
            <w:pPr>
              <w:ind w:left="40"/>
              <w:spacing w:after="0"/>
              <w:rPr>
                <w:sz w:val="20"/>
                <w:szCs w:val="20"/>
                <w:color w:val="auto"/>
              </w:rPr>
            </w:pPr>
            <w:r>
              <w:rPr>
                <w:rFonts w:ascii="Courier New" w:cs="Courier New" w:eastAsia="Courier New" w:hAnsi="Courier New"/>
                <w:sz w:val="16"/>
                <w:szCs w:val="16"/>
                <w:color w:val="auto"/>
                <w:w w:val="99"/>
              </w:rPr>
              <w:t>Accounting Officer and</w:t>
            </w:r>
          </w:p>
        </w:tc>
      </w:tr>
      <w:tr>
        <w:trPr>
          <w:trHeight w:val="185"/>
        </w:trPr>
        <w:tc>
          <w:tcPr>
            <w:tcW w:w="5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920" w:type="dxa"/>
            <w:vAlign w:val="bottom"/>
          </w:tcPr>
          <w:p>
            <w:pPr>
              <w:ind w:left="1040"/>
              <w:spacing w:after="0"/>
              <w:rPr>
                <w:sz w:val="20"/>
                <w:szCs w:val="20"/>
                <w:color w:val="auto"/>
              </w:rPr>
            </w:pPr>
            <w:r>
              <w:rPr>
                <w:rFonts w:ascii="Courier New" w:cs="Courier New" w:eastAsia="Courier New" w:hAnsi="Courier New"/>
                <w:sz w:val="16"/>
                <w:szCs w:val="16"/>
                <w:color w:val="auto"/>
              </w:rPr>
              <w:t>Assistant Secretary</w:t>
            </w:r>
          </w:p>
        </w:tc>
        <w:tc>
          <w:tcPr>
            <w:tcW w:w="2160" w:type="dxa"/>
            <w:vAlign w:val="bottom"/>
          </w:tcPr>
          <w:p>
            <w:pPr>
              <w:spacing w:after="0"/>
              <w:rPr>
                <w:sz w:val="16"/>
                <w:szCs w:val="16"/>
                <w:color w:val="auto"/>
              </w:rPr>
            </w:pPr>
          </w:p>
        </w:tc>
      </w:tr>
      <w:tr>
        <w:trPr>
          <w:trHeight w:val="185"/>
        </w:trPr>
        <w:tc>
          <w:tcPr>
            <w:tcW w:w="5100" w:type="dxa"/>
            <w:vAlign w:val="bottom"/>
          </w:tcPr>
          <w:p>
            <w:pPr>
              <w:ind w:left="1340"/>
              <w:spacing w:after="0"/>
              <w:rPr>
                <w:sz w:val="20"/>
                <w:szCs w:val="20"/>
                <w:color w:val="auto"/>
              </w:rPr>
            </w:pPr>
            <w:r>
              <w:rPr>
                <w:rFonts w:ascii="Courier New" w:cs="Courier New" w:eastAsia="Courier New" w:hAnsi="Courier New"/>
                <w:sz w:val="16"/>
                <w:szCs w:val="16"/>
                <w:color w:val="auto"/>
              </w:rPr>
              <w:t>Gary A. Luoma, Jr.</w:t>
            </w:r>
          </w:p>
        </w:tc>
        <w:tc>
          <w:tcPr>
            <w:tcW w:w="2920" w:type="dxa"/>
            <w:vAlign w:val="bottom"/>
          </w:tcPr>
          <w:p>
            <w:pPr>
              <w:ind w:left="860"/>
              <w:spacing w:after="0"/>
              <w:rPr>
                <w:sz w:val="20"/>
                <w:szCs w:val="20"/>
                <w:color w:val="auto"/>
              </w:rPr>
            </w:pPr>
            <w:r>
              <w:rPr>
                <w:rFonts w:ascii="Courier New" w:cs="Courier New" w:eastAsia="Courier New" w:hAnsi="Courier New"/>
                <w:sz w:val="16"/>
                <w:szCs w:val="16"/>
                <w:color w:val="auto"/>
              </w:rPr>
              <w:t>(Principal Accounting</w:t>
            </w:r>
          </w:p>
        </w:tc>
        <w:tc>
          <w:tcPr>
            <w:tcW w:w="2160" w:type="dxa"/>
            <w:vAlign w:val="bottom"/>
          </w:tcPr>
          <w:p>
            <w:pPr>
              <w:ind w:left="40"/>
              <w:spacing w:after="0"/>
              <w:rPr>
                <w:sz w:val="20"/>
                <w:szCs w:val="20"/>
                <w:color w:val="auto"/>
              </w:rPr>
            </w:pPr>
            <w:r>
              <w:rPr>
                <w:rFonts w:ascii="Courier New" w:cs="Courier New" w:eastAsia="Courier New" w:hAnsi="Courier New"/>
                <w:sz w:val="16"/>
                <w:szCs w:val="16"/>
                <w:color w:val="auto"/>
              </w:rPr>
              <w:t>Officer)</w:t>
            </w:r>
          </w:p>
        </w:tc>
      </w:tr>
      <w:tr>
        <w:trPr>
          <w:trHeight w:val="554"/>
        </w:trPr>
        <w:tc>
          <w:tcPr>
            <w:tcW w:w="5100" w:type="dxa"/>
            <w:vAlign w:val="bottom"/>
          </w:tcPr>
          <w:p>
            <w:pPr>
              <w:ind w:left="960"/>
              <w:spacing w:after="0"/>
              <w:rPr>
                <w:sz w:val="20"/>
                <w:szCs w:val="20"/>
                <w:color w:val="auto"/>
              </w:rPr>
            </w:pPr>
            <w:r>
              <w:rPr>
                <w:rFonts w:ascii="Courier New" w:cs="Courier New" w:eastAsia="Courier New" w:hAnsi="Courier New"/>
                <w:sz w:val="16"/>
                <w:szCs w:val="16"/>
                <w:color w:val="auto"/>
              </w:rPr>
              <w:t>/s/ William P. Boardman</w:t>
            </w:r>
          </w:p>
        </w:tc>
        <w:tc>
          <w:tcPr>
            <w:tcW w:w="2920" w:type="dxa"/>
            <w:vAlign w:val="bottom"/>
          </w:tcPr>
          <w:p>
            <w:pPr>
              <w:ind w:left="860"/>
              <w:spacing w:after="0"/>
              <w:rPr>
                <w:sz w:val="20"/>
                <w:szCs w:val="20"/>
                <w:color w:val="auto"/>
              </w:rPr>
            </w:pPr>
            <w:r>
              <w:rPr>
                <w:rFonts w:ascii="Courier New" w:cs="Courier New" w:eastAsia="Courier New" w:hAnsi="Courier New"/>
                <w:sz w:val="16"/>
                <w:szCs w:val="16"/>
                <w:color w:val="auto"/>
              </w:rPr>
              <w:t>Director</w:t>
            </w:r>
          </w:p>
        </w:tc>
        <w:tc>
          <w:tcPr>
            <w:tcW w:w="2160" w:type="dxa"/>
            <w:vAlign w:val="bottom"/>
          </w:tcPr>
          <w:p>
            <w:pPr>
              <w:spacing w:after="0"/>
              <w:rPr>
                <w:sz w:val="24"/>
                <w:szCs w:val="24"/>
                <w:color w:val="auto"/>
              </w:rPr>
            </w:pPr>
          </w:p>
        </w:tc>
      </w:tr>
    </w:tbl>
    <w:p>
      <w:pPr>
        <w:spacing w:after="0" w:line="4" w:lineRule="exact"/>
        <w:rPr>
          <w:sz w:val="20"/>
          <w:szCs w:val="20"/>
          <w:color w:val="auto"/>
        </w:rPr>
      </w:pPr>
    </w:p>
    <w:p>
      <w:pPr>
        <w:ind w:left="201" w:hanging="201"/>
        <w:spacing w:after="0"/>
        <w:tabs>
          <w:tab w:leader="none" w:pos="20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3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William P. Boardman</w:t>
      </w:r>
    </w:p>
    <w:p>
      <w:pPr>
        <w:spacing w:after="0" w:line="188" w:lineRule="exact"/>
        <w:rPr>
          <w:sz w:val="20"/>
          <w:szCs w:val="20"/>
          <w:color w:val="auto"/>
        </w:rPr>
      </w:pPr>
    </w:p>
    <w:p>
      <w:pPr>
        <w:ind w:left="961"/>
        <w:spacing w:after="0"/>
        <w:tabs>
          <w:tab w:leader="none" w:pos="5941" w:val="left"/>
        </w:tabs>
        <w:rPr>
          <w:sz w:val="20"/>
          <w:szCs w:val="20"/>
          <w:color w:val="auto"/>
        </w:rPr>
      </w:pPr>
      <w:r>
        <w:rPr>
          <w:rFonts w:ascii="Courier New" w:cs="Courier New" w:eastAsia="Courier New" w:hAnsi="Courier New"/>
          <w:sz w:val="16"/>
          <w:szCs w:val="16"/>
          <w:color w:val="auto"/>
        </w:rPr>
        <w:t>/s/ George R. Manser</w:t>
      </w:r>
      <w:r>
        <w:rPr>
          <w:sz w:val="20"/>
          <w:szCs w:val="20"/>
          <w:color w:val="auto"/>
        </w:rPr>
        <w:tab/>
      </w:r>
      <w:r>
        <w:rPr>
          <w:rFonts w:ascii="Courier New" w:cs="Courier New" w:eastAsia="Courier New" w:hAnsi="Courier New"/>
          <w:sz w:val="15"/>
          <w:szCs w:val="15"/>
          <w:color w:val="auto"/>
        </w:rPr>
        <w:t>Director</w:t>
      </w:r>
    </w:p>
    <w:p>
      <w:pPr>
        <w:spacing w:after="0" w:line="4" w:lineRule="exact"/>
        <w:rPr>
          <w:sz w:val="20"/>
          <w:szCs w:val="20"/>
          <w:color w:val="auto"/>
        </w:rPr>
      </w:pPr>
    </w:p>
    <w:p>
      <w:pPr>
        <w:ind w:left="201" w:hanging="201"/>
        <w:spacing w:after="0"/>
        <w:tabs>
          <w:tab w:leader="none" w:pos="20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3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George R. Manser</w:t>
      </w:r>
    </w:p>
    <w:p>
      <w:pPr>
        <w:spacing w:after="0" w:line="188" w:lineRule="exact"/>
        <w:rPr>
          <w:sz w:val="20"/>
          <w:szCs w:val="20"/>
          <w:color w:val="auto"/>
        </w:rPr>
      </w:pPr>
    </w:p>
    <w:p>
      <w:pPr>
        <w:ind w:left="961"/>
        <w:spacing w:after="0"/>
        <w:tabs>
          <w:tab w:leader="none" w:pos="5941" w:val="left"/>
        </w:tabs>
        <w:rPr>
          <w:sz w:val="20"/>
          <w:szCs w:val="20"/>
          <w:color w:val="auto"/>
        </w:rPr>
      </w:pPr>
      <w:r>
        <w:rPr>
          <w:rFonts w:ascii="Courier New" w:cs="Courier New" w:eastAsia="Courier New" w:hAnsi="Courier New"/>
          <w:sz w:val="16"/>
          <w:szCs w:val="16"/>
          <w:color w:val="auto"/>
        </w:rPr>
        <w:t>/s/ Eugene F. Quinn</w:t>
      </w:r>
      <w:r>
        <w:rPr>
          <w:sz w:val="20"/>
          <w:szCs w:val="20"/>
          <w:color w:val="auto"/>
        </w:rPr>
        <w:tab/>
      </w:r>
      <w:r>
        <w:rPr>
          <w:rFonts w:ascii="Courier New" w:cs="Courier New" w:eastAsia="Courier New" w:hAnsi="Courier New"/>
          <w:sz w:val="15"/>
          <w:szCs w:val="15"/>
          <w:color w:val="auto"/>
        </w:rPr>
        <w:t>Director</w:t>
      </w:r>
    </w:p>
    <w:p>
      <w:pPr>
        <w:spacing w:after="0" w:line="4" w:lineRule="exact"/>
        <w:rPr>
          <w:sz w:val="20"/>
          <w:szCs w:val="20"/>
          <w:color w:val="auto"/>
        </w:rPr>
      </w:pPr>
    </w:p>
    <w:p>
      <w:pPr>
        <w:ind w:left="201" w:hanging="201"/>
        <w:spacing w:after="0"/>
        <w:tabs>
          <w:tab w:leader="none" w:pos="20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3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Eugene F. Quinn</w:t>
      </w:r>
    </w:p>
    <w:p>
      <w:pPr>
        <w:spacing w:after="0" w:line="188" w:lineRule="exact"/>
        <w:rPr>
          <w:sz w:val="20"/>
          <w:szCs w:val="20"/>
          <w:color w:val="auto"/>
        </w:rPr>
      </w:pPr>
    </w:p>
    <w:p>
      <w:pPr>
        <w:ind w:left="961"/>
        <w:spacing w:after="0"/>
        <w:tabs>
          <w:tab w:leader="none" w:pos="5941" w:val="left"/>
        </w:tabs>
        <w:rPr>
          <w:sz w:val="20"/>
          <w:szCs w:val="20"/>
          <w:color w:val="auto"/>
        </w:rPr>
      </w:pPr>
      <w:r>
        <w:rPr>
          <w:rFonts w:ascii="Courier New" w:cs="Courier New" w:eastAsia="Courier New" w:hAnsi="Courier New"/>
          <w:sz w:val="16"/>
          <w:szCs w:val="16"/>
          <w:color w:val="auto"/>
        </w:rPr>
        <w:t>/s/ Jeffrey M. Wilkins</w:t>
      </w:r>
      <w:r>
        <w:rPr>
          <w:sz w:val="20"/>
          <w:szCs w:val="20"/>
          <w:color w:val="auto"/>
        </w:rPr>
        <w:tab/>
      </w:r>
      <w:r>
        <w:rPr>
          <w:rFonts w:ascii="Courier New" w:cs="Courier New" w:eastAsia="Courier New" w:hAnsi="Courier New"/>
          <w:sz w:val="15"/>
          <w:szCs w:val="15"/>
          <w:color w:val="auto"/>
        </w:rPr>
        <w:t>Director</w:t>
      </w:r>
    </w:p>
    <w:p>
      <w:pPr>
        <w:spacing w:after="0" w:line="4" w:lineRule="exact"/>
        <w:rPr>
          <w:sz w:val="20"/>
          <w:szCs w:val="20"/>
          <w:color w:val="auto"/>
        </w:rPr>
      </w:pPr>
    </w:p>
    <w:p>
      <w:pPr>
        <w:ind w:left="201" w:hanging="201"/>
        <w:spacing w:after="0"/>
        <w:tabs>
          <w:tab w:leader="none" w:pos="20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3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Jeffrey M. Wilkins</w:t>
      </w:r>
    </w:p>
    <w:sectPr>
      <w:pgSz w:w="11900" w:h="16838" w:orient="portrait"/>
      <w:cols w:equalWidth="0" w:num="1">
        <w:col w:w="10221"/>
      </w:cols>
      <w:pgMar w:left="239" w:top="1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5"/>
      <w:numFmt w:val="bullet"/>
      <w:start w:val="1"/>
    </w:lvl>
  </w:abstractNum>
  <w:abstractNum w:abstractNumId="10">
    <w:nsid w:val="836C40E"/>
    <w:multiLevelType w:val="hybridMultilevel"/>
    <w:lvl w:ilvl="0">
      <w:lvlJc w:val="left"/>
      <w:lvlText w:val="(%1)"/>
      <w:numFmt w:val="decimal"/>
      <w:start w:val="1"/>
    </w:lvl>
    <w:lvl w:ilvl="1">
      <w:lvlJc w:val="left"/>
      <w:lvlText w:val="(%2)"/>
      <w:numFmt w:val="lowerRoman"/>
      <w:start w:val="1"/>
    </w:lvl>
  </w:abstractNum>
  <w:abstractNum w:abstractNumId="11">
    <w:nsid w:val="2901D82"/>
    <w:multiLevelType w:val="hybridMultilevel"/>
    <w:lvl w:ilvl="0">
      <w:lvlJc w:val="left"/>
      <w:lvlText w:val="(%1)"/>
      <w:numFmt w:val="decimal"/>
      <w:start w:val="2"/>
    </w:lvl>
  </w:abstractNum>
  <w:abstractNum w:abstractNumId="12">
    <w:nsid w:val="3A95F874"/>
    <w:multiLevelType w:val="hybridMultilevel"/>
    <w:lvl w:ilvl="0">
      <w:lvlJc w:val="left"/>
      <w:lvlText w:val="5"/>
      <w:numFmt w:val="bullet"/>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Roman"/>
      <w:start w:val="4"/>
    </w:lvl>
    <w:lvl w:ilvl="1">
      <w:lvlJc w:val="left"/>
      <w:lvlText w:val="(%2)"/>
      <w:numFmt w:val="lowerLetter"/>
      <w:start w:val="5"/>
    </w:lvl>
  </w:abstractNum>
  <w:abstractNum w:abstractNumId="16">
    <w:nsid w:val="737B8DDC"/>
    <w:multiLevelType w:val="hybridMultilevel"/>
    <w:lvl w:ilvl="0">
      <w:lvlJc w:val="left"/>
      <w:lvlText w:val="%1"/>
      <w:numFmt w:val="lowerRoman"/>
      <w:start w:val="1"/>
    </w:lvl>
    <w:lvl w:ilvl="1">
      <w:lvlJc w:val="left"/>
      <w:lvlText w:val="(%2)"/>
      <w:numFmt w:val="lowerLetter"/>
      <w:start w:val="10"/>
    </w:lvl>
  </w:abstractNum>
  <w:abstractNum w:abstractNumId="17">
    <w:nsid w:val="6CEAF087"/>
    <w:multiLevelType w:val="hybridMultilevel"/>
    <w:lvl w:ilvl="0">
      <w:lvlJc w:val="left"/>
      <w:lvlText w:val="(%1)"/>
      <w:numFmt w:val="lowerRoman"/>
      <w:start w:val="1"/>
    </w:lvl>
    <w:lvl w:ilvl="1">
      <w:lvlJc w:val="left"/>
      <w:lvlText w:val="(%2)"/>
      <w:numFmt w:val="lowerLetter"/>
      <w:start w:val="11"/>
    </w:lvl>
  </w:abstractNum>
  <w:abstractNum w:abstractNumId="18">
    <w:nsid w:val="22221A70"/>
    <w:multiLevelType w:val="hybridMultilevel"/>
    <w:lvl w:ilvl="0">
      <w:lvlJc w:val="left"/>
      <w:lvlText w:val="(%1)"/>
      <w:numFmt w:val="lowerLetter"/>
      <w:start w:val="19"/>
    </w:lvl>
  </w:abstractNum>
  <w:abstractNum w:abstractNumId="19">
    <w:nsid w:val="4516DDE9"/>
    <w:multiLevelType w:val="hybridMultilevel"/>
    <w:lvl w:ilvl="0">
      <w:lvlJc w:val="left"/>
      <w:lvlText w:val="(%1)"/>
      <w:numFmt w:val="lowerLetter"/>
      <w:start w:val="27"/>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Letter"/>
      <w:start w:val="2"/>
    </w:lvl>
    <w:lvl w:ilvl="1">
      <w:lvlJc w:val="left"/>
      <w:lvlText w:val="(%2)"/>
      <w:numFmt w:val="decimal"/>
      <w:start w:val="1"/>
    </w:lvl>
  </w:abstractNum>
  <w:abstractNum w:abstractNumId="22">
    <w:nsid w:val="419AC241"/>
    <w:multiLevelType w:val="hybridMultilevel"/>
    <w:lvl w:ilvl="0">
      <w:lvlJc w:val="left"/>
      <w:lvlText w:val="%1"/>
      <w:numFmt w:val="lowerLetter"/>
      <w:start w:val="1"/>
    </w:lvl>
    <w:lvl w:ilvl="1">
      <w:lvlJc w:val="left"/>
      <w:lvlText w:val="(%2)"/>
      <w:numFmt w:val="decimal"/>
      <w:start w:val="8"/>
    </w:lvl>
  </w:abstractNum>
  <w:abstractNum w:abstractNumId="23">
    <w:nsid w:val="5577F8E1"/>
    <w:multiLevelType w:val="hybridMultilevel"/>
    <w:lvl w:ilvl="0">
      <w:lvlJc w:val="left"/>
      <w:lvlText w:val="(%1)"/>
      <w:numFmt w:val="lowerLetter"/>
      <w:start w:val="4"/>
    </w:lvl>
    <w:lvl w:ilvl="1">
      <w:lvlJc w:val="left"/>
      <w:lvlText w:val="%2"/>
      <w:numFmt w:val="decimal"/>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lowerLetter"/>
      <w:start w:val="3"/>
    </w:lvl>
  </w:abstractNum>
  <w:abstractNum w:abstractNumId="26">
    <w:nsid w:val="3804823E"/>
    <w:multiLevelType w:val="hybridMultilevel"/>
    <w:lvl w:ilvl="0">
      <w:lvlJc w:val="left"/>
      <w:lvlText w:val="(%1)"/>
      <w:numFmt w:val="lowerLetter"/>
      <w:start w:val="1"/>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1)"/>
      <w:numFmt w:val="lowerLetter"/>
      <w:start w:val="3"/>
    </w:lvl>
    <w:lvl w:ilvl="1">
      <w:lvlJc w:val="left"/>
      <w:lvlText w:val="(%2)"/>
      <w:numFmt w:val="decimal"/>
      <w:start w:val="1"/>
    </w:lvl>
  </w:abstractNum>
  <w:abstractNum w:abstractNumId="29">
    <w:nsid w:val="5C482A97"/>
    <w:multiLevelType w:val="hybridMultilevel"/>
    <w:lvl w:ilvl="0">
      <w:lvlJc w:val="left"/>
      <w:lvlText w:val="%1"/>
      <w:numFmt w:val="lowerLetter"/>
      <w:start w:val="1"/>
    </w:lvl>
    <w:lvl w:ilvl="1">
      <w:lvlJc w:val="left"/>
      <w:lvlText w:val="(%2)"/>
      <w:numFmt w:val="decimal"/>
      <w:start w:val="5"/>
    </w:lvl>
  </w:abstractNum>
  <w:abstractNum w:abstractNumId="30">
    <w:nsid w:val="2463B9EA"/>
    <w:multiLevelType w:val="hybridMultilevel"/>
    <w:lvl w:ilvl="0">
      <w:lvlJc w:val="left"/>
      <w:lvlText w:val="(%1)"/>
      <w:numFmt w:val="lowerLetter"/>
      <w:start w:val="6"/>
    </w:lvl>
    <w:lvl w:ilvl="1">
      <w:lvlJc w:val="left"/>
      <w:lvlText w:val="(%2)"/>
      <w:numFmt w:val="decimal"/>
      <w:start w:val="1"/>
    </w:lvl>
  </w:abstractNum>
  <w:abstractNum w:abstractNumId="31">
    <w:nsid w:val="5E884ADC"/>
    <w:multiLevelType w:val="hybridMultilevel"/>
    <w:lvl w:ilvl="0">
      <w:lvlJc w:val="left"/>
      <w:lvlText w:val="%1"/>
      <w:numFmt w:val="lowerLetter"/>
      <w:start w:val="1"/>
    </w:lvl>
    <w:lvl w:ilvl="1">
      <w:lvlJc w:val="left"/>
      <w:lvlText w:val="(%2)"/>
      <w:numFmt w:val="decimal"/>
      <w:start w:val="4"/>
    </w:lvl>
  </w:abstractNum>
  <w:abstractNum w:abstractNumId="32">
    <w:nsid w:val="51EAD36B"/>
    <w:multiLevelType w:val="hybridMultilevel"/>
    <w:lvl w:ilvl="0">
      <w:lvlJc w:val="left"/>
      <w:lvlText w:val="(%1)"/>
      <w:numFmt w:val="lowerLetter"/>
      <w:start w:val="7"/>
    </w:lvl>
    <w:lvl w:ilvl="1">
      <w:lvlJc w:val="left"/>
      <w:lvlText w:val="(%2)"/>
      <w:numFmt w:val="decimal"/>
      <w:start w:val="1"/>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1)"/>
      <w:numFmt w:val="lowerLetter"/>
      <w:start w:val="3"/>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lowerLetter"/>
      <w:start w:val="3"/>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lowerLetter"/>
      <w:start w:val="2"/>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2019-12-14T05:24:44Z</dcterms:created>
  <dcterms:modified xsi:type="dcterms:W3CDTF">2019-12-14T05:24:44Z</dcterms:modified>
</cp:coreProperties>
</file>