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08" w:lineRule="exact"/>
        <w:rPr>
          <w:sz w:val="24"/>
          <w:szCs w:val="24"/>
          <w:color w:val="auto"/>
        </w:rPr>
      </w:pPr>
    </w:p>
    <w:p>
      <w:pPr>
        <w:sectPr>
          <w:pgSz w:w="11900" w:h="16838" w:orient="portrait"/>
          <w:cols w:equalWidth="0" w:num="2">
            <w:col w:w="2840" w:space="620"/>
            <w:col w:w="790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0-14948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31" w:lineRule="exact"/>
        <w:rPr>
          <w:sz w:val="24"/>
          <w:szCs w:val="24"/>
          <w:color w:val="auto"/>
        </w:rPr>
      </w:pPr>
    </w:p>
    <w:tbl>
      <w:tblPr>
        <w:tblLayout w:type="fixed"/>
        <w:tblInd w:w="460" w:type="dxa"/>
        <w:tblCellMar>
          <w:top w:w="0" w:type="dxa"/>
          <w:left w:w="0" w:type="dxa"/>
          <w:bottom w:w="0" w:type="dxa"/>
          <w:right w:w="0" w:type="dxa"/>
        </w:tblCellMar>
      </w:tblPr>
      <w:tr>
        <w:trPr>
          <w:trHeight w:val="530"/>
        </w:trPr>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43"/>
                <w:szCs w:val="43"/>
                <w:b w:val="1"/>
                <w:bCs w:val="1"/>
                <w:color w:val="auto"/>
                <w:w w:val="91"/>
              </w:rPr>
              <w:t>Fiserv, Inc.</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78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4"/>
                <w:szCs w:val="24"/>
                <w:color w:val="auto"/>
              </w:rPr>
            </w:pPr>
          </w:p>
        </w:tc>
        <w:tc>
          <w:tcPr>
            <w:tcW w:w="4940" w:type="dxa"/>
            <w:vAlign w:val="bottom"/>
            <w:gridSpan w:val="4"/>
          </w:tcPr>
          <w:p>
            <w:pPr>
              <w:jc w:val="center"/>
              <w:ind w:right="3900"/>
              <w:spacing w:after="0"/>
              <w:rPr>
                <w:sz w:val="20"/>
                <w:szCs w:val="20"/>
                <w:color w:val="auto"/>
              </w:rPr>
            </w:pPr>
            <w:r>
              <w:rPr>
                <w:rFonts w:ascii="Arial" w:cs="Arial" w:eastAsia="Arial" w:hAnsi="Arial"/>
                <w:sz w:val="18"/>
                <w:szCs w:val="18"/>
                <w:b w:val="1"/>
                <w:bCs w:val="1"/>
                <w:color w:val="auto"/>
                <w:w w:val="84"/>
              </w:rPr>
              <w:t>Wisconsin</w:t>
            </w:r>
          </w:p>
        </w:tc>
        <w:tc>
          <w:tcPr>
            <w:tcW w:w="1860" w:type="dxa"/>
            <w:vAlign w:val="bottom"/>
            <w:gridSpan w:val="2"/>
          </w:tcPr>
          <w:p>
            <w:pPr>
              <w:jc w:val="center"/>
              <w:ind w:left="864"/>
              <w:spacing w:after="0"/>
              <w:rPr>
                <w:sz w:val="20"/>
                <w:szCs w:val="20"/>
                <w:color w:val="auto"/>
              </w:rPr>
            </w:pPr>
            <w:r>
              <w:rPr>
                <w:rFonts w:ascii="Arial" w:cs="Arial" w:eastAsia="Arial" w:hAnsi="Arial"/>
                <w:sz w:val="18"/>
                <w:szCs w:val="18"/>
                <w:b w:val="1"/>
                <w:bCs w:val="1"/>
                <w:color w:val="auto"/>
                <w:w w:val="87"/>
              </w:rPr>
              <w:t>39-1506125</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2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140" w:type="dxa"/>
            <w:vAlign w:val="bottom"/>
            <w:gridSpan w:val="3"/>
          </w:tcPr>
          <w:p>
            <w:pPr>
              <w:jc w:val="center"/>
              <w:ind w:left="60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2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9"/>
              </w:rPr>
              <w:t>Incorporation or Organization)</w:t>
            </w:r>
          </w:p>
        </w:tc>
        <w:tc>
          <w:tcPr>
            <w:tcW w:w="2140" w:type="dxa"/>
            <w:vAlign w:val="bottom"/>
            <w:gridSpan w:val="3"/>
          </w:tcPr>
          <w:p>
            <w:pPr>
              <w:jc w:val="center"/>
              <w:ind w:left="604"/>
              <w:spacing w:after="0"/>
              <w:rPr>
                <w:sz w:val="20"/>
                <w:szCs w:val="20"/>
                <w:color w:val="auto"/>
              </w:rPr>
            </w:pPr>
            <w:r>
              <w:rPr>
                <w:rFonts w:ascii="Arial" w:cs="Arial" w:eastAsia="Arial" w:hAnsi="Arial"/>
                <w:sz w:val="14"/>
                <w:szCs w:val="14"/>
                <w:b w:val="1"/>
                <w:bCs w:val="1"/>
                <w:color w:val="auto"/>
                <w:w w:val="89"/>
              </w:rPr>
              <w:t>Identification No.)</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80" w:type="dxa"/>
            <w:vAlign w:val="bottom"/>
            <w:gridSpan w:val="3"/>
          </w:tcPr>
          <w:p>
            <w:pPr>
              <w:jc w:val="center"/>
              <w:ind w:left="560"/>
              <w:spacing w:after="0"/>
              <w:rPr>
                <w:sz w:val="20"/>
                <w:szCs w:val="20"/>
                <w:color w:val="auto"/>
              </w:rPr>
            </w:pPr>
            <w:r>
              <w:rPr>
                <w:rFonts w:ascii="Arial" w:cs="Arial" w:eastAsia="Arial" w:hAnsi="Arial"/>
                <w:sz w:val="18"/>
                <w:szCs w:val="18"/>
                <w:b w:val="1"/>
                <w:bCs w:val="1"/>
                <w:color w:val="auto"/>
                <w:w w:val="90"/>
              </w:rPr>
              <w:t>255 Fiserv Dr., Brookfield, WI 53045</w:t>
            </w:r>
          </w:p>
        </w:tc>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60" w:type="dxa"/>
            <w:vAlign w:val="bottom"/>
            <w:gridSpan w:val="4"/>
          </w:tcPr>
          <w:p>
            <w:pPr>
              <w:jc w:val="center"/>
              <w:ind w:right="764"/>
              <w:spacing w:after="0"/>
              <w:rPr>
                <w:sz w:val="20"/>
                <w:szCs w:val="20"/>
                <w:color w:val="auto"/>
              </w:rPr>
            </w:pPr>
            <w:r>
              <w:rPr>
                <w:rFonts w:ascii="Arial" w:cs="Arial" w:eastAsia="Arial" w:hAnsi="Arial"/>
                <w:sz w:val="14"/>
                <w:szCs w:val="14"/>
                <w:b w:val="1"/>
                <w:bCs w:val="1"/>
                <w:color w:val="auto"/>
                <w:w w:val="87"/>
              </w:rPr>
              <w:t>(Address of Principal Executive Offices, Including Zip Code)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80" w:type="dxa"/>
            <w:vAlign w:val="bottom"/>
          </w:tcPr>
          <w:p>
            <w:pPr>
              <w:spacing w:after="0"/>
              <w:rPr>
                <w:sz w:val="22"/>
                <w:szCs w:val="22"/>
                <w:color w:val="auto"/>
              </w:rPr>
            </w:pPr>
          </w:p>
        </w:tc>
        <w:tc>
          <w:tcPr>
            <w:tcW w:w="6420" w:type="dxa"/>
            <w:vAlign w:val="bottom"/>
            <w:gridSpan w:val="5"/>
          </w:tcPr>
          <w:p>
            <w:pPr>
              <w:jc w:val="center"/>
              <w:ind w:left="257"/>
              <w:spacing w:after="0"/>
              <w:rPr>
                <w:sz w:val="20"/>
                <w:szCs w:val="20"/>
                <w:color w:val="auto"/>
              </w:rPr>
            </w:pPr>
            <w:r>
              <w:rPr>
                <w:rFonts w:ascii="Arial" w:cs="Arial" w:eastAsia="Arial" w:hAnsi="Arial"/>
                <w:sz w:val="18"/>
                <w:szCs w:val="18"/>
                <w:b w:val="1"/>
                <w:bCs w:val="1"/>
                <w:color w:val="auto"/>
                <w:w w:val="87"/>
              </w:rPr>
              <w:t>Registrant’s telephone number, including area code: (262) 879-5000</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60" w:type="dxa"/>
            <w:vAlign w:val="bottom"/>
            <w:gridSpan w:val="4"/>
          </w:tcPr>
          <w:p>
            <w:pPr>
              <w:jc w:val="center"/>
              <w:ind w:right="76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Title of Each Class</w:t>
            </w:r>
          </w:p>
        </w:tc>
        <w:tc>
          <w:tcPr>
            <w:tcW w:w="3780" w:type="dxa"/>
            <w:vAlign w:val="bottom"/>
            <w:gridSpan w:val="3"/>
          </w:tcPr>
          <w:p>
            <w:pPr>
              <w:spacing w:after="0"/>
              <w:rPr>
                <w:sz w:val="18"/>
                <w:szCs w:val="18"/>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2"/>
        </w:trPr>
        <w:tc>
          <w:tcPr>
            <w:tcW w:w="3040" w:type="dxa"/>
            <w:vAlign w:val="bottom"/>
            <w:gridSpan w:val="2"/>
          </w:tcPr>
          <w:p>
            <w:pPr>
              <w:ind w:left="880"/>
              <w:spacing w:after="0"/>
              <w:rPr>
                <w:sz w:val="20"/>
                <w:szCs w:val="20"/>
                <w:color w:val="auto"/>
              </w:rPr>
            </w:pPr>
            <w:r>
              <w:rPr>
                <w:rFonts w:ascii="Arial" w:cs="Arial" w:eastAsia="Arial" w:hAnsi="Arial"/>
                <w:sz w:val="18"/>
                <w:szCs w:val="18"/>
                <w:b w:val="1"/>
                <w:bCs w:val="1"/>
                <w:color w:val="auto"/>
                <w:w w:val="90"/>
              </w:rPr>
              <w:t>Common Stock, par value $</w:t>
            </w:r>
          </w:p>
        </w:tc>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0.01 per share</w:t>
            </w: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56"/>
        </w:trPr>
        <w:tc>
          <w:tcPr>
            <w:tcW w:w="1880" w:type="dxa"/>
            <w:vAlign w:val="bottom"/>
          </w:tcPr>
          <w:p>
            <w:pPr>
              <w:spacing w:after="0"/>
              <w:rPr>
                <w:sz w:val="22"/>
                <w:szCs w:val="22"/>
                <w:color w:val="auto"/>
              </w:rPr>
            </w:pPr>
          </w:p>
        </w:tc>
        <w:tc>
          <w:tcPr>
            <w:tcW w:w="6420" w:type="dxa"/>
            <w:vAlign w:val="bottom"/>
            <w:gridSpan w:val="5"/>
          </w:tcPr>
          <w:p>
            <w:pPr>
              <w:jc w:val="center"/>
              <w:ind w:left="25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0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80" w:type="dxa"/>
            <w:vAlign w:val="bottom"/>
            <w:vMerge w:val="restart"/>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30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ind w:left="460"/>
        <w:spacing w:after="0" w:line="207" w:lineRule="exact"/>
        <w:tabs>
          <w:tab w:leader="none" w:pos="2700" w:val="left"/>
          <w:tab w:leader="none" w:pos="4520" w:val="left"/>
          <w:tab w:leader="none" w:pos="6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40" w:firstLine="456"/>
        <w:spacing w:after="0" w:line="259" w:lineRule="auto"/>
        <w:rPr>
          <w:sz w:val="20"/>
          <w:szCs w:val="20"/>
          <w:color w:val="auto"/>
        </w:rPr>
      </w:pPr>
      <w:r>
        <w:rPr>
          <w:rFonts w:ascii="Arial" w:cs="Arial" w:eastAsia="Arial" w:hAnsi="Arial"/>
          <w:sz w:val="18"/>
          <w:szCs w:val="18"/>
          <w:color w:val="auto"/>
        </w:rPr>
        <w:t>The aggregate market value of the common stock of the registrant held by non-affiliates as of June 30, 2009 (the last trading day of the second fiscal quarter) was $6,916,142,865 based on a closing price of $45.71 on the Nasdaq stock market on that date. The number of shares of the registrant’s common stock, $0.01 par value per share, outstanding at February 24, 2010 was 152,320,404.</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240" w:firstLine="456"/>
        <w:spacing w:after="0" w:line="332" w:lineRule="auto"/>
        <w:rPr>
          <w:sz w:val="20"/>
          <w:szCs w:val="20"/>
          <w:color w:val="auto"/>
        </w:rPr>
      </w:pPr>
      <w:r>
        <w:rPr>
          <w:rFonts w:ascii="Arial" w:cs="Arial" w:eastAsia="Arial" w:hAnsi="Arial"/>
          <w:sz w:val="16"/>
          <w:szCs w:val="16"/>
          <w:color w:val="auto"/>
        </w:rPr>
        <w:t>Part III of this report incorporates information by reference to the registrant’s proxy statement for its 2010 annual meeting of shareholders, which proxy statement will be filed with the Securities and Exchange Commission no later than 120 days after the close of the fiscal year ended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6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Risk Factors</w:t>
              </w:r>
            </w:hyperlink>
          </w:p>
        </w:tc>
        <w:tc>
          <w:tcPr>
            <w:tcW w:w="9020" w:type="dxa"/>
            <w:vAlign w:val="bottom"/>
            <w:gridSpan w:val="19"/>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Unresolved Staff Comments</w:t>
              </w:r>
            </w:hyperlink>
          </w:p>
        </w:tc>
        <w:tc>
          <w:tcPr>
            <w:tcW w:w="7900" w:type="dxa"/>
            <w:vAlign w:val="bottom"/>
            <w:gridSpan w:val="1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Legal Proceedings</w:t>
              </w:r>
            </w:hyperlink>
          </w:p>
        </w:tc>
        <w:tc>
          <w:tcPr>
            <w:tcW w:w="8600" w:type="dxa"/>
            <w:vAlign w:val="bottom"/>
            <w:gridSpan w:val="1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Submission of Matters to a Vote of Security Holders</w:t>
              </w:r>
            </w:hyperlink>
          </w:p>
        </w:tc>
        <w:tc>
          <w:tcPr>
            <w:tcW w:w="6220" w:type="dxa"/>
            <w:vAlign w:val="bottom"/>
            <w:gridSpan w:val="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990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Market for Registrant’s Common Equity, Related Stockholder Matters and Issuer Purchases of Equity Securities</w:t>
              </w:r>
            </w:hyperlink>
          </w:p>
        </w:tc>
        <w:tc>
          <w:tcPr>
            <w:tcW w:w="20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9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5660" w:type="dxa"/>
            <w:vAlign w:val="bottom"/>
            <w:gridSpan w:val="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900" w:type="dxa"/>
            <w:vAlign w:val="bottom"/>
            <w:gridSpan w:val="2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8180" w:type="dxa"/>
            <w:vAlign w:val="bottom"/>
            <w:gridSpan w:val="1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Directors, Executive Officers and Corporate Governance</w:t>
              </w:r>
            </w:hyperlink>
          </w:p>
        </w:tc>
        <w:tc>
          <w:tcPr>
            <w:tcW w:w="5900" w:type="dxa"/>
            <w:vAlign w:val="bottom"/>
            <w:gridSpan w:val="7"/>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Executive Compensation</w:t>
              </w:r>
            </w:hyperlink>
          </w:p>
        </w:tc>
        <w:tc>
          <w:tcPr>
            <w:tcW w:w="8140" w:type="dxa"/>
            <w:vAlign w:val="bottom"/>
            <w:gridSpan w:val="1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Security Ownership of Certain Beneficial Owners and Management and Related Stockholder Matters</w:t>
              </w:r>
            </w:hyperlink>
          </w:p>
        </w:tc>
        <w:tc>
          <w:tcPr>
            <w:tcW w:w="278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Certain Relationships and Related Transactions, and Director Independence</w:t>
              </w:r>
            </w:hyperlink>
          </w:p>
        </w:tc>
        <w:tc>
          <w:tcPr>
            <w:tcW w:w="4580" w:type="dxa"/>
            <w:vAlign w:val="bottom"/>
            <w:gridSpan w:val="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9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Exhibits and Financial Statement Schedules</w:t>
              </w:r>
            </w:hyperlink>
          </w:p>
        </w:tc>
        <w:tc>
          <w:tcPr>
            <w:tcW w:w="6820" w:type="dxa"/>
            <w:vAlign w:val="bottom"/>
            <w:gridSpan w:val="10"/>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9900" w:type="dxa"/>
            <w:vAlign w:val="bottom"/>
            <w:gridSpan w:val="2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6"/>
          </w:tcPr>
          <w:p>
            <w:pPr>
              <w:jc w:val="center"/>
              <w:ind w:right="5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objectives or goals are also forward-looking statements. The forward-looking statements in this report involve significant risks and uncertainties, and a number of factors, both foreseen and unforeseen, that could cause actual results to differ materially from our current expectations. The factors that may affect our results include, among others: the impact on our business of the current state of the economy, including the risk of reduction in revenue resulting from the elimination of existing or potential clients due to consolidation or financial failures in the financial services industry or from decreased spending on the products and services we offer; changes in client demand for our products or services; pricing or other actions by competitors; the potential impact of our Fiserv 2.0 initiatives; our ability to comply with government regulations, including privacy regulations; and other factors discussed in this report under the heading “Risk Factors.” We urge you to consider these factors carefully in evaluating forward-looking statements and caution you not to place undue reliance upon forward-looking statements, which speak only as of the date of this report. We undertake no obligation to update forward-looking statements to reflect events or circumstances occurring after the date of this report.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In this report, all references to “we,” “us,” and “our” refer to Fiserv, Inc., a Wisconsin corporation, and, unless the context otherwise requires,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Fiserv, Inc. is a Fortune 500 company that is publicly traded on the NASDAQ Global Select Market. We provide integrated information management and electronic commerce systems and services, including transaction processing, electronic bill payment and presentment, business process outsourcing, document distribution services, and software and systems solutions. We serve approximately 16,000 clients worldwide, including banks and thrifts, credit unions, savings institutions, retailers and merchants, leasing companies, lenders, government agencies, and publicly and privately owned companies, and operate centers in the United States for full-service financial data processing, software system development, item processing and check imaging, technology support and related businesses. Our operations are principally located in the United States. In 2009, we had $4.1 billion in total revenues and $850 million in net cash provided by operating activities from continuing operations. Processing and services revenues, which in 2009 represented approximately 80% of our consolidated revenues, are primarily generated from account and transaction-based fees under contracts that generally have terms of three to five years. In each of 2009, 2008 and 2007, our international operations contributed approximately 5% of total revenues from Argentina, Australia, Canada, China, Colombia, Costa Rica, France, India, Indonesia, Luxembourg, Malaysia, Mexico, the Netherlands, the Philippines, Puerto Rico, Poland, Singapore and the United Kingdom.</w:t>
      </w:r>
    </w:p>
    <w:p>
      <w:pPr>
        <w:spacing w:after="0" w:line="109"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We were formed through the combination of two major regional data processing firms that began as the data processing operations of their parent financial institutions. Since we began, we have grown by developing highly specialized services and product enhancements, adding new clients, and acquiring businesses that complement ours. In 2007, we acquired CheckFree Corporation (“CheckFree”), a leading provider of electronic commerce services and products, including electronic bill payment and Internet banking. The acquisition was the largest in our history and has enabled us to deliver a wide range of integrated products and services and created new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opportunities for growth. We originally incorporated in Delaware in 1984, and reincorporated as a Wisconsin corporation in 1992. Our headquarters are located at 255 Fiserv Drive, Brookfield, Wisconsin 53045, and our telephone number is (262) 879-5000.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We Serve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market for products and services offered by financial institutions is experiencing continuous change. The financial industry regularly introduces and implements new payment, deposit, lending, investment and risk management products, and the distinctions among financial services traditionally offered by banking, thrift and credit union organizations continue to narrow as different types of entities seek to serve the same ultimate customers.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growing volume and types of transactions and payment mechanisms have increased the data processing and other service needs of financial institutions. We believe that financial institutions will be required to continue to invest significant capital and human resources to process transactions and manage information in this rapidly evolving environment. In addition, we believe that economies of scale in developing and maintaining the necessary products and services and in conducting data processing operations are essential to justify the necessary levels of expenditures and commitment of human resources.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number of financial institutions in the United States continues to decline as a result of the current state of the economy as well as other market and regulatory pressures. Consolidation has not, however, resulted in a material reduction in the number of customers or financial accounts serviced by the financial industry as a whole. Our focus on long-term client relationships and recurring, transaction-oriented products and services has reduced the impact that consolidation has on us and our revenue is diversified. Our 50 largest financial institution clients represent less than one quarter of our annual revenue, and our remaining revenue is spread across the balance of our client base. Finally, we have clients that span the entire range of financial institutions in terms of asset size, and we typically enter into multi-year agreements.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anticipate that demand for products that facilitate electronic transactions will continue to increase, which should translate to revenue opportunities for us. As a result, we believe that our sizable and diverse client base combined with our position as a leading provider of non-discretionary, recurring revenue-based products and services gives us a solid foundation for growth. Our ongoing operations are reported in the Financial Institution Services (“Financial”) and Payments and Industry Products (“Payments”) business segments.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businesses in our Financial segment provide financial institutions with the products and services they need to run their banking operations. Many financial institutions that previously developed their own software systems and maintained their own data processing operations have outsourced their data processing requirements by licensing software from third-parties or by contracting with third-party processors. This has allowed them to reduce costs and enhance their products and services. Outsourcing can involve the licensing of software, which reduces the need for costly technical expertise within a financial institution, or the utilization of service bureaus, facilities management or resource management capabilities, which can enhance capacity and capabilities. Within the Financial segment, we provide banks, thrifts and credit unions with account processing services, item processing services, loan origination and servicing products, cash management and consulting services, and other products and services that support numerous types of financial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businesses in our Payments segment primarily provide electronic bill payment and settlement, electronic funds transfer, and debit processing products and services to meet the electronic transaction processing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needs of the financial services industry. Our businesses in this segment also provide card and print personalization services, Internet banking, investment account processing services for separately managed accounts, and fraud and risk management products and services. We believe that the integration of our products and services creates a compelling value proposition for our clients.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Transactions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2009, we completed the sale of our Loan Fulfillment Services business (“Fiserv LFS”) and the sale of the balance of our investment support services business (“Fiserv ISS”). In 2008, we completed the sale of a majority of our health businesses (“Fiserv Health”) to UnitedHealthcare Services, Inc. for approximately $480 million, net of income taxes and transaction costs, as well as the first of the two transactions to dispose of Fiserv ISS by selling Fiserv Trust Company and the accounts of our institutional retirement plan and advisor services operations to TD AMERITRADE Online Holdings, Inc. for approximately $200 million, net of income taxes and transaction costs. We also completed the sale of a 51% interest in substantially all of the businesses in our Insurance segment (“Fiserv Insurance”) to Trident IV, LP.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vision is to be a global leader in transaction-based technology solutions. Our mission is to provide integrated technology and services solutions which enable best-in-class results for our clients. To meet these goals, we continue to implement a series of strategic initiatives that we refer to as “Fiserv 2.0.” We are focused on operating businesses where we have: deep industry expertise that enables us to serve the market with high effectiveness; a strong competitive position, currently or via a clear path in the foreseeable future; long-term, trusted, ongoing client relationships which are not based on one-time transactions; differentiated solutions that deliver higher-than-normal value to our clients through integration and innovation; and strong management to execute strategies in a disciplined manner. Consistent with this focus, we have implemented and continue to execute the following strategic platforms:</w:t>
      </w:r>
    </w:p>
    <w:p>
      <w:pPr>
        <w:spacing w:after="0" w:line="3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Enhanced Client Relationship Value</w:t>
      </w:r>
      <w:r>
        <w:rPr>
          <w:rFonts w:ascii="Arial" w:cs="Arial" w:eastAsia="Arial" w:hAnsi="Arial"/>
          <w:sz w:val="18"/>
          <w:szCs w:val="18"/>
          <w:color w:val="auto"/>
        </w:rPr>
        <w:t>. We plan to increase the number and breadth of our client relationships by, among other matters, continuing to</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our product and services groups, bundling products and services to deliver improved value propositions, and streamlining our service and support processes.</w:t>
      </w:r>
    </w:p>
    <w:p>
      <w:pPr>
        <w:spacing w:after="0" w:line="59"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We expect to acquire businesses when we identify: a compelling strategic need, such as a product, service or technology that helps fill 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market requirement; an opportunity to change market dynamics; a way to achieve business scale; or some similar consideration.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Innovation</w:t>
      </w:r>
      <w:r>
        <w:rPr>
          <w:rFonts w:ascii="Arial" w:cs="Arial" w:eastAsia="Arial" w:hAnsi="Arial"/>
          <w:sz w:val="16"/>
          <w:szCs w:val="16"/>
          <w:color w:val="auto"/>
        </w:rPr>
        <w:t>. We seek to be an innovation leader in all of our key markets, leveraging our assets and capabilities to be at the forefront of our markets.</w:t>
      </w:r>
    </w:p>
    <w:p>
      <w:pPr>
        <w:spacing w:after="0" w:line="11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i w:val="1"/>
          <w:iCs w:val="1"/>
          <w:color w:val="auto"/>
        </w:rPr>
        <w:t>Operational Excellence</w:t>
      </w:r>
      <w:r>
        <w:rPr>
          <w:rFonts w:ascii="Arial" w:cs="Arial" w:eastAsia="Arial" w:hAnsi="Arial"/>
          <w:sz w:val="18"/>
          <w:szCs w:val="18"/>
          <w:color w:val="auto"/>
        </w:rPr>
        <w:t>. We believe we can improve our performance by using the opportunities created by our size and scale. For example, we are using</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buying power and shared utility structures to provide savings.</w:t>
      </w:r>
    </w:p>
    <w:p>
      <w:pPr>
        <w:spacing w:after="0" w:line="51"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i w:val="1"/>
          <w:iCs w:val="1"/>
          <w:color w:val="auto"/>
        </w:rPr>
        <w:t>Capital Discipline</w:t>
      </w:r>
      <w:r>
        <w:rPr>
          <w:rFonts w:ascii="Arial" w:cs="Arial" w:eastAsia="Arial" w:hAnsi="Arial"/>
          <w:sz w:val="16"/>
          <w:szCs w:val="16"/>
          <w:color w:val="auto"/>
        </w:rPr>
        <w:t>. Finally, we intend to make capital allocation decisions that offer the best prospects for our long-term growth and profitability,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among other matters, internal investment, repayment of debt, repurchases of our own shares, capital improvements or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Solutions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information regarding our business segments is included in Note 9 to the consolidated financial statements on page 51.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provide products and services to meet the financial technology needs of banks, credit unions, thrift and savings institutions, and leasing and finance companies. Many of the products and services that we provide are sold as an integrated solution to our clients and include account, lending, and payments processing.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Processing</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provide integrated account servicing and management information functions for our bank, thrift and credit union clients, as well as ancillary value-added products and services that complement the account processing solutions. Account processing solutions are the principal systems that enable a bank to operate and include systems that process customer deposit and loan accounts, an institution’s general ledgers, central information files and other financial information. These solutions also include extensive security, report generation and other features that financial institutions need to process transactions for their depositors and other customers, as well as to meet their regulatory compliance requirements and their own management information needs. Account processing solutions are offered through online data transmission connections to our data processing centers, often called “service bureaus,” or as stand-alone, in-house licensed software for installation on client-owned computer systems. Third party data processing centers also license our software for use in providing services to their clients.</w:t>
      </w:r>
    </w:p>
    <w:p>
      <w:pPr>
        <w:spacing w:after="0" w:line="145"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While many of our clients contract to obtain all or a majority of their data processing requirements from us, the modular design of many of our service bureau and software solutions allows clients to start with one application and, as needed, add applications and features developed by us or by third parties. We support a broad range of terminals and other client-owned peripheral devices manufactured by a variety of vendors. This support capability reduces our clients’ initial conversion expenses, enhances existing clients’ ability to change equipment and broadens our market.</w:t>
      </w:r>
    </w:p>
    <w:p>
      <w:pPr>
        <w:spacing w:after="0" w:line="32" w:lineRule="exact"/>
        <w:rPr>
          <w:sz w:val="20"/>
          <w:szCs w:val="20"/>
          <w:color w:val="auto"/>
        </w:rPr>
      </w:pPr>
    </w:p>
    <w:p>
      <w:pPr>
        <w:ind w:left="900" w:right="2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Bank and Thrift Account Processing Solutions</w:t>
      </w:r>
      <w:r>
        <w:rPr>
          <w:rFonts w:ascii="Arial" w:cs="Arial" w:eastAsia="Arial" w:hAnsi="Arial"/>
          <w:sz w:val="16"/>
          <w:szCs w:val="16"/>
          <w:color w:val="auto"/>
        </w:rPr>
        <w:t>. The principal service bureau solutions used by banks, thrifts and savings institutions are: Premier,</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 Cleartouch, Source One and Precision. We also offer in-house licensed software solutions to our banking clients, including Premier, Signature and Precision. The Signature system is available both domestically and internationally.</w:t>
      </w:r>
    </w:p>
    <w:p>
      <w:pPr>
        <w:spacing w:after="0" w:line="25" w:lineRule="exact"/>
        <w:rPr>
          <w:rFonts w:ascii="Arial" w:cs="Arial" w:eastAsia="Arial" w:hAnsi="Arial"/>
          <w:sz w:val="16"/>
          <w:szCs w:val="16"/>
          <w:color w:val="auto"/>
        </w:rPr>
      </w:pPr>
    </w:p>
    <w:p>
      <w:pPr>
        <w:ind w:left="900" w:right="26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Credit Union Account Processing Solutions</w:t>
      </w:r>
      <w:r>
        <w:rPr>
          <w:rFonts w:ascii="Arial" w:cs="Arial" w:eastAsia="Arial" w:hAnsi="Arial"/>
          <w:sz w:val="16"/>
          <w:szCs w:val="16"/>
          <w:color w:val="auto"/>
        </w:rPr>
        <w:t>. The principal account processing solutions primarily used by credit unions are: Acumen, Advantage,</w:t>
      </w:r>
      <w:r>
        <w:rPr>
          <w:rFonts w:ascii="Arial" w:cs="Arial" w:eastAsia="Arial" w:hAnsi="Arial"/>
          <w:sz w:val="16"/>
          <w:szCs w:val="16"/>
          <w:i w:val="1"/>
          <w:iCs w:val="1"/>
          <w:color w:val="auto"/>
        </w:rPr>
        <w:t xml:space="preserve"> </w:t>
      </w:r>
      <w:r>
        <w:rPr>
          <w:rFonts w:ascii="Arial" w:cs="Arial" w:eastAsia="Arial" w:hAnsi="Arial"/>
          <w:sz w:val="16"/>
          <w:szCs w:val="16"/>
          <w:color w:val="auto"/>
        </w:rPr>
        <w:t>Charlotte, CUBE, CubicsPlus, CUSA, DataSafe, Galaxy, OnCU, Portico, Reliance, Spectrum, and XP2. These solutions are offered in a service bureau environment, as an in-house licensed software system or in both delivery modes.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Processing</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offer item processing solutions to financial institutions and other financial intermediaries. We provide item processing and imaging systems via in-house solutions or in a service bureau environment to account processing clients as well as to those who do not utilize our account processing systems. Our item processing services include source capture solutions via a web-based platform for check image capture at branch, merchant, consumer, and ATM locations. Through the Fiserv Clearing Network, we provide complete check clearing and image exchange services. We provide image archive services with online retrieval and full disaster backup, and a number of check imaging products that enable financial institutions to leverage the processes provided for in the Check Clearing Act of the 21st Century. Our ACH software, PEP+</w:t>
      </w:r>
      <w:r>
        <w:rPr>
          <w:rFonts w:ascii="Arial" w:cs="Arial" w:eastAsia="Arial" w:hAnsi="Arial"/>
          <w:sz w:val="10"/>
          <w:szCs w:val="10"/>
          <w:color w:val="auto"/>
        </w:rPr>
        <w:t>®</w:t>
      </w:r>
      <w:r>
        <w:rPr>
          <w:rFonts w:ascii="Arial" w:cs="Arial" w:eastAsia="Arial" w:hAnsi="Arial"/>
          <w:sz w:val="16"/>
          <w:szCs w:val="16"/>
          <w:color w:val="auto"/>
        </w:rPr>
        <w:t>, enables payments to be originated and received through the ACH system, and, together with our PEP+reACH</w:t>
      </w:r>
      <w:r>
        <w:rPr>
          <w:rFonts w:ascii="Arial" w:cs="Arial" w:eastAsia="Arial" w:hAnsi="Arial"/>
          <w:sz w:val="10"/>
          <w:szCs w:val="10"/>
          <w:color w:val="auto"/>
        </w:rPr>
        <w:t>TM</w:t>
      </w:r>
      <w:r>
        <w:rPr>
          <w:rFonts w:ascii="Arial" w:cs="Arial" w:eastAsia="Arial" w:hAnsi="Arial"/>
          <w:sz w:val="16"/>
          <w:szCs w:val="16"/>
          <w:color w:val="auto"/>
        </w:rPr>
        <w:t xml:space="preserve"> product, allows returned checks, checks at the point-of-sale, and checks sent to a lockbox to be converted to electronic payments. Our account reconciliation software, ARP/SMS</w:t>
      </w:r>
      <w:r>
        <w:rPr>
          <w:rFonts w:ascii="Arial" w:cs="Arial" w:eastAsia="Arial" w:hAnsi="Arial"/>
          <w:sz w:val="10"/>
          <w:szCs w:val="10"/>
          <w:color w:val="auto"/>
        </w:rPr>
        <w:t>TM</w:t>
      </w:r>
      <w:r>
        <w:rPr>
          <w:rFonts w:ascii="Arial" w:cs="Arial" w:eastAsia="Arial" w:hAnsi="Arial"/>
          <w:sz w:val="16"/>
          <w:szCs w:val="16"/>
          <w:color w:val="auto"/>
        </w:rPr>
        <w:t>, is an online, real-time positive pay and reconcilement system that enables clients to monitor deposits and identify duplicate items, which reduces their exposure to check fraud and helps them manage electronic check conversion. Our compliance solutions enable financial institutions, corporations and government agencies to maintain compliance with state and federal regulations applicable to them. We also</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5" w:lineRule="auto"/>
        <w:rPr>
          <w:sz w:val="20"/>
          <w:szCs w:val="20"/>
          <w:color w:val="auto"/>
        </w:rPr>
      </w:pPr>
      <w:r>
        <w:rPr>
          <w:rFonts w:ascii="Arial" w:cs="Arial" w:eastAsia="Arial" w:hAnsi="Arial"/>
          <w:sz w:val="15"/>
          <w:szCs w:val="15"/>
          <w:color w:val="auto"/>
        </w:rPr>
        <w:t>provide consulting services, business operations services and software products that facilitate the transformation of our clients’ payments environment. We enhance a client’s ability to achieve its goals by enabling it to identify, select and implement the most effective and cost-efficient strategies. Finally, we offer traditional item processing services, including image capture, proof of deposit, in-clearings, statements, exception and return processing and fraud detection.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Solutions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lending business offers a variety of products and services to financial institutions and other financial intermediaries, including: loan origination systems, consumer and commercial lease and loan servicing products, and default mitigation and business process outsourcing services; a mortgage loan servicing platform and loan origination and tracking systems; and portfolio analytical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E-Banking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e-banking business is comprised of our online bill payment products and our online banking and cash management products. Financial institutions can offer our bill payment services to consumers either through a hosted application or through various protocols that link online banking applications to our internal billing and payment system. These systems allow our clients’ customers to: manage household bills via an easy-to-use, online tool; view relevant billing and payment information; pay and manage all of their bills at one location; experience the same speed of payment they would normally have at a biller’s site; and conveniently make next-day payments to many of the companies with which they do business. We use our platform to process the vast majority of the payment transactions that we process, which enables us to improve our economies of scale. Once a consumer has accessed the system through a financial institution, he or she can elect to pay an electronic bill delivered by us or can instruct the system to pay any individual or company within the United States. In 2009, we processed more than 1.3 billion online bill payment transactions.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principal online consumer and business banking product is Voyager</w:t>
      </w:r>
      <w:r>
        <w:rPr>
          <w:rFonts w:ascii="Arial" w:cs="Arial" w:eastAsia="Arial" w:hAnsi="Arial"/>
          <w:sz w:val="10"/>
          <w:szCs w:val="10"/>
          <w:color w:val="auto"/>
        </w:rPr>
        <w:t>TM</w:t>
      </w:r>
      <w:r>
        <w:rPr>
          <w:rFonts w:ascii="Arial" w:cs="Arial" w:eastAsia="Arial" w:hAnsi="Arial"/>
          <w:sz w:val="16"/>
          <w:szCs w:val="16"/>
          <w:color w:val="auto"/>
        </w:rPr>
        <w:t>, a software platform upon which we have built a number of software applications to support multiple lines of banking businesses. Using universal standards, Voyager has been designed to be highly scalable to meet the evolving needs of our clients. This structure enables our clients to deploy new Internet-based financial services by adding applications to our platform at any time and by integrating future applications to any Internet connected point-of-presence. We also provide a series of treasury management solutions, including online business banking, commercial cash management, remote deposit, and corporate data exchange, under our BANKLINK</w:t>
      </w:r>
      <w:r>
        <w:rPr>
          <w:rFonts w:ascii="Arial" w:cs="Arial" w:eastAsia="Arial" w:hAnsi="Arial"/>
          <w:sz w:val="10"/>
          <w:szCs w:val="10"/>
          <w:color w:val="auto"/>
        </w:rPr>
        <w:t>®</w:t>
      </w:r>
      <w:r>
        <w:rPr>
          <w:rFonts w:ascii="Arial" w:cs="Arial" w:eastAsia="Arial" w:hAnsi="Arial"/>
          <w:sz w:val="16"/>
          <w:szCs w:val="16"/>
          <w:color w:val="auto"/>
        </w:rPr>
        <w:t xml:space="preserve"> brand.</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Our Mobile Money product provides a variety of mobile banking and payments services, including balance inquiry, transaction history, bill payment and transfers, through a mobile device to our clients and their customers. It enables financial institutions to reach more consumers via the mobile channel than any other single technology solution because it supports all three mobile access modes: browser, text banking, and mobile application.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Output Solutions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output solutions business provides clients with: electronic document management through our electronic document delivery products and services; card manufacturing, personalization and mailing; statement production and mailing; design and fulfillment of direct mail solutions; forms distribution; laser printing and mailing; and office supplies.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Biller Business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consumers will continue to shift their financial transactions from traditional paper-based methods to electronic methods if they have easy-to-access, easy-to-use, secure and cost-effective methods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receiving and paying their bills electronically. In 2009, through our electronic biller services business, we delivered over 320 million electronic bills to consumers through our various distribution channels. Consumers access our electronic billing and payment solutions via numerous hosted channels, including through a financial institution’s Internet portal, through the billers’ Internet sites, and through our biller services internet portal, www.mycheckfree.com. Additionally, consumers can make bill payments, including emergency or expedited payments, through our agent-assisted, Internet or interactive voice response phone tools and at our nationwide walk-in bill payment locations. These diverse services allow the customers of our clients to pay bills wherever and however they feel most comfortable. Furthermore, because our biller clients are able to receive all these services from Fiserv, we can eliminate the operational complexity and expense of supporting multiple vendor solutions or in-house developed solutions. Our electronic biller services business also offers a host of club management and electronic financial transaction services within the health and fitness industry.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Services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Fiserv EFT, a leader in the electronic funds transfer marketplace, provides a total payments solution through a variety of products and services. We offer ATM and point of sale PIN-based debit transaction processing, signature debit processing, ATM driving and monitoring, electronic benefits transfer switching and national and regional network access. We own the ACCEL/Exchange Network and operate approximately 20,000 ATMs. Comprehensive integration with our account processing products and services allows us to drive down costs and leverage efficiencies for our clients through enterprise offerings in areas such as risk management and loyalty rewards. Fiserv EFT’s clients include more than 2,900 banks and credit unions of all asset sizes, resellers (via both business alliance and remarketer agreements), independent sales organizations and merchant acquirers across the United States. In 2009, we processed over seven billion ATM and debit transactions, making us one of the largest financial transaction processors in the nation.</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feature-rich credit products and services fulfill a wide range of bank card, retail, commercial and consumer credit processing requirements through an integrated, full-service credit management solution that utilizes a globally recognized processing platform. Our credit processing system provides credit decisioning, authorization processing, online cardholder account management, customer service case management, letters, card production, statements, targeted marketing programs, collections, and recovery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provide a range of technology platforms and software solutions which assist over 325 firms, including broker dealers, global asset managers, investment advisors, banks and insurance companies, to deliver portfolio management, enhanced trading solutions, performance measurement, reporting services, corporate actions, billing, and trading automation to their clients. Our fee-based investment management clients are typically sponsors or managers in the managed accounts and wealth management market that offer separately managed accounts, unified managed accounts, mutual fund advisory accounts, and investment management products; or global institutional money managers, managing investments of institutions and high net worth individuals. Our primary product is a real-time portfolio management and trading system used by nine of the top ten largest brokerage firms, based on assets under management, and eight of the top ten largest asset managers offering managed accounts. The number of accounts using our market leading platform topped three million for the first time in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risk management business provides a suite of products and services, including financial crime, compliance, anti-money laundering, fraud prevention, market surveillance and employee fraud detection solutions. Our offerings in this market include Fiserv KRM, Fraud Manager, Fraud Detection System, Fraudlink, and Fraudguard.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the Market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mission is to provide integrated technology and services solutions that enable best-in-class results for our clients. The markets for our account and transaction processing services have specific needs and requirements, with strong emphasis placed by clients on flexibility, quality, comprehensiveness and integration of product lines, service reliability, timely introduction of new products and features, cost effectiveness, and service excellence. We believe that our financial strength and primary focus on the financial services industry enhances our ability to meet these needs and service our clients. In addition, we believe that our dedication to providing excellent client service and support no matter the size of the client and our commitment of substantial resources to training and technical support helps us to retain clients. For example, we conduct client training in technology centers, where we maintain fully equipped demonstration and training facilities that contain equipment used in the delivery of our services. We also provide on-site training services and online education to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meet the changing technology needs of our clients, we continually develop, maintain and enhance our products and systems. In 2009, 2008 and 2007, product development expenditures represented approximately 9%, 8% and 7%, respectively, of our total revenues. Our network of development and financial information technology centers apply the expertise of multiple teams to design, develop and maintain specialized processing systems around our multiple technology platforms. The applications of our account processing systems meet the preferences and diverse requirements of the international, national, regional or local market-specific financial service environments of our clients. In developing our products, we stress interaction with and responsiveness to the needs of our clients, including customization of software to meet client needs. We have adopted web services and service-oriented architecture principles in our software development practices so that we and our clients can benefit from the efficient development of technology. We provide dedicated solutions that are designed, developed, maintained and enhanced according to each client’s goals for service quality, business development, asset and liability mix, and local market positioning as well as other user-defined parameters.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regard our transaction processing services and related products and our software as proprietary, and utilize a combination of patent, copyright, trademark and trade secret laws, internal security practices and employee and third party non-disclosure agreements for protection. We believe that legal protection of our software, while important, is less significant than the knowledge and experience of our management and personnel and their ability to develop, enhance and market new products and services. The majority of our patents cover various electronic billing and payment innovations, other financial software products or services, or aspects of our separately managed accounts services. We believe that we possess all proprietary rights necessary to conduct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market for information technology products and services within the financial industry is highly competitive. Our principal competitors include internal data processing departments, data processing affiliates of large companies and large computer hardware manufacturers, independent computer service firms, and processing centers owned and operated as user cooperatives. Some of these competitors possess substantially greater financial, sales and marketing resources than we do. Competition for in-house data processing and software departments is intensified by the efforts of computer hardware vendors which encourage the growth of internal data centers and consulting service providers who assist these departments with the design and implementation of customized software solutions. Our software products compete in several different market segments and geographies, including with large diversified computer software and service companies and independent suppliers of software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Competitive factors for account processing services include product quality, service reliability, product line comprehensiveness and integration, timely introduction of new products and features, and price. We believe that we compete favorably in each of these categories. In addition, we believe that our position as an independent vendor, rather than as a cooperative, an affiliate of a larger corporation or a hardware vendor, is a competitive advantage. We compete with vendors that offer similar transaction processing products and services to financial institutions, including Fidelity National Information Services, Inc., Jack Henry and Associates, Inc., and Open Solutions, Inc. There has been significant consolidation among providers of information technology products and services to financial institutions, and we believe this consolidation will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Fidelity National Information Services, Inc. and Online Resources Corporation compete with us most directly as full service banking, billing and bill payment competitors. A number of other companies compete with us in the electronic transaction processing business, including MasterCard Incorporated, Visa, Inc. and First Data Corporation. In addition, the possibility of billers and financial institutions continuing to use or deciding to create in-house systems to handle their own electronic billing and payment transactions, and their own Internet banking solutions in the case of financial institutions, remains a competitive threat. In-house solutions have been, and will continue to be, an option for our clients and a competitive factor facing our business. We expect competition to continue to increase as new companies enter our markets and existing competitors expand their product lines and services. In addition, many companies that provide outsourced Internet finance solutions are consolidating, creating larger competitors with greater resources and broader product lines. Our investment services business competes primarily with providers of portfolio accounting software and outsourced services and with in-house solutions developed by large financial institutions.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data processing and electronic commerce subsidiaries are generally not directly subject to federal or state regulations specifically applicable to financial institutions such as banks, thrifts and credit unions. However, as a provider of services to these financial institutions, our data processing and electronic commerce operations are examined on a regular basis by the FDIC, the Federal Reserve Bank, the National Credit Union Association, the Office of Thrift Supervision, the Office of the Comptroller of the Currency and various state regulatory authorities. Because we use the Federal Reserve’s ACH network to process many of our transactions, we are subject to the Federal Reserve Board’s rules with respect to its ACH network. In addition, independent auditors annually review many of our operations to provide internal control evaluations for our clients’ auditors and regulators.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conducting our electronic commerce business, we are subject to various laws and regulations relating to the electronic movement of money. In 2001, the USA Patriot Act amended the Bank Secrecy Act to expand the definition of Money Services Businesses (“MSBs”) so that it may include businesses operated by us. To this end, in 2002, CheckFree submitted a request for an administrative ruling from the Financial Crimes Enforcement Network (“FinCEN”) with respect to whether FinCEN views CheckFree as an MSB. To date, we have not received a ruling from FinCEN. If this part of our business is determined to be an MSB, then it will have to register with FinCEN as an MSB and be regulated as such. Also, nearly all states and the District of Columbia have enacted statutes that require entities engaged in money transmission to register with that jurisdiction’s banking department. We have registered with the relevant banking departments. In addition, our electronic commerce business is subject to the regulations of the Office of Foreign Assets Control, the electronic funds transfer rules embodied in Regulation E promulgated by the Federal Reserve Board and, when conducting certain transactions, the Gramm-Leach-Bliley Act. Our walk-in bill payment service provided by CheckFreePay Corporation and its subsidiaries (“CheckFreePay”) is registered as an MSB with FinCEN. In addition, CheckFreePay currently maintains 44 licenses to comply with the various statutes that regulate money transmission mentioned above, and we are subject to annual examinations by such jurisdictions.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From time to time, in order to comply with our obligations under federal and state laws, we may be required to comply with annual reporting or licensing requirements or to implement operating policies and procedures to protect, among other matters, the privacy and security of our clients’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have approximately 20,000 employees, many of whom are specialists in our information management centers and related product and service businesses. This service support network includes employees with backgrounds in computer science and the financial and insurance industries, often complemented by management and other employees with direct experience in banks, thrifts, credit unions, savings institutions, and other financial services environments. Our employees provide expertise in: programming, software development, modification and maintenance; computer operations, network control and technical support; client services and training; business process outsourcing; item and mortgage processing; system conversions; sales and marketing; and account management.</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None of our employees in the United States are represented by a union, and there have been no work stoppages, strikes or, to our knowledge, attempts to organize. The service nature of our business makes our employees an important corporate asset. Although the market for qualified personnel is competitive, we have not experienced significant difficulty with hiring or retaining our staff of top industry professionals. In assessing potential acquisition candidates, the quality and stability of the prospective company’s staff are emphasized.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financial condition or results of operations could be materially and adversely affected and you may lose all or part of your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by U.S. and global market and economic conditions.</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For the foreseeable future, we expect to continue to derive most of our revenue from products and services we provide to the financial services industry. Given this concentration, we are exposed to the current global economic conditions in the financial services industry. A prolonged poor economic environment could result in significant decreases in demand by current and potential clients for our products and services, which could have a material adverse effect on our business, results of operations and financial condition.</w:t>
      </w:r>
    </w:p>
    <w:p>
      <w:pPr>
        <w:spacing w:after="0" w:line="21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Consolidations and failures in the banking and financial services industry could adversely affect our revenues by eliminating existing or potential clients and making us more dependent on a more limited number of clients.</w:t>
      </w:r>
    </w:p>
    <w:p>
      <w:pPr>
        <w:spacing w:after="0" w:line="45"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Many financial institutions are experiencing operating losses, including many of our clients. In some cases, these operating losses have resulted in the failure and/or consolidation of banks and other financial institutions. Failures, mergers and consolidations of financial institutions reduce the number of our clients and potential clients, which could adversely affect our revenues. Further, if our clients fail or merge with or are acquired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other entities that are not our clients, or that use fewer of our services, they may discontinue or reduce their use of our services. It is also possible that the larger banks or financial institutions resulting from mergers or consolidations would have greater leverage in negotiating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operate in a competitive business environment, and if we are unable to compete effectively, our results of operations and financial condition may be adversely affected.</w:t>
      </w:r>
    </w:p>
    <w:p>
      <w:pPr>
        <w:spacing w:after="0" w:line="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market for our services is competitive. Our competitors vary in size and in the scope and breadth of the services they offer. Some of our competitors have substantial resources. Since many of our larger potential clients have historically developed their key applications in-house, we often compete against our potential clients’ in-house capabilities. Our existing large clients may also explore the possibility of internally performing portions of the outsourced services that we provide to them. In addition, we expect that the markets in which we compete will continue to attract new competitors and new technologies, including international providers of similar products and services to ours, having a lower cost structure. We cannot provide any assurance that we will be able to compete successfully against current or future competitors or that competitive pressures faced by us in the markets in which we operate will not materially and adversely affect our business, financial condition and results of operations.</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fail to adapt our products and services to changes in technology or in the marketplace, or if our ongoing efforts to upgrade our technology are not successful, we could lose clients.</w:t>
      </w:r>
    </w:p>
    <w:p>
      <w:pPr>
        <w:spacing w:after="0" w:line="4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markets for our products and services are characterized by constant technological changes, frequent introductions of new products and services and evolving industry standards. Our ability to enhance our current products and services and to develop and introduce innovative products and services that address the increasingly sophisticated needs of our clients and their customers will significantly affect our future success. We may not be successful in developing, marketing or selling new products and services that meet these changing demands. In addition, we may experience difficulties that could delay or prevent the successful development, introduction or marketing of these services, or our new services and their enhancements may not adequately meet the demands of the marketplace or achieve market acceptance. We continually engage in significant efforts to upgrade our products and services. If we are unsuccessful in completing or gaining market acceptance of new technology, it would likely have a material adverse effect on our ability to retain existing clients or attract new ones.</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are unable to renew client contracts at favorable terms, we could lose clients and our results of operations and financial condition may be adversely affected.</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Failure to achieve favorable renewals of client contracts could negatively impact our business. Our contracts with our clients for account processing services generally run for a period of three to five years in our Financial segment and provide for termination fees upon early termination. Our contracts with financial services organizations for electronic commerce services generally provide for terms of two to five years. At the end of the contract term, clients have the opportunity to renegotiate their contracts with us and to consider whether to engage one of our competitors to provide products and services. In addition, it is possible that clients could seek to renegotiate terms with us. If we are not successful in achieving high renewal rates and favorable contract terms, our results of operations and financial condition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for our electronic transaction services is evolving and may not continue to develop or grow rapidly enough to sustain profitability.</w:t>
      </w:r>
    </w:p>
    <w:p>
      <w:pPr>
        <w:spacing w:after="0" w:line="11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number of electronic transactions does not continue to grow or if consumers or businesses do not continue to adopt our services, it could have a material adverse effect on our business, financial condition and results of operations. We believe future growth in the electronic transactions market will be driven by the cost, ease-of-use, and quality of products and services offered to consumers and businesses. In order to consistently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increase and maintain our profitability, consumers and businesses must continue to adopt our services. In addition, if we are unable to continue to decrease the cost of processing transactions, our margins could decrease, which could have a material adverse effect on our business, financial condition and results of operations. Our electronic commerce business also relies on contracts with financial services organizations, businesses, billers, Internet portals and other third parties to provide branding for our electronic commerce services and to market our services to their customers. These contracts are an important source of the growth in demand for our electronic commerce products. If any of these third parties abandons, curtails or insufficiently increases its marketing efforts, it could have a material adverse effect on our business, financial condition and results of operations.</w:t>
      </w:r>
    </w:p>
    <w:p>
      <w:pPr>
        <w:spacing w:after="0" w:line="195"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Our balance sheet includes significant amounts of goodwill and intangible assets. The impairment of a significant portion of these assets would negatively affect our financial results.</w:t>
      </w:r>
    </w:p>
    <w:p>
      <w:pPr>
        <w:spacing w:after="0" w:line="4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balance sheet includes goodwill and intangible assets that represent approximately 75% of our total assets at December 31, 2009. These assets consist primarily of goodwill and identified intangible assets associated with our acquisitions, including significant goodwill and intangible assets associated with our acquisition of CheckFree. On at least an annual basis, we assess whether there have been impairments in the carrying value of goodwill and intangible assets. If the carrying value of the asset is determined to be impaired, then it is written down to fair value by a charge to operating earnings. An impairment of a significant portion of goodwill or intangible assets could materially negatively affect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indemnify the purchasers of businesses pursuant to the terms of the relevant purchase and sale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past several years, we have sold several businesses, including Fiserv Health, Fiserv ISS, Fiserv Insurance, and Fiserv LFS. In connection with these sales, we made representations and warranties about the businesses and their financial affairs and agreed to retain certain liabilities associated with our operation of the businesses prior to their sale. In particular, in connection with the sale of Fiserv ISS, we agreed to retain, or to indemnify the buyers from, certain liabilities associated with our operation of the business prior its sale, including liabilities that relate to legal actions, including class action lawsuits, individual lawsuits and arbitration proceedings, in which plaintiffs, who are owners of self-directed individual retirement accounts for which Fiserv ISS acted as a custodian, allege that we are responsible for the losses caused by Ponzi schemes in which such plaintiffs were involved. Our obligation to indemnify the purchasers and agreement to retain liabilities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sued for infringing the intellectual property rights of others.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Third parties may claim that we are infringing their intellectual property rights. We may violate the rights of others without our knowledge. We may expose ourselves to additional liability if we agree to indemnify our clients against third party infringement claims. If the owner of intellectual property establishes that we are infringing its intellectual property rights, or that our intellectual property rights are invalid, we may be forced to change our products or services, and such changes may be expensive or impractical. We may then be forced to seek royalty or license agreements from the owner of such rights. If we are unable to agree on acceptable terms, we may be required to discontinue the sale of key products or halt other aspects of our operations. In addition, we may also be liable for significant financial damages for a violation of intellectual property rights, and we may incur significant expense in connection with indemnifying our clients against losses suffered by them. Any adverse result related to violation of third party intellectual property rights could materially and adversely harm our business, financial condition and results of operations. Even if intellectual property claims brought against us are without merit, they may result in costly and time consuming litigation, and may divert our management and key personnel from operating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breaches or computer viruses could harm our business by disrupting our delivery of services and damaging our reputation.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receive, process, store and transmit our clients’ and their customers’ sensitive information electronically. Unauthorized access to our computer systems could result in the theft or publication of confidential information or the deletion or modification of records or could otherwise cause interruptions in our operations. These concerns about security are increased when we transmit information over the Internet. Computer viruses can be distributed and rapidly spread over the Internet. Computer viruses could infiltrate our systems, disrupting our delivery of services and making our applications unavailable. Any inability to prevent security breaches or computer viruses could have a negative impact on our reputation, could expose us to liability, could decrease market acceptance of electronic transactions and could cause our present and potential clients to choose another service provider. Any of these developments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leverage may harm our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December 31, 2009, we had approximately $3.6 billion of total long-term debt, including current maturities. We and our subsidiaries may incur additional indebtedness in the future. Our current level of indebtedness and any future increase in our level of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debt and meet our other cash requirements,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 particularly given current and anticipated economic and credit market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acquisition strategy subjects us to risks, including increased debt, assumption of unforeseen liabilities and difficulties in integrating operations.</w:t>
      </w:r>
    </w:p>
    <w:p>
      <w:pPr>
        <w:spacing w:after="0" w:line="11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 major contributor to our growth in revenues and earnings since our inception has been our ability to identify, acquire and integrate complementary businesses. We anticipate that we will continue to seek to acquire complementary businesses, products and services. We may not be able to identify suitable acquisition candidates in the future, which could adversely affect our future growth. Businesses we acquire may not perform as well as expected or be more difficult to integrate and manage than expected, which could adversely affect our business and financial results. We may not be able to fully integrate all aspects of acquired businesses successfully or fully realize the potential benefits of bringing them together. In addition, the process of integrating these acquisitions may disrupt our business and divert our resources.</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These risks may arise for a number of reasons: we may not be able to find suitable businesses to acquire at affordable valuations or on other acceptable terms; we face competition for acquisitions from other potential acquirers; we may need to borrow more money from lenders or sell equity or debt securities to the public to finance future acquisitions and the terms of these financings may be adverse to us; changes in accounting, tax, securities or other regulations could increase the difficulty or cost for us to complete acquisitions;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failures in our outsourcing or transaction processing facilities could harm our business and reputation.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operational failure in our outsourcing or transaction processing facilities could cause us to lose clients. Damage or destruction that interrupts our provision of services could damage our relationship with clients and may cause us to incur substantial additional expense to repair or replace damaged equipment. In addition, we may also be liable to third parties or owe service credits to our clients. A prolonged interruption of our services or network that extends for more than several hours could cause us to experience data loss or a reduction in revenues as a result of such interruption. In addition, a significant interruption of service could have a negative impact on our reputation and could cause our present and potential clients to choose another service provider.</w:t>
      </w:r>
    </w:p>
    <w:p>
      <w:pPr>
        <w:spacing w:after="0" w:line="19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experience software defects, development delays or installation difficulties, which would harm our business and reputation and expose us to potential liability.</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services are based on sophisticated software and computing systems, and we may encounter delays when developing new applications and services. Further, the software underlying our services has occasionally contained and may in the future contain undetected errors or defects when first introduced or when new versions are released. In addition, we may experience difficulties in installing or integrating our technologies on platforms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Misappropriation of our intellectual property and proprietary rights could impair our competitive position.</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Our ability to compete depends upon proprietary systems and technology. We actively seek to protect our proprietary rights. Nevertheless, unauthorized parties may attempt to copy aspects of our services or to obtain and use information that we regard as proprietary. The steps we have taken may not prevent misappropriation of technology. Agreements entered into for that purpose may not be enforceable or provide us with an adequate remedy. Effective patent, trademark, service mark, copyright and trade secret protection may not be available in every country in which our applications and services are made available. Misappropriation of our intellectual property or potential litigation concerning such matters could have a material adverse effect on our results of operations 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applicable regulations our businesses could be harmed.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financial services data processing subsidiaries are not directly subject to federal or state regulations specifically applicable to financial institutions such as banks, thrifts and credit unions. However, as a provider of services to these financial institutions, our data processing operations are examined on a regular basis by various federal and state regulatory authorities. If we fail to comply with any applicable regulations, we could be exposed to suits for breach of contract or to governmental proceedings, our client relationships and reputation could be harmed and we could be inhibited in our ability to obtain new clients. In addition, the future enactment of more restrictive laws or rules on the federal or state level, or, with respect to our international operations, in foreign jurisdictions on the national, provincial, state or other level, could have an adverse impact on our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a series of complex regulations in our walk-in payment business could subject us to liability.</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CheckFreePay is licensed as a money transmitter in those states where such licensure is required. These licenses require us to demonstrate and maintain certain levels of net worth and liquidity and also require us to file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periodic reports. In addition, this business is subject to regulation in the United States by FinCEN, including anti-money laundering regulations and certain restrictions on transactions to or from certain individuals or entities. The complexity of these regulations will continue to increase our cost of doing business. In addition, any violations of law may result in civil or criminal penalties against us and our officers or the prohibition against us providing money transmitter services in particular jurisdictions.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currently operate full-service data centers, software system development centers and item processing and back office support centers in 134 cities. We own 11 buildings, and the remaining 169 locations where we operate our businesses are subject to leases expiring through 2010 and beyond. In addition, we maintain our own national data communication network consisting of communications processors and leased lines. We believe our facilities and equipment are generally well maintained and are in good operating condition. We believe that the computer equipment that we own and our various facilities are adequate for our present and foreseeable business needs. We periodically upgrade our mainframe capability. We maintain our own, and contract with multiple service providers to provide, processing back-up in the event of a disaster. We also maintain copies of data and software used in our business in locations that are separate from our facilities.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normal course of business, we and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fourth quarter of the fiscal year covered by this report, no matter was submitted to a vote of our security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names of our executive officers as of February 26, 2010, together with their ages, positions and business experience are described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520" w:type="dxa"/>
            <w:vAlign w:val="bottom"/>
          </w:tcPr>
          <w:p>
            <w:pPr>
              <w:ind w:left="36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Jeffery W. Yabuki</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95"/>
        </w:trPr>
        <w:tc>
          <w:tcPr>
            <w:tcW w:w="3420" w:type="dxa"/>
            <w:vAlign w:val="bottom"/>
            <w:gridSpan w:val="3"/>
          </w:tcPr>
          <w:p>
            <w:pPr>
              <w:spacing w:after="0"/>
              <w:rPr>
                <w:sz w:val="20"/>
                <w:szCs w:val="20"/>
                <w:color w:val="auto"/>
              </w:rPr>
            </w:pPr>
            <w:r>
              <w:rPr>
                <w:rFonts w:ascii="Arial" w:cs="Arial" w:eastAsia="Arial" w:hAnsi="Arial"/>
                <w:sz w:val="18"/>
                <w:szCs w:val="18"/>
                <w:color w:val="auto"/>
              </w:rPr>
              <w:t>James W. Cox</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Executive Vice President, Corporate Development</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 Gianoni</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Group President, Financial Institutions</w:t>
            </w:r>
          </w:p>
        </w:tc>
        <w:tc>
          <w:tcPr>
            <w:tcW w:w="0" w:type="dxa"/>
            <w:vAlign w:val="bottom"/>
          </w:tcPr>
          <w:p>
            <w:pPr>
              <w:spacing w:after="0"/>
              <w:rPr>
                <w:sz w:val="1"/>
                <w:szCs w:val="1"/>
                <w:color w:val="auto"/>
              </w:rPr>
            </w:pPr>
          </w:p>
        </w:tc>
      </w:tr>
      <w:tr>
        <w:trPr>
          <w:trHeight w:val="295"/>
        </w:trPr>
        <w:tc>
          <w:tcPr>
            <w:tcW w:w="3420" w:type="dxa"/>
            <w:vAlign w:val="bottom"/>
            <w:gridSpan w:val="3"/>
          </w:tcPr>
          <w:p>
            <w:pPr>
              <w:spacing w:after="0"/>
              <w:rPr>
                <w:sz w:val="20"/>
                <w:szCs w:val="20"/>
                <w:color w:val="auto"/>
              </w:rPr>
            </w:pPr>
            <w:r>
              <w:rPr>
                <w:rFonts w:ascii="Arial" w:cs="Arial" w:eastAsia="Arial" w:hAnsi="Arial"/>
                <w:sz w:val="18"/>
                <w:szCs w:val="18"/>
                <w:color w:val="auto"/>
              </w:rPr>
              <w:t>Thomas J. Hirsch</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Executive Vice President, Chief Financial Officer, Treasurer and Assistant Secretary</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Kight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Vice Chairman and Director</w:t>
            </w:r>
          </w:p>
        </w:tc>
        <w:tc>
          <w:tcPr>
            <w:tcW w:w="0" w:type="dxa"/>
            <w:vAlign w:val="bottom"/>
          </w:tcPr>
          <w:p>
            <w:pPr>
              <w:spacing w:after="0"/>
              <w:rPr>
                <w:sz w:val="1"/>
                <w:szCs w:val="1"/>
                <w:color w:val="auto"/>
              </w:rPr>
            </w:pPr>
          </w:p>
        </w:tc>
      </w:tr>
      <w:tr>
        <w:trPr>
          <w:trHeight w:val="295"/>
        </w:trPr>
        <w:tc>
          <w:tcPr>
            <w:tcW w:w="3420" w:type="dxa"/>
            <w:vAlign w:val="bottom"/>
            <w:gridSpan w:val="3"/>
          </w:tcPr>
          <w:p>
            <w:pPr>
              <w:spacing w:after="0"/>
              <w:rPr>
                <w:sz w:val="20"/>
                <w:szCs w:val="20"/>
                <w:color w:val="auto"/>
              </w:rPr>
            </w:pPr>
            <w:r>
              <w:rPr>
                <w:rFonts w:ascii="Arial" w:cs="Arial" w:eastAsia="Arial" w:hAnsi="Arial"/>
                <w:sz w:val="18"/>
                <w:szCs w:val="18"/>
                <w:color w:val="auto"/>
              </w:rPr>
              <w:t>Stephen E. Olsen</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Executive Vice President and Group President, Digital Payments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W. Sprague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95"/>
        </w:trPr>
        <w:tc>
          <w:tcPr>
            <w:tcW w:w="3420" w:type="dxa"/>
            <w:vAlign w:val="bottom"/>
            <w:gridSpan w:val="3"/>
          </w:tcPr>
          <w:p>
            <w:pPr>
              <w:spacing w:after="0"/>
              <w:rPr>
                <w:sz w:val="20"/>
                <w:szCs w:val="20"/>
                <w:color w:val="auto"/>
              </w:rPr>
            </w:pPr>
            <w:r>
              <w:rPr>
                <w:rFonts w:ascii="Arial" w:cs="Arial" w:eastAsia="Arial" w:hAnsi="Arial"/>
                <w:sz w:val="18"/>
                <w:szCs w:val="18"/>
                <w:color w:val="auto"/>
              </w:rPr>
              <w:t>Steven Tait</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Executive Vice President and Group President, Depository Institution Services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 Warsop III</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Group President, Global Sales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Mr. Yabuki </w:t>
      </w:r>
      <w:r>
        <w:rPr>
          <w:rFonts w:ascii="Arial" w:cs="Arial" w:eastAsia="Arial" w:hAnsi="Arial"/>
          <w:sz w:val="18"/>
          <w:szCs w:val="18"/>
          <w:color w:val="auto"/>
        </w:rPr>
        <w:t>has been a director and our President and Chief Executive Officer since 2005. Before joining Fiserv, Mr. Yabuki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Operating Officer for H&amp;R Block, Inc., a financial services firm, from 2002 to 2005. From 2001 to 2002, he served as Executive Vice President of H&amp;R Block and from 1999 to 2001, he served as the President of H&amp;R Block International. From 1987 to 1999, Mr. Yabuki held various executive positions with American Express Company, a financial services firm, including President and Chief Executive Officer of American Express Tax and Business Services, Inc.</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Mr. Cox </w:t>
      </w:r>
      <w:r>
        <w:rPr>
          <w:rFonts w:ascii="Arial" w:cs="Arial" w:eastAsia="Arial" w:hAnsi="Arial"/>
          <w:sz w:val="18"/>
          <w:szCs w:val="18"/>
          <w:color w:val="auto"/>
        </w:rPr>
        <w:t>has served as Executive Vice President, Corporate Development since 2006. From 2003 to 2006, he served as President of our Health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Group, and joined us in 2001 with the acquisition of Trewit, Inc., where he was President. Prior to that, Mr. Cox was a partner in Virchow Krause &amp; Company, LLP, a public accounting and consulting firm.</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Mr. Gianoni </w:t>
      </w:r>
      <w:r>
        <w:rPr>
          <w:rFonts w:ascii="Arial" w:cs="Arial" w:eastAsia="Arial" w:hAnsi="Arial"/>
          <w:sz w:val="16"/>
          <w:szCs w:val="16"/>
          <w:color w:val="auto"/>
        </w:rPr>
        <w:t>has served as Executive Vice President and Group President, Financial Institutions since January 2010. Mr. Gianoni joined Fiserv in 2007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our investment services business. Prior to that, from 2006 to 2007, he served as Executive Vice President of CheckFree Corporation and General Manager, CheckFree Investment Services Division; and, from 1994 to 2005, he was senior vice president of DST Systems, Inc.</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Mr. Hirsch </w:t>
      </w:r>
      <w:r>
        <w:rPr>
          <w:rFonts w:ascii="Arial" w:cs="Arial" w:eastAsia="Arial" w:hAnsi="Arial"/>
          <w:sz w:val="18"/>
          <w:szCs w:val="18"/>
          <w:color w:val="auto"/>
        </w:rPr>
        <w:t>has served as Executive Vice President, Chief Financial Officer and Treasurer since 2006. Mr. Hirsch joined Fiserv in 1994 as a Divisional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Controller, became Corporate Assistant Controller in 1996, Corporate Vice President in 1997, Corporate Controller in 1999 and Senior Vice President and Controller in 2002. Prior to joining us, Mr. Hirsch was an audit manager with Deloitte &amp; Touche LLP.</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Mr. Kight </w:t>
      </w:r>
      <w:r>
        <w:rPr>
          <w:rFonts w:ascii="Arial" w:cs="Arial" w:eastAsia="Arial" w:hAnsi="Arial"/>
          <w:sz w:val="18"/>
          <w:szCs w:val="18"/>
          <w:color w:val="auto"/>
        </w:rPr>
        <w:t>has been a director and Vice Chairman since 2007. Mr. Kight is the founder of CheckFree Corporation and served as its Chairman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1981 until it was acquired by Fiserv in 2007. Mr. Kight has announced that he will resign as Vice Chairman on March 31, 2010, but will remain a director.</w:t>
      </w:r>
    </w:p>
    <w:p>
      <w:pPr>
        <w:spacing w:after="0" w:line="14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i w:val="1"/>
          <w:iCs w:val="1"/>
          <w:color w:val="auto"/>
        </w:rPr>
        <w:t xml:space="preserve">Mr. Olsen </w:t>
      </w:r>
      <w:r>
        <w:rPr>
          <w:rFonts w:ascii="Arial" w:cs="Arial" w:eastAsia="Arial" w:hAnsi="Arial"/>
          <w:sz w:val="16"/>
          <w:szCs w:val="16"/>
          <w:color w:val="auto"/>
        </w:rPr>
        <w:t>has served as Executive Vice President and Group President, Digital Payments since early 2010. Prior to that, he served as President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Banking and Electronic Payments Group from 2007 to 2008 and President of our Depository Institution Services Group from 2008 to 2009. Prior to joining Fiserv, from 1997 to 2007, Mr. Olsen held a variety of positions at CheckFree, most recently as CheckFree’s Chief Operating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Officer. From 1996 to 1997, he served as Vice President, Chief Information Officer of Geac Computer Corporation. And, from 1990 to 1996, Mr. Olsen served as Vice President, Chief Information Officer of Dun &amp; Bradstreet Software.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 xml:space="preserve">Mr. Sprague </w:t>
      </w:r>
      <w:r>
        <w:rPr>
          <w:rFonts w:ascii="Arial" w:cs="Arial" w:eastAsia="Arial" w:hAnsi="Arial"/>
          <w:sz w:val="18"/>
          <w:szCs w:val="18"/>
          <w:color w:val="auto"/>
        </w:rPr>
        <w:t>has served as Executive Vice President, General Counsel and Secretary since 1994. He has been involved with our corporate and legal</w:t>
      </w:r>
      <w:r>
        <w:rPr>
          <w:rFonts w:ascii="Arial" w:cs="Arial" w:eastAsia="Arial" w:hAnsi="Arial"/>
          <w:sz w:val="18"/>
          <w:szCs w:val="18"/>
          <w:i w:val="1"/>
          <w:iCs w:val="1"/>
          <w:color w:val="auto"/>
        </w:rPr>
        <w:t xml:space="preserve"> </w:t>
      </w:r>
      <w:r>
        <w:rPr>
          <w:rFonts w:ascii="Arial" w:cs="Arial" w:eastAsia="Arial" w:hAnsi="Arial"/>
          <w:sz w:val="18"/>
          <w:szCs w:val="18"/>
          <w:color w:val="auto"/>
        </w:rPr>
        <w:t>concerns since we were formed in 1984.</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Mr. Tait </w:t>
      </w:r>
      <w:r>
        <w:rPr>
          <w:rFonts w:ascii="Arial" w:cs="Arial" w:eastAsia="Arial" w:hAnsi="Arial"/>
          <w:sz w:val="18"/>
          <w:szCs w:val="18"/>
          <w:color w:val="auto"/>
        </w:rPr>
        <w:t>has served as Executive Vice President and Group President, Depository Institution Services since January 2010. Prior to that, Mr. Tait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RSM McGladrey Employer Services, Inc., a subsidiary of H&amp;R Block Inc., from 2003 to 2009, and Executive Vice President, Sales &amp; Client Operations of Gartner, Inc., from 2001 to 2003.</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i w:val="1"/>
          <w:iCs w:val="1"/>
          <w:color w:val="auto"/>
        </w:rPr>
        <w:t xml:space="preserve">Mr. Warsop </w:t>
      </w:r>
      <w:r>
        <w:rPr>
          <w:rFonts w:ascii="Arial" w:cs="Arial" w:eastAsia="Arial" w:hAnsi="Arial"/>
          <w:sz w:val="16"/>
          <w:szCs w:val="16"/>
          <w:color w:val="auto"/>
        </w:rPr>
        <w:t>has served as Executive Vice President and Group President, Global Sales since early 2010. Prior to that, he served as President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Institution Services Group from 2007 to 2009. Prior to joining Fiserv in 2007, Mr. Warsop served for 17 years in various capacities, including Vice President, US Financial Services, at Electronic Data Systems Corp. (“EDS”), a publicly-traded global technology services company. He also served as a Vice President with EDS in the United Kingdom and as president of EDS’s Business Process Outsourcing unit in Asia Pacific.</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320" w:firstLine="56"/>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Price Information</w:t>
      </w:r>
    </w:p>
    <w:p>
      <w:pPr>
        <w:spacing w:after="0" w:line="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“FISV.” Set forth below is the high and low sales price of our common stock during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3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March 31</w:t>
            </w:r>
          </w:p>
        </w:tc>
        <w:tc>
          <w:tcPr>
            <w:tcW w:w="37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$39.03</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20" w:type="dxa"/>
            <w:vAlign w:val="bottom"/>
            <w:gridSpan w:val="3"/>
          </w:tcPr>
          <w:p>
            <w:pPr>
              <w:jc w:val="right"/>
              <w:ind w:right="20"/>
              <w:spacing w:after="0"/>
              <w:rPr>
                <w:sz w:val="20"/>
                <w:szCs w:val="20"/>
                <w:color w:val="auto"/>
              </w:rPr>
            </w:pPr>
            <w:r>
              <w:rPr>
                <w:rFonts w:ascii="Arial" w:cs="Arial" w:eastAsia="Arial" w:hAnsi="Arial"/>
                <w:sz w:val="18"/>
                <w:szCs w:val="18"/>
                <w:color w:val="auto"/>
              </w:rPr>
              <w:t>47.14</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35.21</w:t>
            </w:r>
          </w:p>
        </w:tc>
        <w:tc>
          <w:tcPr>
            <w:tcW w:w="500" w:type="dxa"/>
            <w:vAlign w:val="bottom"/>
          </w:tcPr>
          <w:p>
            <w:pPr>
              <w:jc w:val="right"/>
              <w:spacing w:after="0"/>
              <w:rPr>
                <w:sz w:val="20"/>
                <w:szCs w:val="20"/>
                <w:color w:val="auto"/>
              </w:rPr>
            </w:pPr>
            <w:r>
              <w:rPr>
                <w:rFonts w:ascii="Arial" w:cs="Arial" w:eastAsia="Arial" w:hAnsi="Arial"/>
                <w:sz w:val="18"/>
                <w:szCs w:val="18"/>
                <w:color w:val="auto"/>
              </w:rPr>
              <w:t>54.37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50.91</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4220" w:type="dxa"/>
            <w:vAlign w:val="bottom"/>
            <w:gridSpan w:val="3"/>
          </w:tcPr>
          <w:p>
            <w:pPr>
              <w:jc w:val="right"/>
              <w:ind w:right="20"/>
              <w:spacing w:after="0"/>
              <w:rPr>
                <w:sz w:val="20"/>
                <w:szCs w:val="20"/>
                <w:color w:val="auto"/>
              </w:rPr>
            </w:pPr>
            <w:r>
              <w:rPr>
                <w:rFonts w:ascii="Arial" w:cs="Arial" w:eastAsia="Arial" w:hAnsi="Arial"/>
                <w:sz w:val="18"/>
                <w:szCs w:val="18"/>
                <w:color w:val="auto"/>
              </w:rPr>
              <w:t>50.00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45.05</w:t>
            </w:r>
          </w:p>
        </w:tc>
        <w:tc>
          <w:tcPr>
            <w:tcW w:w="500" w:type="dxa"/>
            <w:vAlign w:val="bottom"/>
          </w:tcPr>
          <w:p>
            <w:pPr>
              <w:jc w:val="right"/>
              <w:spacing w:after="0"/>
              <w:rPr>
                <w:sz w:val="20"/>
                <w:szCs w:val="20"/>
                <w:color w:val="auto"/>
              </w:rPr>
            </w:pPr>
            <w:r>
              <w:rPr>
                <w:rFonts w:ascii="Arial" w:cs="Arial" w:eastAsia="Arial" w:hAnsi="Arial"/>
                <w:sz w:val="18"/>
                <w:szCs w:val="18"/>
                <w:color w:val="auto"/>
              </w:rPr>
              <w:t>46.88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December 31, 2009, our common stock was held by 2,901 shareholders of record and by a significantly greater number of shareholders who hold shares in nominee or street name accounts with brokers. The closing sale price of our common stock on February 24, 2010 was $47.69 per share.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of shares of our common stock during the three months ended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Total Number of</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Total Number of</w:t>
            </w:r>
          </w:p>
        </w:tc>
        <w:tc>
          <w:tcPr>
            <w:tcW w:w="400" w:type="dxa"/>
            <w:vAlign w:val="bottom"/>
          </w:tcPr>
          <w:p>
            <w:pPr>
              <w:spacing w:after="0"/>
              <w:rPr>
                <w:sz w:val="11"/>
                <w:szCs w:val="11"/>
                <w:color w:val="auto"/>
              </w:rPr>
            </w:pPr>
          </w:p>
        </w:tc>
        <w:tc>
          <w:tcPr>
            <w:tcW w:w="16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Average Price</w:t>
            </w:r>
          </w:p>
        </w:tc>
        <w:tc>
          <w:tcPr>
            <w:tcW w:w="198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5"/>
              </w:rPr>
              <w:t>Announced Plans or</w:t>
            </w:r>
          </w:p>
        </w:tc>
        <w:tc>
          <w:tcPr>
            <w:tcW w:w="11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76"/>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Shares Purchased</w:t>
            </w:r>
          </w:p>
        </w:tc>
        <w:tc>
          <w:tcPr>
            <w:tcW w:w="4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980" w:type="dxa"/>
            <w:vAlign w:val="bottom"/>
            <w:gridSpan w:val="2"/>
          </w:tcPr>
          <w:p>
            <w:pPr>
              <w:jc w:val="center"/>
              <w:ind w:right="760"/>
              <w:spacing w:after="0" w:line="176" w:lineRule="exact"/>
              <w:rPr>
                <w:sz w:val="20"/>
                <w:szCs w:val="20"/>
                <w:color w:val="auto"/>
              </w:rPr>
            </w:pPr>
            <w:r>
              <w:rPr>
                <w:rFonts w:ascii="Arial" w:cs="Arial" w:eastAsia="Arial" w:hAnsi="Arial"/>
                <w:sz w:val="13"/>
                <w:szCs w:val="13"/>
                <w:b w:val="1"/>
                <w:bCs w:val="1"/>
                <w:color w:val="auto"/>
                <w:w w:val="90"/>
              </w:rPr>
              <w:t>Programs</w:t>
            </w:r>
            <w:r>
              <w:rPr>
                <w:rFonts w:ascii="Arial" w:cs="Arial" w:eastAsia="Arial" w:hAnsi="Arial"/>
                <w:sz w:val="20"/>
                <w:szCs w:val="20"/>
                <w:b w:val="1"/>
                <w:bCs w:val="1"/>
                <w:color w:val="auto"/>
                <w:w w:val="90"/>
                <w:vertAlign w:val="superscript"/>
              </w:rPr>
              <w:t>(1)</w:t>
            </w:r>
          </w:p>
        </w:tc>
        <w:tc>
          <w:tcPr>
            <w:tcW w:w="114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88"/>
              </w:rPr>
              <w:t>Programs</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1-31, 2009</w:t>
            </w:r>
          </w:p>
        </w:tc>
        <w:tc>
          <w:tcPr>
            <w:tcW w:w="14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3,216,312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November 1-30, 2009</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47.48</w:t>
            </w: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2,716,312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1-31, 2009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47.72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1,050,000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color w:val="auto"/>
              </w:rPr>
              <w:t>1,050,000</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purchases shown in the table above were made pursuant to a May 20, 2009 authorization of our board of directors to purchase up to 5 million shares of our common stock. On February 24, 2010, our board of directors authorized the repurchase of up to 5 million additional shares of our common stock. These repurchase authorizations do not expire.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4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following graph compares the cumulative total shareholder return on our common stock for the five years ended December 31, 2009 with the S&amp;P 500 Index and the NASDAQ Computer and Data Processing Services Index. The graph assumes that $100 was invested on December 31, 2004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76835</wp:posOffset>
            </wp:positionV>
            <wp:extent cx="4690745" cy="3721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9074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Fiserv, Inc.</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S&amp;P 500</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105</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Nasdaq Computer and Data Processing Services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363"/>
        </w:trPr>
        <w:tc>
          <w:tcPr>
            <w:tcW w:w="4520" w:type="dxa"/>
            <w:vAlign w:val="bottom"/>
          </w:tcPr>
          <w:p>
            <w:pPr>
              <w:spacing w:after="0"/>
              <w:rPr>
                <w:sz w:val="24"/>
                <w:szCs w:val="24"/>
                <w:color w:val="auto"/>
              </w:rPr>
            </w:pPr>
          </w:p>
        </w:tc>
        <w:tc>
          <w:tcPr>
            <w:tcW w:w="3720" w:type="dxa"/>
            <w:vAlign w:val="bottom"/>
          </w:tcPr>
          <w:p>
            <w:pPr>
              <w:jc w:val="right"/>
              <w:ind w:right="2352"/>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data, which has been affected by acquisitions and dispositions, should be read in conjunction with the consolidated financial statements and accompanying notes included elsewhere in this Annual Report on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4,077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4,587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8,378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9,331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11,846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6,252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6,092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4,105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3,026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2,594</w:t>
            </w: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Our discussion is organized as follows:</w:t>
      </w:r>
    </w:p>
    <w:p>
      <w:pPr>
        <w:spacing w:after="0" w:line="59" w:lineRule="exact"/>
        <w:rPr>
          <w:sz w:val="20"/>
          <w:szCs w:val="20"/>
          <w:color w:val="auto"/>
        </w:rPr>
      </w:pPr>
    </w:p>
    <w:p>
      <w:pPr>
        <w:ind w:left="900" w:right="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w:t>
      </w:r>
      <w:r>
        <w:rPr>
          <w:rFonts w:ascii="Arial" w:cs="Arial" w:eastAsia="Arial" w:hAnsi="Arial"/>
          <w:sz w:val="16"/>
          <w:szCs w:val="16"/>
          <w:color w:val="auto"/>
        </w:rPr>
        <w:t>This section contains a discussion of the accounting policies that we believe are important to our financial condition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and that require judgment and estimates on the part of management in their application. In addition, all of our significant accounting policies, including critical accounting policies, are summarized in Note 1 to the accompanying consolidated financial statements.</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contains an analysis of our results of operations by comparing the results for the year ended December 31, 2009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results for the year ended December 31, 2008, and comparing the results for the year ended December 31, 2008 to the results for the year ended December 31, 2007.</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cash flows and a discussion of our outstanding debt and commitments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consolidated financial statements and accompanying notes have been prepared in accordance with accounting principles generally accepted in the United States of America. The preparation of these financial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statements requires our management to make estimates, judgments and assumptions that affect the reported amount of assets, liabilities, revenues and expenses. We continually evaluate the accounting policies and estimates that we use to prepare our consolidated financial statements. We base our estimates on historical experience and assumptions that we believe are reasonable in light of current circumstances. Actual amounts and results could differ materially from these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Goodwill and Acquired Intangible Assets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required to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We are also required to estimate the useful lives of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review the carrying value of goodwill for impairment annually and whenever events or changes in circumstances indicate the carrying value may not be recoverable. Accounting guidance requires us to perform a two-step impairment test on goodwill. First, we compare the fair value of each reporting unit to its carrying value. We determine the fair value of our reporting units based on the present value of estimated future cash flows and we compare the aggregate fair values to our market capitalization as an assessment of the appropriateness of our fair value measurements. If the fair value of a reporting unit exceeds the carrying value of the unit’s net assets, goodwill is not impaired and further testing is not required. If the carrying value of the reporting unit’s net assets exceeds the fair value of the unit, then we perform the second step of the impairment test to determine the implied fair value of the reporting unit’s goodwill and any impairment charge.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Our most recent impairment assessment in the fourth quarter of 2009 determined that our goodwill was not impaired.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review acquired intangible assets for impairment whenever events or changes in circumstances indicate the carrying amount of the asset may not be recoverable. Recoverability is assessed by comparing the carrying amount of the asset to the undiscounted future cash flows expected to be generated by the asset. Measurement of any impairment loss is based on estimated fair value. Based on our impairment assessments in 2009, we determined that our acquired intangible assets were not impaired.</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Given the significance of our goodwill and intangible asset balances, an adverse change in fair value could result in an impairment charge, which could be material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majority of our revenues are generated from monthly account and transaction-based fees. Deferred revenues consist primarily of advance billings for services. Revenue is recognized as services are provided. Revenues are primarily recognized under service agreements that are long-term in nature, generally three to five years, and that do not require management to make significant judgments or assumptions. Given the nature of our business and the rules governing revenue recognition, our revenue recognition practices do not involve significant estimates that materially affect our results of operations. Additional information about our revenue recognition policies is included in Note 1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participate in, nor have we created, any off-balance sheet variable interest entities or other off-balance sheet financing, other than operating leases. We use derivative financial instruments for managing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exposure to changes in interest rates, managing our ratio of fixed to floating-rate debt and foreign exchange rate risks. We do not enter into any derivative financial instruments for speculative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ongoing operations are comprised of the Financial Institution Services (“Financial”) segment, Payments and Industry Products (“Payments”) segment and Corporate and Other segment. The Financial segment provides banks, thrifts and credit unions with account processing services, item processing services, loan origination and servicing products, cash management and consulting services, and other products and services that support numerous types of financial transactions. The Payments segment primarily provides electronic bill payment and settlement, electronic funds transfer, and debit processing products and services to meet the electronic transaction processing needs of the financial services industry. Our businesses in this segment also provide card and print personalization services, Internet banking, investment account processing services for separately managed accounts, and fraud and risk management products and services. The Corporate and Other segment primarily consists of unallocated corporate overhead expenses, amortization of acquisition-related intangible assets and intercompany eliminations. In July 2008, we completed the sale of a 51% interest in substantially all of the businesses in the Insurance Services (“Insurance”)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Revenues and Expenses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summary describes the components of revenues and expenses as presented in our consolidated statements of income. A description of our revenue recognition policies is included in Note 1 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Processing and services revenues, which in 2009 represented approximately 80% of our consolidated revenues, are primarily generated from account and transaction-based fees under contracts that generally have terms of three to five years. Revenue is recognized when the related transactions are processed and services have been performed. Processing and services revenues are most reflective of our business performance because a significant amount of our total operating profit is generated by these services. Cost of processing and services includes costs directly associated with providing services to clients and includes the following: personnel; equipment and data communication; infrastructure costs, including costs to maintain applications; client support; depreciation and amortization; and other operating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Product revenues, which in 2009 represented approximately 20% of our consolidated revenues, are primarily derived from integrated print and card production (15%) and software licenses (5%). Cost of product includes costs directly associated with the products sold and includes the following: costs of materials; personnel; infrastructure costs; depreciation and amortization; and other costs directly associated with product revenue. Prior to our sale of a 51% interest in substantially all of the businesses in our Insurance segment (“Fiserv Insurance”) on July 14, 2008, product revenues and cost of product also included prescription related items which were recognized on a gross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Selling, general and administrative expenses primarily consist of: salaries, wages and related expenses paid to sales personnel, administrative employees and management; advertising and promotional costs; depreciation and amortization; and other selling and administrative expenses.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revenues and the change in those amounts from year to year. This information should be read together with the consolidated financial statements and accompanying notes.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2"/>
                <w:szCs w:val="12"/>
                <w:color w:val="auto"/>
              </w:rPr>
            </w:pPr>
          </w:p>
        </w:tc>
        <w:tc>
          <w:tcPr>
            <w:tcW w:w="1840" w:type="dxa"/>
            <w:vAlign w:val="bottom"/>
            <w:gridSpan w:val="5"/>
          </w:tcPr>
          <w:p>
            <w:pPr>
              <w:jc w:val="center"/>
              <w:ind w:left="276"/>
              <w:spacing w:after="0" w:line="142" w:lineRule="exact"/>
              <w:rPr>
                <w:sz w:val="20"/>
                <w:szCs w:val="20"/>
                <w:color w:val="auto"/>
              </w:rPr>
            </w:pPr>
            <w:r>
              <w:rPr>
                <w:rFonts w:ascii="Arial" w:cs="Arial" w:eastAsia="Arial" w:hAnsi="Arial"/>
                <w:sz w:val="11"/>
                <w:szCs w:val="11"/>
                <w:b w:val="1"/>
                <w:bCs w:val="1"/>
                <w:color w:val="auto"/>
              </w:rPr>
              <w:t>Percentage of Revenue</w:t>
            </w:r>
            <w:r>
              <w:rPr>
                <w:rFonts w:ascii="Arial" w:cs="Arial" w:eastAsia="Arial" w:hAnsi="Arial"/>
                <w:sz w:val="16"/>
                <w:szCs w:val="16"/>
                <w:b w:val="1"/>
                <w:bCs w:val="1"/>
                <w:color w:val="auto"/>
                <w:vertAlign w:val="superscript"/>
              </w:rPr>
              <w:t>(1)</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Increase (Decrease)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w w:val="91"/>
              </w:rPr>
              <w:t>2009 vs. 2008</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w w:val="91"/>
              </w:rPr>
              <w:t>2008 vs. 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Processing and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3,329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3,464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2,448</w:t>
            </w:r>
          </w:p>
        </w:tc>
        <w:tc>
          <w:tcPr>
            <w:tcW w:w="3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75.5%</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(135)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3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12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(375)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4,077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4,587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3,677</w:t>
            </w:r>
          </w:p>
        </w:tc>
        <w:tc>
          <w:tcPr>
            <w:tcW w:w="3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(510)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910</w:t>
            </w:r>
          </w:p>
        </w:tc>
        <w:tc>
          <w:tcPr>
            <w:tcW w:w="34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420"/>
              <w:spacing w:after="0"/>
              <w:rPr>
                <w:sz w:val="20"/>
                <w:szCs w:val="20"/>
                <w:color w:val="auto"/>
              </w:rPr>
            </w:pPr>
            <w:r>
              <w:rPr>
                <w:rFonts w:ascii="Arial" w:cs="Arial" w:eastAsia="Arial" w:hAnsi="Arial"/>
                <w:sz w:val="18"/>
                <w:szCs w:val="18"/>
                <w:color w:val="auto"/>
              </w:rPr>
              <w:t>Cost of processing and services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1,449</w:t>
            </w:r>
          </w:p>
        </w:tc>
        <w:tc>
          <w:tcPr>
            <w:tcW w:w="3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56.3%</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59.2%</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Cost of product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w:t>
            </w:r>
          </w:p>
        </w:tc>
        <w:tc>
          <w:tcPr>
            <w:tcW w:w="12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81.7%</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79.7%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(381)</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gridSpan w:val="3"/>
            <w:vMerge w:val="restart"/>
          </w:tcPr>
          <w:p>
            <w:pPr>
              <w:ind w:left="4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2,866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2,428</w:t>
            </w:r>
          </w:p>
        </w:tc>
        <w:tc>
          <w:tcPr>
            <w:tcW w:w="3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62.5%</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66.0%</w:t>
            </w: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(486)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2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17.7%</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3,679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2,941</w:t>
            </w:r>
          </w:p>
        </w:tc>
        <w:tc>
          <w:tcPr>
            <w:tcW w:w="3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80.2%</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(548)</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738</w:t>
            </w:r>
          </w:p>
        </w:tc>
        <w:tc>
          <w:tcPr>
            <w:tcW w:w="3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12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19.8%</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(2.1%)</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2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Loss on sale of businesses</w:t>
            </w:r>
          </w:p>
        </w:tc>
        <w:tc>
          <w:tcPr>
            <w:tcW w:w="100" w:type="dxa"/>
            <w:vAlign w:val="bottom"/>
          </w:tcPr>
          <w:p>
            <w:pPr>
              <w:spacing w:after="0"/>
              <w:rPr>
                <w:sz w:val="19"/>
                <w:szCs w:val="19"/>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Income from continuing operations before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and income from</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2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percentage of revenue is calculated as the relevant revenue, expense, income or loss amount divided by total revenues, except for cost of processing and services and cost of product amounts which are divided by the related component of revenues.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4"/>
              </w:rPr>
              <w:t>Years Ended December 31,</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Financial</w:t>
            </w:r>
          </w:p>
        </w:tc>
        <w:tc>
          <w:tcPr>
            <w:tcW w:w="2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5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3700" w:type="dxa"/>
            <w:vAlign w:val="bottom"/>
          </w:tcPr>
          <w:p>
            <w:pPr>
              <w:spacing w:after="0"/>
              <w:rPr>
                <w:sz w:val="18"/>
                <w:szCs w:val="18"/>
                <w:color w:val="auto"/>
              </w:rPr>
            </w:pP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1,942</w:t>
            </w:r>
          </w:p>
        </w:tc>
        <w:tc>
          <w:tcPr>
            <w:tcW w:w="48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2,160</w:t>
            </w:r>
          </w:p>
        </w:tc>
        <w:tc>
          <w:tcPr>
            <w:tcW w:w="16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w:t>
            </w:r>
          </w:p>
        </w:tc>
        <w:tc>
          <w:tcPr>
            <w:tcW w:w="3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1,992</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4,587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2007</w:t>
            </w:r>
          </w:p>
        </w:tc>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1,830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3,677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w:t>
            </w: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growth (decline)</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79"/>
              </w:rPr>
              <w:t>24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3700" w:type="dxa"/>
            <w:vAlign w:val="bottom"/>
          </w:tcPr>
          <w:p>
            <w:pPr>
              <w:ind w:left="20"/>
              <w:spacing w:after="0"/>
              <w:rPr>
                <w:sz w:val="20"/>
                <w:szCs w:val="20"/>
                <w:color w:val="auto"/>
              </w:rPr>
            </w:pPr>
            <w:r>
              <w:rPr>
                <w:rFonts w:ascii="Arial" w:cs="Arial" w:eastAsia="Arial" w:hAnsi="Arial"/>
                <w:sz w:val="18"/>
                <w:szCs w:val="18"/>
                <w:color w:val="auto"/>
              </w:rPr>
              <w:t>Revenue growth (decline) percentage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w:t>
            </w: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growth (decline)</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3700" w:type="dxa"/>
            <w:vAlign w:val="bottom"/>
          </w:tcPr>
          <w:p>
            <w:pPr>
              <w:ind w:left="20"/>
              <w:spacing w:after="0"/>
              <w:rPr>
                <w:sz w:val="20"/>
                <w:szCs w:val="20"/>
                <w:color w:val="auto"/>
              </w:rPr>
            </w:pPr>
            <w:r>
              <w:rPr>
                <w:rFonts w:ascii="Arial" w:cs="Arial" w:eastAsia="Arial" w:hAnsi="Arial"/>
                <w:sz w:val="18"/>
                <w:szCs w:val="18"/>
                <w:color w:val="auto"/>
              </w:rPr>
              <w:t>Revenue growth (decline) percentage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Total revenues decreased $510 million, or 11%, in 2009 compared to 2008, and increased $910 million, or 25%, in 2008 compared to 2007. The decrease in total revenues in 2009 compared to 2008 was primarily due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sale of a 51% interest in Fiserv Insurance in July 2008, which resulted in a decrease of $513 million, or 11%. As a result of this transaction, the revenues of Fiserv Insurance are no longer included in our consolidated revenues beginning July 15, 2008. In addition, 2009 revenues were impacted by a 1% increase in revenues in our Payments segment and a 3% decline in revenues in our Financial segment. Incremental revenue from acquired companies totaled $27 million, or approximately 1%, in 2009. The increase in total revenues in 2008 compared to 2007 was primarily the result of increased processing and services revenues from our acquisition of CheckFree Corporation (“CheckFree”) in December 2007, partially offset by decreased revenues in our Insurance segment as a result of the sale of a 51% interest in Fiserv Insurance.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Revenues in our Financial segment decreased $50 million, or 3%, in 2009 and increased $162 million, or 9%, in 2008 compared to the prior year periods. Financial segment revenues in 2009 were negatively impacted by 2 percentage points, or $35 million, due to lower contract termination fee revenues, which declined from $42 million in 2008 to $7 million in 2009. The businesses in our Financial segment generally enter into three to five year contracts with clients that contain early contract termination fees. These fees are primarily generated when an existing client is acquired by another financial institution and can vary significantly from period to period based on the number and size of clients that are acquired and how early in the contract term a contract is terminated. In addition, revenues in our Financial segment were negatively impacted by lower discretionary spending by our financial institution clients and a decline in item processing revenues. The increase in Financial segment revenues in 2008 compared to 2007 was primarily due to incremental processing and services revenues from our acquisition of CheckFree.</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Revenues in our Payments segment increased $29 million, or 1%, in 2009 and increased $1.06 billion, or 99%, in 2008 compared to the prior year periods. The revenue growth in our Payments segment during 2009 was primarily driven by new clients and increased transaction volumes from existing clients in our bill payment and electronic funds transfer businesses, partially offset by revenue declines in our investment services business from a reduction in the number of accounts processed as a result of the volatility in the U.S. equity markets and a decline in product revenues due primarily to lower software license revenues. Revenue increases in our Payments segment during 2008 were primarily due to incremental processing and services revenue from our acquisition of CheckFree.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Expenses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expenses decreased $548 million, or 15%, in 2009 and increased $738 million, or 25%, in 2008 compared to the prior year periods. The decrease in total expenses in 2009 compared to 2008 was primarily due to our sale of a 51% interest in Fiserv Insurance in July 2008, which resulted in a decrease in total expenses of $469 million, or 13%. The increase in total expenses in 2008 compared to 2007 was primarily the result of our acquisition of CheckFree, partially offset by decreased expenses due to the sale of a 51% interest in Fiserv Insurance.</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Cost of processing and services as a percentage of processing and services revenue decreased to 55.4% in 2009 from 56.3% in 2008 and 59.2% in 2007. The decreases in both 2009 and 2008 compared to the prior years were favorably impacted by overall improvements in operating efficiencies as a result of improved business mix and the implementation of strategic initiatives that lowered our overall cost structure. The decrease in 2008 as compared to 2007 was primarily due to higher-margin processing revenues associated with our acquisition of CheckFree.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of product as a percentage of product revenue was 71.7% in 2009 compared to 81.7% in 2008 and 79.7% in 2007. The lower percentage of revenue in 2009 compared to 2008 and 2007 was primarily due to our sale of a 51% interest in Fiserv Insurance, which generated historical overall operating margins of less than 10 percent primarily due to the inclusion of prescription product costs in both product revenues and cost of product. Prescription product costs totaled $312 million and $449 million in 2008 and 2007, respectively, compared to no such costs in 2009.</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Selling, general and administrative expenses decreased $62 million, or 8%, in 2009 and increased $300 million, or 58%, in 2008 compared to the prior year periods. The decrease in 2009 compared to 2008 was impacted by a decrease of $36 million, or 4%, from our sale of a 51% interest in Fiserv Insurance. In addition, the decline in selling, general and administrative expenses in 2009 was due to a $36 million positive impact resulting from lower merger related expenses and the reversal of a pre-acquisition liability associated with our acquisition of CheckFree, partially offset by a $20 million increase in employee severance and related expenses. The increase in 2008 compared to 2007 was primarily due to our acquisition of CheckFree, including increases in amortization expense for acquired intangible assets and merger related expenses, partially offset by a decrease in expenses from our sale of a 51% interest in Fiserv Insurance.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Insurance</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2009</w:t>
            </w:r>
          </w:p>
        </w:tc>
        <w:tc>
          <w:tcPr>
            <w:tcW w:w="2500" w:type="dxa"/>
            <w:vAlign w:val="bottom"/>
          </w:tcPr>
          <w:p>
            <w:pPr>
              <w:spacing w:after="0"/>
              <w:rPr>
                <w:sz w:val="18"/>
                <w:szCs w:val="18"/>
                <w:color w:val="auto"/>
              </w:rPr>
            </w:pPr>
          </w:p>
        </w:tc>
        <w:tc>
          <w:tcPr>
            <w:tcW w:w="16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946</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908</w:t>
            </w: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2007</w:t>
            </w: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736</w:t>
            </w: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growth (decline):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2009</w:t>
            </w:r>
          </w:p>
        </w:tc>
        <w:tc>
          <w:tcPr>
            <w:tcW w:w="2500" w:type="dxa"/>
            <w:vAlign w:val="bottom"/>
          </w:tcPr>
          <w:p>
            <w:pPr>
              <w:spacing w:after="0"/>
              <w:rPr>
                <w:sz w:val="18"/>
                <w:szCs w:val="18"/>
                <w:color w:val="auto"/>
              </w:rPr>
            </w:pPr>
          </w:p>
        </w:tc>
        <w:tc>
          <w:tcPr>
            <w:tcW w:w="16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2009 percentage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2008</w:t>
            </w:r>
          </w:p>
        </w:tc>
        <w:tc>
          <w:tcPr>
            <w:tcW w:w="2500" w:type="dxa"/>
            <w:vAlign w:val="bottom"/>
          </w:tcPr>
          <w:p>
            <w:pPr>
              <w:spacing w:after="0"/>
              <w:rPr>
                <w:sz w:val="18"/>
                <w:szCs w:val="18"/>
                <w:color w:val="auto"/>
              </w:rPr>
            </w:pPr>
          </w:p>
        </w:tc>
        <w:tc>
          <w:tcPr>
            <w:tcW w:w="16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172</w:t>
            </w: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2008 percentage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23.2%</w:t>
            </w:r>
          </w:p>
        </w:tc>
      </w:tr>
      <w:tr>
        <w:trPr>
          <w:trHeight w:val="216"/>
        </w:trPr>
        <w:tc>
          <w:tcPr>
            <w:tcW w:w="20" w:type="dxa"/>
            <w:vAlign w:val="bottom"/>
          </w:tcPr>
          <w:p>
            <w:pPr>
              <w:spacing w:after="0"/>
              <w:rPr>
                <w:sz w:val="18"/>
                <w:szCs w:val="18"/>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2008</w:t>
            </w: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19.8%</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20.0%</w:t>
            </w: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margin growth (decline):</w:t>
            </w:r>
            <w:r>
              <w:rPr>
                <w:rFonts w:ascii="Arial" w:cs="Arial" w:eastAsia="Arial" w:hAnsi="Arial"/>
                <w:sz w:val="11"/>
                <w:szCs w:val="11"/>
                <w:color w:val="auto"/>
              </w:rPr>
              <w:t>(1)</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22"/>
        </w:trPr>
        <w:tc>
          <w:tcPr>
            <w:tcW w:w="20" w:type="dxa"/>
            <w:vAlign w:val="bottom"/>
          </w:tcPr>
          <w:p>
            <w:pPr>
              <w:spacing w:after="0"/>
              <w:rPr>
                <w:sz w:val="19"/>
                <w:szCs w:val="19"/>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auto"/>
              </w:rPr>
              <w:t>2008</w:t>
            </w:r>
          </w:p>
        </w:tc>
        <w:tc>
          <w:tcPr>
            <w:tcW w:w="2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percentage point improvement or decline in operating margin.</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Total operating income increased $38 million, or 4%, in 2009 compared to 2008. Operating margin increased to 23.2% in 2009 from 19.8% in 2008. Operating margins improved by 340 basis points in 2009 due primarily to strong operating margin expansion in both the Financial and Payments segments, the implementation of strategic initiatives that lowered our overall cost structure, lower merger and integration costs associated with our acquisition of CheckFree, and the sale of a 51% interest in Fiserv Insurance, which historically generated lower operating margins. These positive factors were partially offset by decreases in higher-margin contract termination fees.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Total operating income increased $172 million, or 23%, in 2008 compared to 2007. Operating margin decreased to 19.8% in 2008 from 20.0% in 2007. The overall increase in operating income during 2008 was primarily due to our acquisition of CheckFree in December 2007. Our operating margin in 2008 of 19.8% was negatively impacted by an increase in amortization expense for acquired intangible assets and merger and integration costs associated with our acquisition of CheckFree, and by declining operating margins in the Insurance segment, partially offset by strong results in our Payments segment.</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Operating income in our Financial segment increased $24 million, or 4%, in 2009 and $39 million, or 8%, in 2008 compared to the prior year periods. Operating margins were 29.3%, 27.4% and 27.6% in 2009, 2008 and 2007, respectively, and increased 190 basis points in 2009 and declined 20 basis points in 2008. The improvements in operating income and operating margin in 2009 were primarily due to overall improvements in operating efficiencies, cost reductions, improved business mix, and scale efficiencies in our bank and credit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union account processing businesses. These positive factors were partially offset by the negative impact of a $35 million decrease in higher-margin contract termination fee revenues. The increase in operating income during 2008 was primarily due to our acquisition of CheckFree in December 2007.</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Operating income in our Payments segment increased $38 million, or 7%, in 2009 and $326 million, or 129%, in 2008 compared to the prior year periods. Operating margins were 28.6%, 27.2% and 23.6% in 2009, 2008 and 2007, respectively, and increased 140 basis points in 2009 and 360 basis points in 2008. The Payments segment operating income and margin in 2009 and 2008 were positively impacted by cost savings associated with the integration of CheckFree and growth in higher-margin revenues resulting in improved operating leverage and scale efficiencies in our transaction processing electronic payments businesses, partially offset by a decline in software license revenues in 2009. In addition, the increases in operating income and margin in 2008 compared to 2007 were impacted by higher-margin revenues associated with our acquisition of CheckFree.</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operating loss in our Corporate and Other segment decreased $20 million in 2009 and increased $159 million in 2008 compared to the prior year periods. The operating loss decrease in 2009 compared to 2008 was primarily due to a $36 million positive impact resulting from lower merger related expenses and the reversal of a pre-acquisition liability associated with our acquisition of CheckFree, partially offset by a $20 million increase in employee severance and related expenses and increased spending for several company-wide initiatives in 2009. The operating loss increase in 2008 compared to 2007 was primarily due to our acquisition of CheckFree resulting in increases in amortization expense for acquired intangible assets of $117 million and merger related expenses of $29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Interest expense was $220 million, $260 million and $76 million in 2009, 2008 and 2007, respectively. The $40 million decrease in interest expense in 2009 was primarily due to decreases in total outstanding borrowings and interest rates during 2009 compared to 2008. The $184 million increase in interest expense in 2008 was primarily due to new senior term loan and senior notes borrowings in the fourth quarter of 2007 to finance our $4.4 billion acquisition of CheckFree.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 income was $8 million, $13 million and $7 million in 2009, 2008 and 2007, respectively. Interest income in 2008 was higher than 2009 and 2007 due primarily to interest income earned from investing the proceeds of several business dispositions.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Businesses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2008, we recognized a $21 million pre-tax loss due to our sale of a 51% interest in Fiserv Insurance.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effective income tax rate for continuing operations was 37.2% in 2009, 44.9% in 2008, and 38.2% in 2007. The higher effective income tax rate in 2008 was due primarily to income taxes associated with our sale of a 51% interest in Fiserv Insurance. In addition, our effective income tax rate in 2009 includes the positive impact of a tax settlement. The significant items impacting our effective income tax rates for continuing operations were as follows: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68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620" w:type="dxa"/>
            <w:vAlign w:val="bottom"/>
          </w:tcPr>
          <w:p>
            <w:pPr>
              <w:spacing w:after="0"/>
              <w:rPr>
                <w:sz w:val="12"/>
                <w:szCs w:val="12"/>
                <w:color w:val="auto"/>
              </w:rPr>
            </w:pPr>
          </w:p>
        </w:tc>
        <w:tc>
          <w:tcPr>
            <w:tcW w:w="3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state and foreign income tax provisions, net</w:t>
            </w: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38.1%</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38.3%</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38.2%</w:t>
            </w: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Sale of Fiserv Insurance</w:t>
            </w:r>
            <w:r>
              <w:rPr>
                <w:rFonts w:ascii="Arial" w:cs="Arial" w:eastAsia="Arial" w:hAnsi="Arial"/>
                <w:sz w:val="11"/>
                <w:szCs w:val="11"/>
                <w:color w:val="auto"/>
              </w:rPr>
              <w:t>(1)</w:t>
            </w:r>
          </w:p>
        </w:tc>
        <w:tc>
          <w:tcPr>
            <w:tcW w:w="100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6.6%</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settlement</w:t>
            </w:r>
            <w:r>
              <w:rPr>
                <w:rFonts w:ascii="Arial" w:cs="Arial" w:eastAsia="Arial" w:hAnsi="Arial"/>
                <w:sz w:val="11"/>
                <w:szCs w:val="11"/>
                <w:color w:val="auto"/>
              </w:rPr>
              <w:t>(2)</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4"/>
              </w:rPr>
              <w:t>(0.9%)</w:t>
            </w:r>
          </w:p>
        </w:tc>
        <w:tc>
          <w:tcPr>
            <w:tcW w:w="9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37.2%</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44.9%</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3"/>
              </w:rPr>
              <w:t>38.2%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$34 million income tax provision related to our sale of a 51% interest in Fiserv Insurance.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 $7 million income tax benefit recognized in conjunction with the final settlement of a CheckFree purchase accounting income tax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Investment in Unconsolidated Affiliate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Beginning in July 2008, we record our 49% share of Fiserv Insurance’s net income, $12 million in 2009 and $6 million in 2008, as income from investment in unconsolidated affiliate.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Income from discontinued operations totaled $3 million, $211 million and $27 million in 2009, 2008 and 2007, respectively. Income from discontinued operations includes after-tax gains from the sale of businesses of $25 million and $229 million in 2009 and 2008,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Share—Diluted from Continuing Operations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Net income per share-diluted from continuing operations was $3.04 in 2009 compared to $2.20 in 2008 and $2.44 in 2007. Net income per share-diluted from continuing operations in 2009 compared to 2008 was positively impacted by operating income growth in 2009, a $0.34 per share after-tax loss on the sale of a 51% interest in Fiserv Insurance recognized in 2008, and a $0.14 per share decrease in merger related expenses in 2009 associated with our acquisition of CheckFree. Net income per share-diluted from continuing operations in 2008 compared to 2007 was negatively impacted by a $0.45 per share increase in amortization expense related to acquired intangible assets, the loss on the sale of a 51% interest in Fiserv Insurance, and a $0.11 per share increase in merger related expenses. The amortization of acquisition-related intangible assets reduced net income per share-diluted from continuing operations by $0.58, $0.57 and $0.12 in 2009, 2008 and 2007,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primary liquidity needs are: (i) to fund normal operating expenses; (ii) to meet the principal and interest requirements of our outstanding indebtedness; and (iii) to fund capital expenditures and operating lease payments. We believe these needs will be satisfied using cash flows generated by operations, our cash and cash equivalents at December 31, 2009 of $363 million and available borrowings under our revolving credit facility of $870 million at December 31, 2009.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14"/>
                <w:szCs w:val="14"/>
                <w:color w:val="auto"/>
              </w:rPr>
            </w:pPr>
          </w:p>
        </w:tc>
        <w:tc>
          <w:tcPr>
            <w:tcW w:w="78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4"/>
              </w:rPr>
              <w:t>Increase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120" w:type="dxa"/>
            <w:vAlign w:val="bottom"/>
          </w:tcPr>
          <w:p>
            <w:pPr>
              <w:spacing w:after="0"/>
              <w:rPr>
                <w:sz w:val="14"/>
                <w:szCs w:val="14"/>
                <w:color w:val="auto"/>
              </w:rPr>
            </w:pPr>
          </w:p>
        </w:tc>
        <w:tc>
          <w:tcPr>
            <w:tcW w:w="12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41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Depreciation and other amortization</w:t>
            </w:r>
          </w:p>
        </w:tc>
        <w:tc>
          <w:tcPr>
            <w:tcW w:w="464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464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businesses</w:t>
            </w:r>
          </w:p>
        </w:tc>
        <w:tc>
          <w:tcPr>
            <w:tcW w:w="4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Net changes in working capital and other</w:t>
            </w:r>
          </w:p>
        </w:tc>
        <w:tc>
          <w:tcPr>
            <w:tcW w:w="4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4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$ 84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4640" w:type="dxa"/>
            <w:vAlign w:val="bottom"/>
            <w:gridSpan w:val="3"/>
          </w:tcPr>
          <w:p>
            <w:pPr>
              <w:jc w:val="right"/>
              <w:ind w:right="160"/>
              <w:spacing w:after="0"/>
              <w:rPr>
                <w:sz w:val="20"/>
                <w:szCs w:val="20"/>
                <w:color w:val="auto"/>
              </w:rPr>
            </w:pPr>
            <w:r>
              <w:rPr>
                <w:rFonts w:ascii="Arial" w:cs="Arial" w:eastAsia="Arial" w:hAnsi="Arial"/>
                <w:sz w:val="18"/>
                <w:szCs w:val="18"/>
                <w:color w:val="auto"/>
              </w:rPr>
              <w:t>$198</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$198</w:t>
            </w:r>
          </w:p>
        </w:tc>
        <w:tc>
          <w:tcPr>
            <w:tcW w:w="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120" w:type="dxa"/>
            <w:vAlign w:val="bottom"/>
          </w:tcPr>
          <w:p>
            <w:pPr>
              <w:jc w:val="right"/>
              <w:ind w:right="2892"/>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net cash provided by operating activities from continuing operations, or operating cash flow, increased $84 million, or 11%, to $850 million in 2009 from $766 million in 2008. Our current policy is to use our operating cash flow primarily to repay debt and fund capital expenditures, acquisitions and share repurchases, rather than to pay dividends. Our capital expenditures were $198 million, less than 5% of our total revenues, in 2009 and 2008.</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we received net cash of $132 million related to discontinued operations, including proceeds from the sale of businesses and contingent purchase price related to our 2008 sale of a portion of Fiserv ISS. In the third quarter of 2009, Fiserv Insurance, of which we own 49%, refinanced its outstanding debt. In conjunction with the refinancing, we loaned Fiserv Insurance $67 million, with interest payable quarterly and the principal due in 2013. In December 2009, Fiserv Insurance repaid $10 million of this loan.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purchased $175 million, $441 million and $469 million of our common stock in 2009, 2008 and 2007, respectively. On May 20, 2009, our board of directors authorized the repurchase of up to 5 million shares of our common stock. Shares repurchased are generally held for issuance in connection with our equity plans. As of December 31, 2009, we had 2.2 million shares remaining under this authorization. On February 24, 2010, our board of directors authorized the repurchase of up to 5 million additional shares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0080" w:type="dxa"/>
            <w:vAlign w:val="bottom"/>
            <w:gridSpan w:val="3"/>
            <w:vMerge w:val="continue"/>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2009, we used a portion of our operating cash flow to repay $475 million of debt, which reduced our total outstanding debt, including current maturities, to $3.64 billion at December 31, 2009. Our long-term debt currently consists primarily of $1.88 billion under our unsecured senior term loan facility and $1.75 billion under senior notes borrowings. We were in compliance with all financial debt covenants in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Term Loan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December 2007, we entered into an unsecured senior term loan facility with a syndicate of banks. Our term loan borrowings under this facility bear interest at a variable rate based on LIBOR plus a specified margin or the bank’s base rate and mature in November 2012. Principal payments of $255 million and $375 million are due in December 2010 and 2011, respectively, and the remaining principal of $1.25 billion is due in November 2012. The weighted-average variable interest rate on the term loan borrowings was 0.9% at December 31, 2009. The term loan facility contains various restrictions and covenants substantially similar to those contained in the revolving credit facility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maintain a $900 million unsecured revolving credit facility with a syndicate of banks. The facility bears interest at a variable rate based on LIBOR plus a specified margin or the bank’s base rate. There are no significant commitment fees or compensating balance requirements. The revolving credit facility, as amended, contains various restrictions and covenants that require us, among other things, to limit our consolidated indebtedness to no more than three and one-half times consolidated net earnings before interest, taxes, depreciation and amortization and certain other adjustments, and to maintain consolidated net earnings before interest, taxes, depreciation and amortization and certain other adjustments of at least three times consolidated interest expense. The facility expires on March 24, 2011. As of December 31, 2009, we issued letters of credit totaling $30 million under this facility and our available borrowings were $870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2007, we issued $1.25 billion of 6.125% senior notes due in November 2012 and $500 million of 6.8% senior notes due in November 2017, which pay interest at the stated rate on May 20 and November 20 of each year. The interest rates applicable to these notes are subject to an increase of up to two percent in the event that our credit rating is downgraded below investment grade. The indenture governing the senior notes contains covenants that, among other matters, limit: our ability to consolidate or merge into, or convey, transfer or lease all or substantially all of our properties and assets to, another person; our ability to create or assume liens; and our ability to engage in sale and leaseback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Hedge Contracts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To manage exposure to fluctuations in interest rates, we maintain a series of interest rate swap agreements (“Swaps”) with total notional values of $1.2 billion at December 31, 2009. The Swaps effectively fix interest rates on floating rate term loan borrowings at a weighted-average rate of approximately 4.8%, prior to financing spreads and related fees, and have expiration dates through September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2007, we filed a “shelf” registration statement with the Securities and Exchange Commission. Under the registration statement, we may sell common stock, preferred stock and debt securities, or a combination thereof. Each time we sell securities pursuant to the shelf registration statement, we will provide a prospectus supplement that will contain specific information about the terms of the securities being offered and of the offering. We may offer and sell the securities pursuant to this prospectus from time to time in one or more of the following ways: through underwriters or dealers, through agents, directly to purchasers or through a combination of any of these methods of sales. Proceeds from the sale of these securities may be used to repay debt or for working capital, acquisitions or general corporate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Access to capital markets impacts our cost of capital, our ability to refinance maturing debt and our ability to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2009, we had a credit rating of Baa2 with a stable outlook from Moody’s Investors Service, Inc. (“Moody’s”) and BBB with a negative outlook from Standard &amp; Poor’s Ratings Services (“S&amp;P”) on our senior unsecured debt securities.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interest rate payable on our senior notes is subject to adjustment from time to time if Moody’s or S&amp;P downgrades (or subsequently upgrades) the debt rating applicable to the notes. If the ratings from Moody’s or S&amp;P decrease below investment grade, the per annum interest rate on the notes is subject to increase by up to 2.0%. In no event will the per annum interest rate be reduced below the original interest rate applicable to the senior notes or will the total increase in the per annum interest rate exceed 2.0% above the original interest rate. The interest rates on any series of notes will permanently cease to be subject to any adjustment if the notes becomes rated A3 (or its equivalent) or higher by Moody’s and A- (or its equivalent) or higher by S&amp;P, in each case with a stable or positive outlook.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have any material off-balance sheet arrangements. The following table details our contractual cash obligations at December 31,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3-</w:t>
            </w:r>
          </w:p>
        </w:tc>
        <w:tc>
          <w:tcPr>
            <w:tcW w:w="4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1"/>
        </w:trPr>
        <w:tc>
          <w:tcPr>
            <w:tcW w:w="71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1 year</w:t>
            </w:r>
          </w:p>
        </w:tc>
        <w:tc>
          <w:tcPr>
            <w:tcW w:w="2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3 years</w:t>
            </w: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including interest</w:t>
            </w:r>
            <w:r>
              <w:rPr>
                <w:rFonts w:ascii="Arial" w:cs="Arial" w:eastAsia="Arial" w:hAnsi="Arial"/>
                <w:sz w:val="11"/>
                <w:szCs w:val="11"/>
                <w:color w:val="auto"/>
              </w:rPr>
              <w:t>(1)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$4,292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Minimum operating lease payments</w:t>
            </w:r>
            <w:r>
              <w:rPr>
                <w:rFonts w:ascii="Arial" w:cs="Arial" w:eastAsia="Arial" w:hAnsi="Arial"/>
                <w:sz w:val="11"/>
                <w:szCs w:val="11"/>
                <w:color w:val="auto"/>
              </w:rPr>
              <w:t>(1)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Income tax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4,760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and operating lease payments are reported on a pre-tax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primarily to interest rate risk and market price risk on outstanding debt, investments of subscriber funds and foreign currency risk. We actively monitor these risks through a variety of control procedures involving senior management.</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processing electronic payments transactions, the funds we receive from subscribers are invested from the time we collect the funds until payments are made to the applicable merchants. These subscriber funds are generally invested in short-term instruments that are guaranteed by the United States government. Subscriber funds, which are not included in our consolidated balance sheets, can fluctuate significantly based on consumer bill payment activity, and totaled approximately $1.4 billion as of December 31, 2009. Based on interest rates and subscriber funds balances at December 31, 2009, a 1% increase in applicable interest rates would increase our annual income from continuing operations by approximately $15 million, and if applicable interest rates decreased to zero, our annual income from continuing operations would decrease by less than $2 million.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manage our debt structure and interest rate risk through the use of fixed and floating-rate debt and through the use of interest rate hedge contracts. We currently use interest rate swaps, with total notional values of $1.2 billion at December 31, 2009, to partially hedge our exposure to interest rate changes and to control financing costs. Generally, under these swaps, we agree with a counter-party to exchange the difference between fixed-rate and floating-rate interest amounts based on an agreed notional amount. Based on our outstanding debt with variable interest rates as of December 31, 2009, a 1% increase in our borrowing rate would increase annual interest expense in 2010 by less than $10 million.</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conduct business in the U.S. and in foreign countries and are exposed to foreign currency risk from changes in the value of underlying assets and liabilities of our non-U.S. dollar denominated foreign investments and foreign currency transactions. Risk can be estimated by measuring the impact of a near-term adverse movement of 10% in foreign currency rates against the U.S. dollar. If these rates were 10% higher or lower at December 31, 2009, there would not have been a material adverse impact on our results of operations or financial position.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60" w:type="dxa"/>
            <w:vAlign w:val="bottom"/>
            <w:gridSpan w:val="2"/>
          </w:tcPr>
          <w:p>
            <w:pPr>
              <w:jc w:val="center"/>
              <w:ind w:right="3112"/>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280" w:type="dxa"/>
            <w:vAlign w:val="bottom"/>
          </w:tcPr>
          <w:p>
            <w:pPr>
              <w:spacing w:after="0"/>
              <w:rPr>
                <w:sz w:val="19"/>
                <w:szCs w:val="19"/>
                <w:color w:val="auto"/>
              </w:rPr>
            </w:pPr>
          </w:p>
        </w:tc>
      </w:tr>
      <w:tr>
        <w:trPr>
          <w:trHeight w:val="43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Consolidated 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500" w:type="dxa"/>
            <w:vAlign w:val="bottom"/>
            <w:tcBorders>
              <w:top w:val="single" w:sz="8" w:color="0000EE"/>
            </w:tcBorders>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Balance Sheets</w:t>
              </w:r>
            </w:hyperlink>
          </w:p>
        </w:tc>
        <w:tc>
          <w:tcPr>
            <w:tcW w:w="86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Shareholders’ Equity</w:t>
              </w:r>
            </w:hyperlink>
          </w:p>
        </w:tc>
        <w:tc>
          <w:tcPr>
            <w:tcW w:w="7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114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3"/>
        </w:trPr>
        <w:tc>
          <w:tcPr>
            <w:tcW w:w="4120" w:type="dxa"/>
            <w:vAlign w:val="bottom"/>
            <w:tcBorders>
              <w:top w:val="single" w:sz="8" w:color="0000EE"/>
            </w:tcBorders>
            <w:gridSpan w:val="6"/>
          </w:tcPr>
          <w:p>
            <w:pPr>
              <w:spacing w:after="0"/>
              <w:rPr>
                <w:sz w:val="24"/>
                <w:szCs w:val="24"/>
                <w:color w:val="auto"/>
              </w:rPr>
            </w:pPr>
          </w:p>
        </w:tc>
        <w:tc>
          <w:tcPr>
            <w:tcW w:w="7020" w:type="dxa"/>
            <w:vAlign w:val="bottom"/>
          </w:tcPr>
          <w:p>
            <w:pPr>
              <w:jc w:val="right"/>
              <w:ind w:right="5252"/>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94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Processing and services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4"/>
              </w:rPr>
              <w:t>3,329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3,464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4,077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4,587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Cost of processing and services</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4"/>
              </w:rPr>
              <w:t>1,844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751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4"/>
              </w:rPr>
              <w:t>3,131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2,941</w:t>
            </w: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businesses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 and income from investment in unconsolidated affiliate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Income from investment in unconsolidated affiliate, net of income taxes</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4"/>
              </w:rPr>
              <w:t>154.5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4"/>
              </w:rPr>
              <w:t>155.4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Borders>
              <w:top w:val="single" w:sz="8" w:color="auto"/>
            </w:tcBorders>
          </w:tcPr>
          <w:p>
            <w:pPr>
              <w:spacing w:after="0"/>
              <w:rPr>
                <w:sz w:val="18"/>
                <w:szCs w:val="18"/>
                <w:color w:val="auto"/>
              </w:rPr>
            </w:pPr>
          </w:p>
        </w:tc>
        <w:tc>
          <w:tcPr>
            <w:tcW w:w="7200" w:type="dxa"/>
            <w:vAlign w:val="bottom"/>
          </w:tcPr>
          <w:p>
            <w:pPr>
              <w:ind w:left="318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Trade accounts receivable, less allowance for doubtful accounts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Assets of discontinued operations held for sale</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880"/>
              <w:spacing w:after="0"/>
              <w:rPr>
                <w:sz w:val="20"/>
                <w:szCs w:val="20"/>
                <w:color w:val="auto"/>
              </w:rPr>
            </w:pPr>
            <w:r>
              <w:rPr>
                <w:rFonts w:ascii="Arial" w:cs="Arial" w:eastAsia="Arial" w:hAnsi="Arial"/>
                <w:sz w:val="18"/>
                <w:szCs w:val="18"/>
                <w:color w:val="auto"/>
              </w:rPr>
              <w:t>Total current assets</w:t>
            </w: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Intangible assets,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2,006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2,091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4,371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4,387</w:t>
            </w:r>
          </w:p>
        </w:tc>
        <w:tc>
          <w:tcPr>
            <w:tcW w:w="0" w:type="dxa"/>
            <w:vAlign w:val="bottom"/>
          </w:tcPr>
          <w:p>
            <w:pPr>
              <w:spacing w:after="0"/>
              <w:rPr>
                <w:sz w:val="1"/>
                <w:szCs w:val="1"/>
                <w:color w:val="auto"/>
              </w:rPr>
            </w:pPr>
          </w:p>
        </w:tc>
      </w:tr>
      <w:tr>
        <w:trPr>
          <w:trHeight w:val="223"/>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Other long-term assets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8,378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9,331</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Deferred revenues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maturities of long-term debt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Liabilities of discontinued operations held for sale</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3,382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3,850</w:t>
            </w: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5,352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6,737</w:t>
            </w: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$0.01 par value: 450.0 million shares authorized; 197.9 million shares issued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Accumulated earnings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4,371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3,895</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44.7 million and 42.0 million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(2,005)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(1,889)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880"/>
              <w:spacing w:after="0"/>
              <w:rPr>
                <w:sz w:val="20"/>
                <w:szCs w:val="20"/>
                <w:color w:val="auto"/>
              </w:rPr>
            </w:pPr>
            <w:r>
              <w:rPr>
                <w:rFonts w:ascii="Arial" w:cs="Arial" w:eastAsia="Arial" w:hAnsi="Arial"/>
                <w:sz w:val="18"/>
                <w:szCs w:val="18"/>
                <w:color w:val="auto"/>
              </w:rPr>
              <w:t>Total shareholders’ equity</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7"/>
              </w:rPr>
              <w:t>8,378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9,331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Paid-In</w:t>
            </w:r>
          </w:p>
        </w:tc>
        <w:tc>
          <w:tcPr>
            <w:tcW w:w="1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Accumulated</w:t>
            </w:r>
          </w:p>
        </w:tc>
        <w:tc>
          <w:tcPr>
            <w:tcW w:w="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3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and other</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Fair market value adjustment on cash flow</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hedges, net of tax</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stock plans including</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benefits</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and other</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Unrealized loss on investments, net of tax</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adjustment on cash flow</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hedges, net of tax</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Reclassification adjustment for net realized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losses on cash flow hedges included in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interest expense, net of tax</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stock plans including</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benefits</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Reclassification adjustment for net realized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w w:val="96"/>
              </w:rPr>
              <w:t>losses on investments included in income, net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adjustment on cash flow</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hedges, net of tax</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Reclassification adjustment for net realized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losses on cash flow hedges included in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interest expense, net of tax</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stock plans including</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8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benefits</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4"/>
                <w:szCs w:val="14"/>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569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discontinued operations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 from continuing</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other amortization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Amortization of acquisition-related intangible assets</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sale of businesses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Settlement of interest rate hedge contracts</w:t>
            </w: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Trade accounts receivable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other liabilities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86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including capitalization of software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Advances to unconsolidated affiliate</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acquisitions of businesses, net of cash acquired</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Proceeds from sale of businesses, net of cash sold and expenses paid</w:t>
            </w: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provided by investing activities from continuing operations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5"/>
              </w:rPr>
              <w:t>(248)</w:t>
            </w:r>
          </w:p>
        </w:tc>
        <w:tc>
          <w:tcPr>
            <w:tcW w:w="3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(Repayments of) proceeds from revolving credit facility, net</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Proceeds from long-term debt</w:t>
            </w: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and treasury stock</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provided by financing activities from continuing operations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5"/>
              </w:rPr>
              <w:t>(601)</w:t>
            </w:r>
          </w:p>
        </w:tc>
        <w:tc>
          <w:tcPr>
            <w:tcW w:w="3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(1,705)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 from continuing operations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Net cash transactions transferred from discontinued operations</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Discontinued operations cash flow information: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 from discontinued operations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Net cash transactions transferred to continuing operations</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color w:val="auto"/>
              </w:rPr>
              <w:t>Ending balance—discontinued operations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9" w:lineRule="exact"/>
        <w:rPr>
          <w:sz w:val="20"/>
          <w:szCs w:val="20"/>
          <w:color w:val="auto"/>
        </w:rPr>
      </w:pPr>
    </w:p>
    <w:p>
      <w:pPr>
        <w:ind w:right="7860" w:firstLine="8"/>
        <w:spacing w:after="0" w:line="347"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Description of the Business</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Fiserv, Inc. and its subsidiaries (collectively, the “Company”) provide integrated information management and electronic commerce systems and services, including transaction processing, electronic bill payment and presentment, business process outsourcing, document distribution services, and software and systems solutions. The Company’s operations are primarily in the United States and are comprised of the Financial Institution Services (“Financial”) segment, Payments and Industry Products (“Payments”) segment and Corporate and Other segment. The Financial segment provides banks, thrifts and credit unions with account processing services, item processing services, loan origination and servicing products, cash management and consulting services, and other products and services that support numerous types of financial transactions. The Payments segment primarily provides electronic bill payment and settlement, electronic funds transfer, and debit processing products and services to meet the electronic transaction processing needs of the financial services industry. The businesses in this segment also provide card and print personalization services, Internet banking, investment account processing services for separately managed accounts, and fraud and risk management products and services. The Corporate and Other segment primarily consists of unallocated corporate overhead expenses, amortization of acquisition-related intangible assets and intercompany eliminations. As discussed in Note 3, in 2009, the Company disposed of several businesses, and the financial results of these dispositions are reported as discontinued operations for all periods presented. As discussed in Note 4, in 2008, the Company completed the sale of a 51% interest in substantially all of the businesses in the Insurance Services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Fiserv, Inc. and all 100% owned subsidiaries. Investments in less than 50% owned affiliates in which the Company has significant influence are accounted for using the equity method of accounting. All intercompany transactions and balances have been eliminated in consolidation.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May 2009, the Financial Accounting Standards Board (“FASB”) issued new accounting guidance on subsequent events effective for interim and annual periods ending after June 15, 2009. The new guidance establishes general standards of accounting for and disclosure of events that occur after the balance sheet date but before financial statements are issued. The adoption of this new guidance did not have a material impact on the Company’s financial statements.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2009, the FASB issued new accounting guidance on transfers of financial assets effective for interim and annual periods beginning after November 15, 2009. This new guidance amends previously existing guidance by removing the concept of a qualifying special-purpose entity and eliminating the exception from applying certain consolidation rules to variable interest entities that are qualifying special-purpose entities. It also changes the requirements for derecognition of financial assets and requires additional disclosures. The Company does not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expect that the adoption of this new guidance will have a material impact on its financial statements, although it is still assessing what impact it may have.</w:t>
      </w:r>
    </w:p>
    <w:p>
      <w:pPr>
        <w:spacing w:after="0" w:line="19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June 2009, the FASB issued new accounting guidance on consolidation of variable interest entities effective for interim and annual periods beginning after November 15, 2009. This new guidance requires an analysis to determine whether a variable interest gives an entity a controlling financial interest in the variable interest entity, requires ongoing qualitative assessments of whether an entity is the primary beneficiary of a variable interest entity and expands required disclosures. The Company does not expect that the adoption of this new guidance will have a material impact on its financial statements, although it is still assessing what impact it may have.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June 2009, the FASB issued the FASB Accounting Standards Codification and the Hierarchy of Generally Accepted Accounting Principles (the “Codification”), effective for interim and annual periods ending after September 15, 2009. On July 1, 2009, the Codification became the single source of authoritative United States accounting and reporting standards by combining existing authoritative standards into a comprehensive, topically organized database. Because the Codification did not change or alter existing accounting standards, the Company’s adoption of the Codification did not impact its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applies fair value accounting for all assets and liabilities that are recognized or disclosed at fair value in its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and the market-based risk measurements or assumptions that market participants would use in pricing the asset or liability.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values of cash equivalents, trade accounts receivable, settlement assets and obligations, accounts payable and accrued expenses approximate the carrying values due to the short period of time to maturity. The fair value of interest rate hedge contracts is described in Note 5 and was based on valuation models for which pricing inputs were either directly or indirectly observable as of the reporting date. The fair value of long-term debt is also described in Note 5 and was estimated using discounted cash flows based on the Company’s current incremental borrowing rates or quoted prices in active markets. The fair values of investments were as follows:</w:t>
      </w:r>
    </w:p>
    <w:p>
      <w:pPr>
        <w:spacing w:after="0" w:line="62"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—At December 31, 2009 and 2008, the fair values of available-for-sale investments in asset-backed securities of $11 million and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were based on quoted prices in active markets for identical instruments as of the reporting date.</w:t>
      </w:r>
    </w:p>
    <w:p>
      <w:pPr>
        <w:spacing w:after="0" w:line="51" w:lineRule="exact"/>
        <w:rPr>
          <w:sz w:val="20"/>
          <w:szCs w:val="20"/>
          <w:color w:val="auto"/>
        </w:rPr>
      </w:pPr>
    </w:p>
    <w:p>
      <w:pPr>
        <w:ind w:left="460" w:right="540"/>
        <w:spacing w:after="0" w:line="33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—At December 31, 2009 and 2008, the fair values of available-for-sale investments in asset-backed securities of $6 million and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were based on valuation models for which pricing inputs were either directly or indirectly observable as of the reporting date.</w:t>
      </w:r>
    </w:p>
    <w:p>
      <w:pPr>
        <w:spacing w:after="0" w:line="4"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—At December 31, 2009 and 2008, the fair values of available-for-sale investments of $23 million and $24 million, respectively, were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models with unobservable pricing inputs and management estimates. Unrealized losses of $2 million and $3 million were recorded in accumulated other comprehensive loss at December 31, 2009 and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Derivative instruments are recorded on the balance sheet as either an asset or liability measured at fair value. If the derivative is designated as a fair value hedge, the changes in the fair value of the derivative are recognized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earnings. To the extent the hedge is effective, there is an offsetting adjustment to the basis of the item being hedged. If the derivative is designated as a cash flow hedge, the effective portions of the changes in the fair value of the derivative are recorded as a component of accumulated other comprehensive loss and recognized in the consolidated statements of income when the hedged item affects earnings. Ineffective portions of changes in the fair value of hedges are recognized in earnings. The Company’s policy is to enter into derivative financial instruments with creditworthy institutions and not to enter into such instruments for speculative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Foreign currency denominated assets and liabilities, where the functional currency is the local currency, are translated into U.S. dollars at the exchange rates in effect at the balance sheet date. Revenues and expenses are translated at the average exchange rates during the period. Gains and losses from foreign currency translation are recorded as a separate component of accumulated other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Processing and services revenues are primarily derived from account and transaction-based fees for data processing, transaction processing, electronic billing and payment services, electronic funds transfer and debit processing services, consulting services and software maintenance fees, and are recognized as services are provided. Software maintenance fee revenues for ongoing client support are recognized ratably over the term of the applicable support period, which is generally 12 months. Deferred revenues consist primarily of advance billings for services and are recognized as revenue when the services are provided.</w:t>
      </w:r>
    </w:p>
    <w:p>
      <w:pPr>
        <w:spacing w:after="0" w:line="9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Product revenues are primarily derived from integrated print and card production sales and software licenses. The Company recognizes product revenues, such as software license sales, which represent less than 5% of total revenues, when written contracts are signed, delivery of the product has occurred, the fee is fixed or determinable, and collection is reasonably assured. Prior to the Company’s sale of a 51% interest in Fiserv Insurance on July 14, 2008, product revenues also included prescription product revenues which were recognized on a gross basis to include the prescription price.</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includes reimbursements from clients, such as postage and telecommunication costs, in processing and services revenue, product revenue, cost of processing and services, and cost of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Selling, general and administrative expenses primarily consist of: salaries, wages and related expenses paid to sales personnel, administrative employees and management; advertising and promotional costs; amortization of certain intangible assets; and other selling and administrative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 of cash and investments with original maturities of 90 days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analyzes trade accounts receivable by considering historical bad debts, client creditworthiness, current economic trends, changes in client payment terms and collection trends when evaluating the adequacy of the allowance for doubtful accounts. Any change in the assumptions used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analyzing a specific account receivable may result in an additional allowance for doubtful accounts being recognized in the period in which the change occurs.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was $11 million and $12 million at December 31, 2009 and 2008,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Settlement assets of $137 million were included in prepaid expenses and other current assets at December 31, 2009 and 2008, and settlement obligations of $143 million and $134 million were included in accrued expenses at December 31, 2009 and 2008, respectively. Settlement assets and obligations represent amounts receivable from the Company’s agents and clients and amounts payable to agents and clients primarily associated with the Company’s walk-in and expedited bill payment service businesses. The majority of these assets and obligations result from timing differences between collecting funds from consumers who are making payments and depositing the funds collected into the Company’s bank accounts. These timing differences are typically less than seven days. Settlement assets and obligations arise due to the reporting of transactions to clients prior to fulfilling the payment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Property and equipment are reported at cost. Depreciation of property and equipment is computed primarily using the straight-line method over the shorter of the estimated useful life of the asset or the leasehold period, if applicable. Property and equipment consisted of the following at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Estimated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Useful Lives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Data processing equipment</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3 to 7 years</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leasehold improvements</w:t>
            </w: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5 to 40 years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3 to 10 years</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818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all property and equipment totaled $91 million, $103 million and $75 million in 2009, 2008 and 2007,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2009</w:t>
            </w:r>
          </w:p>
        </w:tc>
        <w:tc>
          <w:tcPr>
            <w:tcW w:w="69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Accumulated</w:t>
            </w:r>
          </w:p>
        </w:tc>
        <w:tc>
          <w:tcPr>
            <w:tcW w:w="72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61"/>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72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 intangible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3,078</w:t>
            </w:r>
          </w:p>
        </w:tc>
        <w:tc>
          <w:tcPr>
            <w:tcW w:w="7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$ 2,006</w:t>
            </w: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2008</w:t>
            </w:r>
          </w:p>
        </w:tc>
        <w:tc>
          <w:tcPr>
            <w:tcW w:w="6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760" w:type="dxa"/>
            <w:vAlign w:val="bottom"/>
            <w:gridSpan w:val="2"/>
            <w:vMerge w:val="continue"/>
          </w:tcPr>
          <w:p>
            <w:pPr>
              <w:spacing w:after="0"/>
              <w:rPr>
                <w:sz w:val="24"/>
                <w:szCs w:val="24"/>
                <w:color w:val="auto"/>
              </w:rPr>
            </w:pPr>
          </w:p>
        </w:tc>
        <w:tc>
          <w:tcPr>
            <w:tcW w:w="69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Accumulated</w:t>
            </w:r>
          </w:p>
        </w:tc>
        <w:tc>
          <w:tcPr>
            <w:tcW w:w="720" w:type="dxa"/>
            <w:vAlign w:val="bottom"/>
          </w:tcPr>
          <w:p>
            <w:pPr>
              <w:spacing w:after="0"/>
              <w:rPr>
                <w:sz w:val="24"/>
                <w:szCs w:val="2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61"/>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72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related intangible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2,966</w:t>
            </w:r>
          </w:p>
        </w:tc>
        <w:tc>
          <w:tcPr>
            <w:tcW w:w="7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$ 2,091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Customer related intangible assets represent customer contracts and relationships obtained as part of acquired businesses and are amortized over their estimated useful lives, generally 10 to 20 years. Acquired software and technology represents software and technology intangible assets obtained as part of acquired businesses and is amortized over their estimated useful lives, generally four to eight years. Trade names are amortized over their estimated remaining useful lives, generally 10 to 20 years. Amortization expense for acquired intangible assets, which include customer related intangible assets, acquired software and technology, and trade names, totaled $145 million, $150 million and $33 million in 2009, 2008 and 2007, respectively. The Company estimates that annual amortization expense with respect to acquired intangible assets will be approximately $145 million in each of 2010 and 2011, $140 million in each of 2012 and 2013, and $130 million in 2014.</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Costs are capitalized commencing when the technological feasibility of the software has been established. Routine maintenance of software products, design costs and development costs incurred prior to establishment of a product’s technological feasibility are expensed as incurred. Capitalized software development costs are amortized over their estimated useful lives which is generally five years. Gross software development costs capitalized for new products and enhancements to existing products totaled $81 million, $74 million and $53 million in 2009, 2008 and 2007, respectively. Amortization of previously capitalized development costs was $45 million, $43 million and $37 million in 2009, 2008 and 2007,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Purchased software represents software licenses purchased from third parties and is amortized over the estimated useful lives, generally three to five years.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purchased software totaled $43 million, $43 million and $31 million in 2009, 2008 and 2007,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and liabilities assumed in a business combination. The Company reviews, on an annual basis, or more frequently if circumstances indicate possible impairment, the carrying value of goodwill by comparing reporting unit carrying values to estimated fair values. No impairment was identified in the Company’s annual impairment assessment in the fourth quarter of 2009. The changes in goodwill during 2009 and 2008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Financial</w:t>
            </w:r>
          </w:p>
        </w:tc>
        <w:tc>
          <w:tcPr>
            <w:tcW w:w="2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1"/>
              </w:rPr>
              <w:t>Payments</w:t>
            </w:r>
          </w:p>
        </w:tc>
        <w:tc>
          <w:tcPr>
            <w:tcW w:w="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Insurance</w:t>
            </w:r>
          </w:p>
        </w:tc>
        <w:tc>
          <w:tcPr>
            <w:tcW w:w="2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balance—December 31, 2007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$ 1,247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3,089</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450</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businesses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(450)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1"/>
        </w:trPr>
        <w:tc>
          <w:tcPr>
            <w:tcW w:w="7660" w:type="dxa"/>
            <w:vAlign w:val="bottom"/>
            <w:gridSpan w:val="3"/>
          </w:tcPr>
          <w:p>
            <w:pPr>
              <w:spacing w:after="0"/>
              <w:rPr>
                <w:sz w:val="20"/>
                <w:szCs w:val="20"/>
                <w:color w:val="auto"/>
              </w:rPr>
            </w:pPr>
            <w:r>
              <w:rPr>
                <w:rFonts w:ascii="Arial" w:cs="Arial" w:eastAsia="Arial" w:hAnsi="Arial"/>
                <w:sz w:val="18"/>
                <w:szCs w:val="18"/>
                <w:color w:val="auto"/>
              </w:rPr>
              <w:t>Goodwill balance—December 31, 2008</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3,108</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accounting adjustments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Goodwill balance—December 31, 2009</w:t>
            </w: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3"/>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$ 1,263</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3,108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reviews property and equipment, intangible assets and its investment in unconsolidated affiliate for impairment whenever events or changes in circumstances indicate the carrying amount of the asset may not be recoverable. Recoverability of property and equipment and intangible assets is assessed by comparing the carrying amount of the asset to the undiscounted future cash flows expected to be generated by the asset. The investment in unconsolidated affiliate is assessed by comparing the carrying amount of the investment to its estimated fair value and is impaired if the decline in fair value is determined to be other than temporary. Measurement of any impairment loss is based on estimated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Company has recorded deferred financing costs totaling $25 million related to its senior term loan and senior notes borrowings at December 31, 2009 and 2008. Accumulated amortization was $12 million and $7 million at December 31, 2009 and 2008, respectively. Deferred financing costs are reported in other long-term assets and are amortized over the term of the underlying debt using the interest method.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expenses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Accrued compensation and benefits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39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Deferred tax assets and liabilities are recognized for the expected future tax consequences attributable to differences between financial statement carrying amounts of existing assets and liabilities and their respective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basis and net operating loss and tax credit carry-forwards. Deferred tax assets and liabilities are measured using enacted tax rates expected to apply to taxable income in the years in which those temporary differences are expected to be recovered or settled. A valuation allowance, if necessary, is recorded against deferred tax assets for which utilization of the asset is not likely.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net of income taxes,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adjustment on cash flow hedges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$(67)</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investments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Unrecognized pension losses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Basic net income per share is computed using the weighted-average number of common shares outstanding during the periods. Diluted net income per share is computed using the weighted-average number of common shares and common stock equivalents outstanding during the periods. Common stock equivalents consist of stock options and restricted stock awards and are computed using the treasury stock method. In 2009, 2008 and 2007, the Company excluded 2.9 million, 2.4 million and 1.1 million weighted-average shares, respectively, from the calculations of common stock equivalents for anti-dilutive stock options.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shares used in calculating basic and diluted net income per common share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used for the calculation of net income per share—basic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920" w:type="dxa"/>
            <w:vAlign w:val="bottom"/>
            <w:tcBorders>
              <w:lef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used for the calculation of net income per share—diluted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920" w:type="dxa"/>
            <w:vAlign w:val="bottom"/>
            <w:tcBorders>
              <w:lef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5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$ 211</w:t>
            </w:r>
          </w:p>
        </w:tc>
        <w:tc>
          <w:tcPr>
            <w:tcW w:w="7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Income taxes paid (including discontinued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assumed in acquisitions of businesses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Note received in sale of businesses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did not complete an acquisition in 2009 after completing three and four acquisitions in 2008 and 2007, respectively, which were not material except for the December 3, 2007 acquisition of CheckFree Corporation (“CheckFree”), a leading provider of electronic commerce services and products, including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electronic bill payment and Internet banking. The $4.4 billion cash acquisition of CheckFree has enabled the Company to expand its client relationships with a leading platform in the growing electronic bill payment sector. The combination has enabled the Company to deliver a wider range of integrated product offerings, created new opportunities for growth, enhanced efficiency, and brought new products and services to market. The results of operations of all acquired businesses have been included in the accompanying consolidated statements of income from the dates of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Dispositions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for discontinued operations was as follows for the 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147</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1,344</w:t>
            </w:r>
          </w:p>
        </w:tc>
        <w:tc>
          <w:tcPr>
            <w:tcW w:w="0" w:type="dxa"/>
            <w:vAlign w:val="bottom"/>
          </w:tcPr>
          <w:p>
            <w:pPr>
              <w:spacing w:after="0"/>
              <w:rPr>
                <w:sz w:val="1"/>
                <w:szCs w:val="1"/>
                <w:color w:val="auto"/>
              </w:rPr>
            </w:pPr>
          </w:p>
        </w:tc>
      </w:tr>
      <w:tr>
        <w:trPr>
          <w:trHeight w:val="20"/>
        </w:trPr>
        <w:tc>
          <w:tcPr>
            <w:tcW w:w="8840" w:type="dxa"/>
            <w:vAlign w:val="bottom"/>
            <w:gridSpan w:val="4"/>
            <w:vMerge w:val="restart"/>
          </w:tcPr>
          <w:p>
            <w:pPr>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40" w:type="dxa"/>
            <w:vAlign w:val="bottom"/>
            <w:gridSpan w:val="4"/>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Gain on sale, net of income taxes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3"/>
            <w:vMerge w:val="restart"/>
          </w:tcPr>
          <w:p>
            <w:pPr>
              <w:ind w:left="440"/>
              <w:spacing w:after="0"/>
              <w:rPr>
                <w:sz w:val="20"/>
                <w:szCs w:val="20"/>
                <w:color w:val="auto"/>
              </w:rPr>
            </w:pPr>
            <w:r>
              <w:rPr>
                <w:rFonts w:ascii="Arial" w:cs="Arial" w:eastAsia="Arial" w:hAnsi="Arial"/>
                <w:sz w:val="18"/>
                <w:szCs w:val="18"/>
                <w:color w:val="auto"/>
                <w:w w:val="93"/>
              </w:rPr>
              <w:t>Assets and liabilities of discontinued operations held for sale were as follows at December 31, 2008 (in millions):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8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and other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20" w:type="dxa"/>
            <w:vAlign w:val="bottom"/>
          </w:tcPr>
          <w:p>
            <w:pPr>
              <w:ind w:left="440"/>
              <w:spacing w:after="0"/>
              <w:rPr>
                <w:sz w:val="20"/>
                <w:szCs w:val="20"/>
                <w:color w:val="auto"/>
              </w:rPr>
            </w:pPr>
            <w:r>
              <w:rPr>
                <w:rFonts w:ascii="Arial" w:cs="Arial" w:eastAsia="Arial" w:hAnsi="Arial"/>
                <w:sz w:val="18"/>
                <w:szCs w:val="18"/>
                <w:color w:val="auto"/>
              </w:rPr>
              <w:t>Assets of discontinued operations held for sale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1,016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Retirement account deposits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of discontinued operations held for sale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Fiserv Health</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January 10, 2008, the Company completed the sale of a majority of its health businesses to UnitedHealthcare Services, Inc. for total cash proceeds of $735 million. In 2008, the Company recognized an after-tax gain on sale of $100 million, including income taxes of $220 million, for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Fiserv ISS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February 4, 2008, the Company completed the sale of Fiserv Trust Company and the accounts of the Company’s institutional retirement plan and advisor services operations to TD AMERITRADE Online Holdings, Inc. (“TD”) for $273 million in cash at closing. In 2008, the Company recognized an after-tax gain on sale of $130 million, including income taxes of $70 million, for this transaction. In 2009, the Company recognized an additional after-tax gain of $25 million, including income taxes of $15 million, with respect to the final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contingent purchase price payment it received from TD. After obtaining the necessary regulatory approval in 2009, the Company completed the sale of the remaining operating assets of its investment support services business to Robert Beriault Holdings, Inc., an entity controlled by the president of that business, for net book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2009, 2008 and 2007, the Company completed the sale of three lending services businesses in its Financial segment and two insurance businesses which did not result in a significant net gain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in and Advances to Unconsolidated Affiliate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July 14, 2008, the Company completed the sale of a 51% interest in substantially all of the businesses in its Insurance segment (“Fiserv Insurance”) to Trident IV, LP. The Company recognized an after-tax loss of $0.34 per share on the sale. This loss on sale was comprised of a pre-tax loss of $21 million and income tax expense of $34 million which was incurred on sale due to a significantly lower tax basis in the stock compared to the book basis of the net assets sold (see Note 6). The Company received net cash proceeds of $497 million, net of cash sold and transaction expenses, and a $30 million note due in 2018. The Company’s share of the net income of Fiserv Insurance (n/k/a StoneRiver, Inc. or “StoneRiver”) is reported as income from investment in unconsolidated affiliate, and the revenues and expenses of StoneRiver after July 14, 2008 are not included in the Company’s consolidated statements of income. The Company’s consolidated financial statements for all periods prior to July 14, 2008 include the revenues, expenses and cash flows of Fiserv Insurance. In July 2009, the Company loaned StoneRiver $67 million, with interest payable quarterly and the principal due in 2013. In December 2009, StoneRiver repaid $10 million of this loan. The Company’s investment in and advances to StoneRiver, totaling $281 million and $211 million at December 31, 2009 and 2008, respectively, are reported within other long-term assets in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outstanding long-term debt was as follows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term loan</w:t>
            </w:r>
          </w:p>
        </w:tc>
        <w:tc>
          <w:tcPr>
            <w:tcW w:w="5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$1,880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5980" w:type="dxa"/>
            <w:vAlign w:val="bottom"/>
            <w:gridSpan w:val="3"/>
          </w:tcPr>
          <w:p>
            <w:pPr>
              <w:jc w:val="right"/>
              <w:ind w:right="340"/>
              <w:spacing w:after="0"/>
              <w:rPr>
                <w:sz w:val="20"/>
                <w:szCs w:val="20"/>
                <w:color w:val="auto"/>
              </w:rPr>
            </w:pPr>
            <w:r>
              <w:rPr>
                <w:rFonts w:ascii="Arial" w:cs="Arial" w:eastAsia="Arial" w:hAnsi="Arial"/>
                <w:sz w:val="18"/>
                <w:szCs w:val="18"/>
                <w:color w:val="auto"/>
              </w:rPr>
              <w:t>1,748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5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5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Less: current maturities</w:t>
            </w:r>
          </w:p>
        </w:tc>
        <w:tc>
          <w:tcPr>
            <w:tcW w:w="5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5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3,382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140" w:type="dxa"/>
            <w:vAlign w:val="bottom"/>
            <w:vMerge w:val="restart"/>
          </w:tcPr>
          <w:p>
            <w:pPr>
              <w:jc w:val="right"/>
              <w:ind w:right="3357"/>
              <w:spacing w:after="0"/>
              <w:rPr>
                <w:sz w:val="20"/>
                <w:szCs w:val="20"/>
                <w:color w:val="auto"/>
              </w:rPr>
            </w:pPr>
            <w:r>
              <w:rPr>
                <w:rFonts w:ascii="Arial" w:cs="Arial" w:eastAsia="Arial" w:hAnsi="Arial"/>
                <w:sz w:val="18"/>
                <w:szCs w:val="18"/>
                <w:color w:val="auto"/>
              </w:rPr>
              <w:t>43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estimated fair value of total debt was $3.8 billion and $3.9 billion at December 31, 2009 and 2008, respectively. Annual principal payments required under the terms of the long-term debt agreements were as follows at December 31, 2009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Years ending December 31,</w:t>
            </w: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2011</w:t>
            </w: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2,502</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2013</w:t>
            </w: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7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1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3,641</w:t>
            </w:r>
          </w:p>
        </w:tc>
      </w:tr>
      <w:tr>
        <w:trPr>
          <w:trHeight w:val="20"/>
        </w:trPr>
        <w:tc>
          <w:tcPr>
            <w:tcW w:w="1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Term Loan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2007, the Company entered into an unsecured senior term loan facility with a syndicate of banks. Term loan borrowings under this facility bear interest at a variable rate based on LIBOR plus a specified margin or the bank’s base rate and mature in November 2012. Principal payments of $255 million and $375 million are due in December 2010 and 2011, respectively, and the remaining principal of $1.25 billion is due in November 2012. The weighted-average variable interest rate on the term loan borrowings was 0.9% at December 31, 2009. The term loan facility contains various restrictions and covenants substantially similar to those contained in the revolving credit facility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November 2007, the Company issued $1.25 billion of 6.125% senior notes due in November 2012 and $500 million of 6.8% senior notes due in November 2017, which pay interest at the stated rate on May 20 and November 20 of each year. The interest rates applicable to these notes are subject to an increase of up to two percent in the event that the Company’s credit rating is downgraded below investment grade. The indenture governing the senior notes contains covenants that, among other matters, limit: the Company’s ability to consolidate or merge into, or convey, transfer or lease all or substantially all of its properties and assets to, another person; the Company’s and certain of its subsidiaries’ ability to create or assume liens; and the Company’s and certain of its subsidiaries’ ability to engage in sale and leaseback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maintains a $900 million unsecured revolving credit facility with a syndicate of banks. The facility bears interest at a variable rate based on LIBOR plus a specified margin or the bank’s base rate. There are no significant commitment fees or compensating balance requirements. The revolving credit facility, as amended, contains various restrictions and covenants that require the Company, among other things, to limit its consolidated indebtedness to no more than three and one-half times consolidated net earnings before interest, taxes, depreciation and amortization and certain other adjustments, and to maintain consolidated net earnings before interest, taxes, depreciation and amortization and certain other adjustments of at least three times consolidated interest expense. The facility expires on March 24, 2011. The Company was in compliance with all financial debt covenants in 2009. As of December 31, 2009, the Company issued letters of credit totaling $30 million under this facility and available borrowings were $870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Hedge Contracts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 manage exposure to fluctuations in interest rates, the Company maintains a series of interest rate swap agreements (“Swaps”) with total notional values of $1.2 billion and $1.75 billion at December 31, 2009 and 2008, respectively. The Swaps have been designated by the Company as cash flow hedges, effectively fix interest rates on floating rate term loan borrowings at a weighted-average rate of approximately 4.8% as of December 31, 2009, prior to financing spreads and related fees, and have expiration dates through September 2012. The fair values of the Swaps, which totaled $92 million and $138 million at December 31, 2009 and 2008, respectively, were recorded as liabilities and in accumulated other comprehensive loss, net of income taxes, in the consolidated balance sheets. The components of comprehensive income pertaining to interest rate hedge contracts are reported within the consolidated statements of shareholders’ equity. In 2009, 2008 and 2007, interest expense recognized due to hedge ineffectiveness was not significant and no amounts were excluded from the assessments of hedge effectiveness. Based on the amounts recorded in shareholders’ equity as accumulated other comprehensive loss at December 31, 2009, the Company estimates that it will recognize approximately $40 million in interest expense during 2010 related to interest rate hedge contracts.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reconciliation of the statutory federal income tax rate to the Company’s effective income tax rate for continuing operations is as follows for the years ended December 31: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3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2"/>
              </w:rPr>
              <w:t>35.0%</w:t>
            </w: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8"/>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State income taxes, net of federal effect</w:t>
            </w:r>
          </w:p>
        </w:tc>
        <w:tc>
          <w:tcPr>
            <w:tcW w:w="37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 difference on sale of businesses</w:t>
            </w:r>
          </w:p>
        </w:tc>
        <w:tc>
          <w:tcPr>
            <w:tcW w:w="3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(0.7%)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72"/>
              <w:spacing w:after="0"/>
              <w:rPr>
                <w:sz w:val="20"/>
                <w:szCs w:val="20"/>
                <w:color w:val="auto"/>
              </w:rPr>
            </w:pPr>
            <w:r>
              <w:rPr>
                <w:rFonts w:ascii="Arial" w:cs="Arial" w:eastAsia="Arial" w:hAnsi="Arial"/>
                <w:sz w:val="18"/>
                <w:szCs w:val="18"/>
                <w:color w:val="auto"/>
                <w:w w:val="90"/>
              </w:rPr>
              <w:t>(0.5%)</w:t>
            </w:r>
          </w:p>
        </w:tc>
        <w:tc>
          <w:tcPr>
            <w:tcW w:w="54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2"/>
              </w:rPr>
              <w:t>44.9%</w:t>
            </w: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8"/>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3"/>
              </w:rPr>
              <w:t>The income tax provision for continuing operations was as follows:</w:t>
            </w:r>
          </w:p>
        </w:tc>
        <w:tc>
          <w:tcPr>
            <w:tcW w:w="3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6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4320" w:type="dxa"/>
            <w:vAlign w:val="bottom"/>
            <w:gridSpan w:val="5"/>
          </w:tcPr>
          <w:p>
            <w:pPr>
              <w:jc w:val="right"/>
              <w:ind w:right="260"/>
              <w:spacing w:after="0"/>
              <w:rPr>
                <w:sz w:val="20"/>
                <w:szCs w:val="20"/>
                <w:color w:val="auto"/>
              </w:rPr>
            </w:pPr>
            <w:r>
              <w:rPr>
                <w:rFonts w:ascii="Arial" w:cs="Arial" w:eastAsia="Arial" w:hAnsi="Arial"/>
                <w:sz w:val="18"/>
                <w:szCs w:val="18"/>
                <w:color w:val="auto"/>
              </w:rPr>
              <w:t>$176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3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3700" w:type="dxa"/>
            <w:vAlign w:val="bottom"/>
            <w:gridSpan w:val="3"/>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3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2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4320" w:type="dxa"/>
            <w:vAlign w:val="bottom"/>
            <w:gridSpan w:val="5"/>
          </w:tcPr>
          <w:p>
            <w:pPr>
              <w:jc w:val="right"/>
              <w:ind w:right="26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700" w:type="dxa"/>
            <w:vAlign w:val="bottom"/>
            <w:gridSpan w:val="3"/>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700" w:type="dxa"/>
            <w:vAlign w:val="bottom"/>
            <w:gridSpan w:val="3"/>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w:t>
            </w: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40" w:type="dxa"/>
            <w:vAlign w:val="bottom"/>
            <w:vMerge w:val="restart"/>
          </w:tcPr>
          <w:p>
            <w:pPr>
              <w:jc w:val="right"/>
              <w:ind w:right="2675"/>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deferred tax assets and liabilities consisted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Interest rate hedge contracts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operating loss and credit carry-forwards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deferred tax assets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(623)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deferred tax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(734)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(708)</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40" w:type="dxa"/>
            <w:vAlign w:val="bottom"/>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(534)</w:t>
            </w:r>
          </w:p>
        </w:tc>
        <w:tc>
          <w:tcPr>
            <w:tcW w:w="220" w:type="dxa"/>
            <w:vAlign w:val="bottom"/>
          </w:tcPr>
          <w:p>
            <w:pPr>
              <w:spacing w:after="0"/>
              <w:rPr>
                <w:sz w:val="19"/>
                <w:szCs w:val="19"/>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color w:val="auto"/>
                <w:w w:val="92"/>
              </w:rPr>
              <w:t>Deferred tax assets and liabilities are reported in the consolidated balance sheets as follows at December 31:</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(580)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(534)</w:t>
            </w:r>
          </w:p>
        </w:tc>
        <w:tc>
          <w:tcPr>
            <w:tcW w:w="2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color w:val="auto"/>
              </w:rPr>
              <w:t>Unrecognized tax benefits were as follows: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0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tax benefits—Beginning of year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Increases for tax positions taken during the current year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for tax positions taken in prior years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Assumed in acquisitions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12"/>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Decreases for settlements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(34)</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Lapse of the statute of limitations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tax benefits—End of year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2009, unrecognized tax benefits, net of federal and state benefits, of $29 million and $4 million would affect the effective tax rate from continuing operations and discontinued operations, respectively, if recognized. In 2010, reductions to unrecognized tax benefits due to settlements and the lapse of statutes of limitations are expected to total approximately $10 million.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classifies interest and penalties related to income taxes as components of its income tax provision. The income tax provision from continuing operations included interest and penalties on unrecognized tax benefits of $2 million in 2009 and 2008 and less than $1 million in 2007. Accrued interest and penalties related to unrecognized tax benefits totaled $9 million and $18 million at December 31, 2009 and 2008,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federal tax returns for 2006 through 2009 and tax returns in certain states and foreign jurisdictions for 2002 through 2009 remain subject to examination by taxing authorities.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2009, the Company had federal net operating loss carry-forwards of $33 million, which expire in 2014 through 2027, state net operating loss carry-forwards of $165 million, which expire in 2010 through 2029, and foreign net operating loss carry-forwards of $70 million, $11 million of which expire in 2016 through 2029 and the remainder of which do not expire.</w:t>
      </w:r>
    </w:p>
    <w:p>
      <w:pPr>
        <w:spacing w:after="0" w:line="215" w:lineRule="exact"/>
        <w:rPr>
          <w:sz w:val="20"/>
          <w:szCs w:val="20"/>
          <w:color w:val="auto"/>
        </w:rPr>
      </w:pPr>
    </w:p>
    <w:p>
      <w:pPr>
        <w:ind w:right="8640" w:firstLine="8"/>
        <w:spacing w:after="0" w:line="347" w:lineRule="auto"/>
        <w:tabs>
          <w:tab w:leader="none" w:pos="17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and Savings Plans Stock Plans</w:t>
      </w:r>
    </w:p>
    <w:p>
      <w:pPr>
        <w:spacing w:after="0" w:line="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recognizes the fair value of share-based compensation expense for stock options, restricted stock awards, shares received by employees under the Company’s employee stock purchase plan and similar awards in cost of processing and services, cost of product and selling, general and administrative expense in its consolidated statements of income on a straight-line basis over the vesting period of the underlying awards.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compensation primarily consists of the following:</w:t>
      </w:r>
    </w:p>
    <w:p>
      <w:pPr>
        <w:spacing w:after="0" w:line="90"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—The Company generally grants stock options to employees and non-employee directors at exercise prices equal to the fair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stock on the dates of grant, which are typically in the first quarter of the year. Stock options generally vest over a three year period beginning on the first anniversary of the grant. All stock options expire ten years from the date of the award. The Company recognizes compensation expense for the fair value of the stock options over the requisite service period of the stock option award.</w:t>
      </w:r>
    </w:p>
    <w:p>
      <w:pPr>
        <w:spacing w:after="0" w:line="32"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—The Company awards restricted stock units to employees and non-employee directors. The Company recognizes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for restricted stock units based on the market price on the date of award over the period during which the awards vest.</w:t>
      </w:r>
    </w:p>
    <w:p>
      <w:pPr>
        <w:spacing w:after="0" w:line="4"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—The Company maintains an employee stock purchase plan that allows eligible employees to purchase a limited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each quarter through payroll deductions at 85% of the closing price of the Company’s common stock on the last business day of each calendar quarter. The Company recognizes compensation expense related to the 15% discount on the purchase date.</w:t>
      </w:r>
    </w:p>
    <w:p>
      <w:pPr>
        <w:spacing w:after="0" w:line="107"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Share-based compensation expense recorded for continuing operations was $36 million, $34 million and $23 million during 2009, 2008 and 2007, respectively. The income tax benefits in income from continuing operations related to share-based compensation totaled $12 million, $12 million and $8 million in 2009, 2008 and 2007, respectively. At December 31, 2009, the total remaining unrecognized compensation cost related to continuing operations for unvested stock options and restricted stock awards, net of estimated forfeitures, of $48 million is expected to be recognized over a weighted-average period of 2.3 years.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estimated fair value of stock options granted during 2009, 2008 and 2007 was $12.76, $20.56 and $21.07 per share,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stock options granted were estimated on the date of grant using a binomial option-pricing model with the following assumptions: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33.7%</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31.1%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30.7%</w:t>
            </w: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determined the expected life of stock options using historical data adjusted for known factors that would alter historical exercise behavior. The risk-free interest rate is based on the U.S. treasury yield curve in effect as of the grant date. Expected volatility is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w:t>
            </w:r>
          </w:p>
        </w:tc>
        <w:tc>
          <w:tcPr>
            <w:tcW w:w="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3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Term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2"/>
              </w:rPr>
              <w:t>(In thousands)</w:t>
            </w:r>
          </w:p>
        </w:tc>
        <w:tc>
          <w:tcPr>
            <w:tcW w:w="120" w:type="dxa"/>
            <w:vAlign w:val="bottom"/>
          </w:tcPr>
          <w:p>
            <w:pPr>
              <w:spacing w:after="0"/>
              <w:rPr>
                <w:sz w:val="14"/>
                <w:szCs w:val="14"/>
                <w:color w:val="auto"/>
              </w:rPr>
            </w:pPr>
          </w:p>
        </w:tc>
        <w:tc>
          <w:tcPr>
            <w:tcW w:w="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(Years)</w:t>
            </w: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2008</w:t>
            </w:r>
          </w:p>
        </w:tc>
        <w:tc>
          <w:tcPr>
            <w:tcW w:w="1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940" w:type="dxa"/>
            <w:vAlign w:val="bottom"/>
            <w:gridSpan w:val="3"/>
          </w:tcPr>
          <w:p>
            <w:pPr>
              <w:jc w:val="right"/>
              <w:ind w:right="780"/>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33.46</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2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3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30.96</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2009</w:t>
            </w:r>
          </w:p>
        </w:tc>
        <w:tc>
          <w:tcPr>
            <w:tcW w:w="1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41.51</w:t>
            </w:r>
          </w:p>
        </w:tc>
        <w:tc>
          <w:tcPr>
            <w:tcW w:w="16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Exercisable—December 31, 2009</w:t>
            </w:r>
          </w:p>
        </w:tc>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2940" w:type="dxa"/>
            <w:vAlign w:val="bottom"/>
            <w:gridSpan w:val="3"/>
          </w:tcPr>
          <w:p>
            <w:pPr>
              <w:jc w:val="right"/>
              <w:ind w:right="780"/>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40.46</w:t>
            </w:r>
          </w:p>
        </w:tc>
        <w:tc>
          <w:tcPr>
            <w:tcW w:w="1620" w:type="dxa"/>
            <w:vAlign w:val="bottom"/>
            <w:gridSpan w:val="4"/>
          </w:tcPr>
          <w:p>
            <w:pPr>
              <w:jc w:val="right"/>
              <w:ind w:right="680"/>
              <w:spacing w:after="0"/>
              <w:rPr>
                <w:sz w:val="20"/>
                <w:szCs w:val="20"/>
                <w:color w:val="auto"/>
              </w:rPr>
            </w:pPr>
            <w:r>
              <w:rPr>
                <w:rFonts w:ascii="Arial" w:cs="Arial" w:eastAsia="Arial" w:hAnsi="Arial"/>
                <w:sz w:val="18"/>
                <w:szCs w:val="18"/>
                <w:color w:val="auto"/>
              </w:rPr>
              <w:t>4.4</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A summary of restricted stock award activity is as follows:</w:t>
            </w:r>
          </w:p>
        </w:tc>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79"/>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4"/>
          </w:tcPr>
          <w:p>
            <w:pPr>
              <w:jc w:val="right"/>
              <w:ind w:right="1020"/>
              <w:spacing w:after="0" w:line="149"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2"/>
              </w:rPr>
              <w:t>(In thousands)</w:t>
            </w:r>
          </w:p>
        </w:tc>
        <w:tc>
          <w:tcPr>
            <w:tcW w:w="6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balance, December 31, 2008</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6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529</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Vested</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balance, December 31, 2009</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1,025</w:t>
            </w:r>
          </w:p>
        </w:tc>
        <w:tc>
          <w:tcPr>
            <w:tcW w:w="6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40" w:type="dxa"/>
            <w:vAlign w:val="bottom"/>
            <w:vMerge w:val="restart"/>
          </w:tcPr>
          <w:p>
            <w:pPr>
              <w:jc w:val="right"/>
              <w:ind w:right="572"/>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additional information related to stock option and restricted stock award activity: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2009</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Cash received from stock option exercises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income tax benefit from stock option exercises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Fair value of restricted stock upon vesting</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2009, 6.2 million share-based awards were available for grant under the Fiserv, Inc. 2007 Omnibus Incentive Plan. Under its employee stock purchase plan, the Company issued 0.6 million, 0.7 million and 0.6 million shares in 2009, 2008 and 2007, respectively. As of January 1, 2010, there were 1.2 million shares available for issuance under the employee stock purchase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and its subsidiaries have defined contribution savings plans covering substantially all employees. Under the plans, eligible participants may elect to contribute a specified percentage of their salaries, subject to certain limitations. The Company makes matching contributions, subject to certain limitations, and makes discretionary contributions based upon the attainment of specified financial results. Beginning in 2009, Company contributions vest after two years of employee service. Company contributions charged to continuing operations under these plans were $37 million, $33 million and $45 million in 2009, 2008 and 2007, respectively.</w:t>
      </w:r>
    </w:p>
    <w:p>
      <w:pPr>
        <w:spacing w:after="0" w:line="218" w:lineRule="exact"/>
        <w:rPr>
          <w:sz w:val="20"/>
          <w:szCs w:val="20"/>
          <w:color w:val="auto"/>
        </w:rPr>
      </w:pPr>
    </w:p>
    <w:p>
      <w:pPr>
        <w:ind w:right="8160" w:firstLine="8"/>
        <w:spacing w:after="0" w:line="347" w:lineRule="auto"/>
        <w:tabs>
          <w:tab w:leader="none" w:pos="1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 Commitments and Contingencies Leases</w:t>
      </w:r>
    </w:p>
    <w:p>
      <w:pPr>
        <w:spacing w:after="0" w:line="2"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Company leases certain facilities and equipment under operating leases. Most leases contain renewal options for varying periods. Future minimum rental payments on operating leases with initial non-cancellable lease terms in excess of one year were due as follows at December 31, 2009 (in millions):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8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8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Rent expense charged to continuing operations for all operating leases was $115 million, $124 million and $95 million during 2009, 2008 and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consolidated financial statements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Company’s processing of electronic payments transactions, funds received from subscribers are invested from the time the Company collects the funds until payments are made to the applicable merchants. These subscriber funds are generally invested in short-term instruments that are guaranteed by the United States government. Subscriber funds, which are not included in the Company’s consolidated balance sheets, can fluctuate significantly based on consumer bill payment activity, and totaled approximately $1.4 billion as of December 31,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limitations and exclusions, the Company generally indemnifies its clients from certain costs resulting from claims of patent, copyright or trademark infringement associated with such clients’ use of its products or services. The Company may also warrant to clients that its products and services will operate substantially in accordance with identified specifications. From time to time, in connection with sales of businesses, the Company agrees to indemnify the buyers for liabilities associated with the businesses that are sold. Historically, payments under such indemnification or warranty provisions have not been significant.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Company’s ongoing operations are comprised of its Financial, Payments and Corporate and Other segments. The Financial segment provides banks, thrifts and credit unions with account processing services, item processing services, loan origination and servicing products, cash management and consulting services, and other products and services that support numerous types of financial transactions. The Payments segment primarily provides electronic bill payment and settlement, electronic funds transfer, and debit processing products and services to meet the electronic transaction processing needs of the financial services industry. The businesses in this segment also provide card and print personalization services, Internet banking, investment account processing services for separately managed accounts, and fraud and risk management products and services. The Corporate and Other segment primarily consists of unallocated corporate overhead expenses, amortization of acquisition-related intangible assets and intercompany eliminations. In July 2008, the Company completed the sale of a 51% interest in substantially all of the businesses in its Insurance Services (“Insurance”)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Financial</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4"/>
              </w:rPr>
              <w:t>Insurance</w:t>
            </w:r>
          </w:p>
        </w:tc>
        <w:tc>
          <w:tcPr>
            <w:tcW w:w="5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8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$ 1,747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1,579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revenues</w:t>
            </w: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2,160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5,762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38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$ 1,808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1,542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revenues</w:t>
            </w: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2,131</w:t>
            </w: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513</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5,712</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361</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8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$ 1,628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227</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revenues</w:t>
            </w: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1,070</w:t>
            </w: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5,888</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920" w:type="dxa"/>
            <w:vAlign w:val="bottom"/>
            <w:gridSpan w:val="3"/>
          </w:tcPr>
          <w:p>
            <w:pPr>
              <w:jc w:val="right"/>
              <w:ind w:right="5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business segment identifiable assets to the consolidated balance sheets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320" w:type="dxa"/>
            <w:vAlign w:val="bottom"/>
            <w:gridSpan w:val="2"/>
          </w:tcPr>
          <w:p>
            <w:pPr>
              <w:jc w:val="center"/>
              <w:ind w:left="4737"/>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segments</w:t>
            </w:r>
          </w:p>
        </w:tc>
        <w:tc>
          <w:tcPr>
            <w:tcW w:w="5740" w:type="dxa"/>
            <w:vAlign w:val="bottom"/>
            <w:gridSpan w:val="3"/>
            <w:shd w:val="clear" w:color="auto" w:fill="CCEEFF"/>
          </w:tcPr>
          <w:p>
            <w:pPr>
              <w:jc w:val="center"/>
              <w:ind w:left="4297"/>
              <w:spacing w:after="0"/>
              <w:rPr>
                <w:sz w:val="20"/>
                <w:szCs w:val="20"/>
                <w:color w:val="auto"/>
              </w:rPr>
            </w:pPr>
            <w:r>
              <w:rPr>
                <w:rFonts w:ascii="Arial" w:cs="Arial" w:eastAsia="Arial" w:hAnsi="Arial"/>
                <w:sz w:val="18"/>
                <w:szCs w:val="18"/>
                <w:color w:val="auto"/>
                <w:w w:val="86"/>
              </w:rPr>
              <w:t>$ 8,378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Assets of discontinued operations held for sale</w:t>
            </w:r>
          </w:p>
        </w:tc>
        <w:tc>
          <w:tcPr>
            <w:tcW w:w="4800" w:type="dxa"/>
            <w:vAlign w:val="bottom"/>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740" w:type="dxa"/>
            <w:vAlign w:val="bottom"/>
            <w:gridSpan w:val="3"/>
            <w:shd w:val="clear" w:color="auto" w:fill="CCEEFF"/>
          </w:tcPr>
          <w:p>
            <w:pPr>
              <w:jc w:val="center"/>
              <w:ind w:left="4297"/>
              <w:spacing w:after="0"/>
              <w:rPr>
                <w:sz w:val="20"/>
                <w:szCs w:val="20"/>
                <w:color w:val="auto"/>
              </w:rPr>
            </w:pPr>
            <w:r>
              <w:rPr>
                <w:rFonts w:ascii="Arial" w:cs="Arial" w:eastAsia="Arial" w:hAnsi="Arial"/>
                <w:sz w:val="18"/>
                <w:szCs w:val="18"/>
                <w:color w:val="auto"/>
                <w:w w:val="86"/>
              </w:rPr>
              <w:t>$ 8,378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0" w:type="dxa"/>
            <w:vAlign w:val="bottom"/>
            <w:vMerge w:val="restart"/>
          </w:tcPr>
          <w:p>
            <w:pPr>
              <w:jc w:val="right"/>
              <w:ind w:right="3597"/>
              <w:spacing w:after="0"/>
              <w:rPr>
                <w:sz w:val="20"/>
                <w:szCs w:val="20"/>
                <w:color w:val="auto"/>
              </w:rPr>
            </w:pPr>
            <w:r>
              <w:rPr>
                <w:rFonts w:ascii="Arial" w:cs="Arial" w:eastAsia="Arial" w:hAnsi="Arial"/>
                <w:sz w:val="18"/>
                <w:szCs w:val="18"/>
                <w:color w:val="auto"/>
              </w:rPr>
              <w:t>51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to clients outside the United States comprised approximately 5% of total revenues in 2009, 2008 and 2007. No single client accounted for more than 6% of total revenues in 2009, 2008 or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Subsidiary Guarantors of Long-Term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the Company’s 100% owned domestic subsidiaries (“Guarantor Subsidiaries”) jointly and severally, and fully and unconditionally guarantee the Company’s indebtedness under its revolving credit facility, senior term loan, and senior notes. The following condensed consolidating financial information is presented on the equity method and reflects the summarized financial information for: (a) the Company; (b) the Guarantor Subsidiaries on a combined basis; and (c) the Company’s non-guarantor subsidiaries on a combined basis.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Parent</w:t>
            </w:r>
          </w:p>
        </w:tc>
        <w:tc>
          <w:tcPr>
            <w:tcW w:w="640" w:type="dxa"/>
            <w:vAlign w:val="bottom"/>
          </w:tcPr>
          <w:p>
            <w:pPr>
              <w:spacing w:after="0"/>
              <w:rPr>
                <w:sz w:val="12"/>
                <w:szCs w:val="12"/>
                <w:color w:val="auto"/>
              </w:rPr>
            </w:pPr>
          </w:p>
        </w:tc>
        <w:tc>
          <w:tcPr>
            <w:tcW w:w="11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3"/>
              </w:rPr>
              <w:t>Company</w:t>
            </w:r>
          </w:p>
        </w:tc>
        <w:tc>
          <w:tcPr>
            <w:tcW w:w="6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Revenues:</w:t>
            </w:r>
          </w:p>
        </w:tc>
        <w:tc>
          <w:tcPr>
            <w:tcW w:w="3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Processing and services</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2,346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1,061</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20" w:type="dxa"/>
            <w:vAlign w:val="bottom"/>
            <w:vMerge w:val="restart"/>
          </w:tcPr>
          <w:p>
            <w:pPr>
              <w:ind w:left="1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2,977</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1,207</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Cost of processing and services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5"/>
        </w:trPr>
        <w:tc>
          <w:tcPr>
            <w:tcW w:w="4680" w:type="dxa"/>
            <w:vAlign w:val="bottom"/>
            <w:gridSpan w:val="3"/>
          </w:tcPr>
          <w:p>
            <w:pPr>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and income from investment in unconsolidated affiliate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from investment in unconsolidated affiliate, net of</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Equity in earnings of consolidated affiliates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3"/>
            <w:vMerge w:val="continue"/>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9"/>
                <w:szCs w:val="19"/>
                <w:color w:val="auto"/>
              </w:rPr>
            </w:pP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325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jc w:val="right"/>
              <w:ind w:right="372"/>
              <w:spacing w:after="0"/>
              <w:rPr>
                <w:sz w:val="20"/>
                <w:szCs w:val="20"/>
                <w:color w:val="auto"/>
              </w:rPr>
            </w:pPr>
            <w:r>
              <w:rPr>
                <w:rFonts w:ascii="Arial" w:cs="Arial" w:eastAsia="Arial" w:hAnsi="Arial"/>
                <w:sz w:val="18"/>
                <w:szCs w:val="18"/>
                <w:color w:val="auto"/>
                <w:w w:val="79"/>
              </w:rPr>
              <w:t>53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Parent</w:t>
            </w:r>
          </w:p>
        </w:tc>
        <w:tc>
          <w:tcPr>
            <w:tcW w:w="56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5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Revenues:</w:t>
            </w:r>
          </w:p>
        </w:tc>
        <w:tc>
          <w:tcPr>
            <w:tcW w:w="4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Processing and services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2,304</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1,232</w:t>
            </w:r>
          </w:p>
        </w:tc>
        <w:tc>
          <w:tcPr>
            <w:tcW w:w="38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vMerge w:val="restart"/>
          </w:tcPr>
          <w:p>
            <w:pPr>
              <w:ind w:left="12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2,927</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1,757</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Cost of processing and services</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1,276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Loss on sale of businesses</w:t>
            </w: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and income from investment in unconsolidated</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affiliate</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investment in unconsolidated affiliate, net of</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consolidated affiliates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income</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ind w:right="252"/>
              <w:spacing w:after="0"/>
              <w:rPr>
                <w:sz w:val="20"/>
                <w:szCs w:val="20"/>
                <w:color w:val="auto"/>
              </w:rPr>
            </w:pPr>
            <w:r>
              <w:rPr>
                <w:rFonts w:ascii="Arial" w:cs="Arial" w:eastAsia="Arial" w:hAnsi="Arial"/>
                <w:sz w:val="18"/>
                <w:szCs w:val="18"/>
                <w:color w:val="auto"/>
                <w:w w:val="99"/>
              </w:rPr>
              <w:t>54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Parent</w:t>
            </w:r>
          </w:p>
        </w:tc>
        <w:tc>
          <w:tcPr>
            <w:tcW w:w="5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5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Revenues:</w:t>
            </w:r>
          </w:p>
        </w:tc>
        <w:tc>
          <w:tcPr>
            <w:tcW w:w="4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Processing and services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1,473</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vMerge w:val="restart"/>
          </w:tcPr>
          <w:p>
            <w:pPr>
              <w:ind w:left="12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2,032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Cost of processing and services</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557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490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 before income</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consolidated affiliates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ind w:right="252"/>
              <w:spacing w:after="0"/>
              <w:rPr>
                <w:sz w:val="20"/>
                <w:szCs w:val="20"/>
                <w:color w:val="auto"/>
              </w:rPr>
            </w:pPr>
            <w:r>
              <w:rPr>
                <w:rFonts w:ascii="Arial" w:cs="Arial" w:eastAsia="Arial" w:hAnsi="Arial"/>
                <w:sz w:val="18"/>
                <w:szCs w:val="18"/>
                <w:color w:val="auto"/>
                <w:w w:val="99"/>
              </w:rPr>
              <w:t>55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Parent</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Guarantor</w:t>
            </w:r>
          </w:p>
        </w:tc>
        <w:tc>
          <w:tcPr>
            <w:tcW w:w="5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18"/>
                <w:szCs w:val="18"/>
                <w:color w:val="auto"/>
              </w:rPr>
            </w:pPr>
          </w:p>
        </w:tc>
        <w:tc>
          <w:tcPr>
            <w:tcW w:w="4520" w:type="dxa"/>
            <w:vAlign w:val="bottom"/>
            <w:shd w:val="clear" w:color="auto" w:fill="CCEEFF"/>
          </w:tcPr>
          <w:p>
            <w:pPr>
              <w:jc w:val="center"/>
              <w:ind w:right="121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Investments in consolidated affiliates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(3,154)</w:t>
            </w: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(3,154)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jc w:val="center"/>
              <w:ind w:right="452"/>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(from) consolidated affiliates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(4,094)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(3,154)</w:t>
            </w: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(3,154)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Parent</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Subsidiaries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980" w:type="dxa"/>
            <w:vAlign w:val="bottom"/>
            <w:shd w:val="clear" w:color="auto" w:fill="CCEEFF"/>
          </w:tcPr>
          <w:p>
            <w:pPr>
              <w:ind w:left="126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of discontinued operations held for sale</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consolidated affiliates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(2,736)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Goodwill and intangible assets,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5,523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2,902</w:t>
            </w:r>
          </w:p>
        </w:tc>
        <w:tc>
          <w:tcPr>
            <w:tcW w:w="6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6,517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2,648</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of discontinued operations held for sale</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Due to (from) consolidated affiliates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(4,264)</w:t>
            </w:r>
          </w:p>
        </w:tc>
        <w:tc>
          <w:tcPr>
            <w:tcW w:w="2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(2,736)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2,902</w:t>
            </w:r>
          </w:p>
        </w:tc>
        <w:tc>
          <w:tcPr>
            <w:tcW w:w="6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6,517</w:t>
            </w:r>
          </w:p>
        </w:tc>
        <w:tc>
          <w:tcPr>
            <w:tcW w:w="5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2,648</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Parent</w:t>
            </w:r>
          </w:p>
        </w:tc>
        <w:tc>
          <w:tcPr>
            <w:tcW w:w="52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6"/>
              </w:rPr>
              <w:t>Net cash provided by operating activities from continuing</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540</w:t>
            </w:r>
          </w:p>
        </w:tc>
        <w:tc>
          <w:tcPr>
            <w:tcW w:w="38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7"/>
              </w:rPr>
              <w:t>Capital expenditures, including capitalization of software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costs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5"/>
        </w:trPr>
        <w:tc>
          <w:tcPr>
            <w:tcW w:w="440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 from continuing</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from continuing</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5"/>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Net change in cash and cash equivalents from continuing</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transactions transferred from discontinued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169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ind w:right="132"/>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Parent</w:t>
            </w:r>
          </w:p>
        </w:tc>
        <w:tc>
          <w:tcPr>
            <w:tcW w:w="52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8"/>
              </w:rPr>
              <w:t>Net cash provided by (used in) operating activities from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7"/>
              </w:rPr>
              <w:t>Capital expenditures, including capitalization of software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costs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acquisitions of businesses, net of cash</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8"/>
              </w:rPr>
              <w:t>Proceeds from sale of businesses, net of cash sold and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expenses paid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438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 from</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Repayments of long-term debt,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(1,240)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from continuing</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5"/>
        </w:trPr>
        <w:tc>
          <w:tcPr>
            <w:tcW w:w="4380" w:type="dxa"/>
            <w:vAlign w:val="bottom"/>
            <w:gridSpan w:val="3"/>
          </w:tcPr>
          <w:p>
            <w:pPr>
              <w:spacing w:after="0"/>
              <w:rPr>
                <w:sz w:val="20"/>
                <w:szCs w:val="20"/>
                <w:color w:val="auto"/>
              </w:rPr>
            </w:pPr>
            <w:r>
              <w:rPr>
                <w:rFonts w:ascii="Arial" w:cs="Arial" w:eastAsia="Arial" w:hAnsi="Arial"/>
                <w:sz w:val="18"/>
                <w:szCs w:val="18"/>
                <w:color w:val="auto"/>
                <w:w w:val="95"/>
              </w:rPr>
              <w:t>Net change in cash and cash equivalents from continuing</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transactions transferred from discontinued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ind w:right="132"/>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Parent</w:t>
            </w:r>
          </w:p>
        </w:tc>
        <w:tc>
          <w:tcPr>
            <w:tcW w:w="52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Subsidiaries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8"/>
              </w:rPr>
              <w:t>Net cash provided by (used in) operating activities from</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7"/>
              </w:rPr>
              <w:t>Capital expenditures, including capitalization of software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costs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acquisitions of businesses, net of cash</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(4,296)</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(4,298)</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2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(repayments of) long-term debt,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(469)</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380" w:type="dxa"/>
            <w:vAlign w:val="bottom"/>
            <w:gridSpan w:val="3"/>
          </w:tcPr>
          <w:p>
            <w:pPr>
              <w:spacing w:after="0"/>
              <w:rPr>
                <w:sz w:val="20"/>
                <w:szCs w:val="20"/>
                <w:color w:val="auto"/>
              </w:rPr>
            </w:pPr>
            <w:r>
              <w:rPr>
                <w:rFonts w:ascii="Arial" w:cs="Arial" w:eastAsia="Arial" w:hAnsi="Arial"/>
                <w:sz w:val="18"/>
                <w:szCs w:val="18"/>
                <w:color w:val="auto"/>
                <w:w w:val="99"/>
              </w:rPr>
              <w:t>Net cash provided by (used in) financing activities from</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4,299</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change in cash and cash equivalents from continuing</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Net cash transactions transferred from discontinued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Ending balance</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3"/>
            <w:vMerge w:val="continue"/>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ind w:right="132"/>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financial data for 2009 and 2008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Quarters</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3"/>
            <w:vMerge w:val="continue"/>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2"/>
                <w:szCs w:val="12"/>
                <w:color w:val="auto"/>
              </w:rPr>
            </w:pPr>
          </w:p>
        </w:tc>
        <w:tc>
          <w:tcPr>
            <w:tcW w:w="8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86"/>
              </w:rPr>
              <w:t>Second</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Fourth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3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 per share—continuing operations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3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1,265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 per share—continuing operations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jc w:val="right"/>
              <w:ind w:right="25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Fiserv, Inc.:</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Fiserv, Inc. and subsidiaries (the “Company”) as of December 31, 2009 and 2008, and the related consolidated statements of income, shareholders’ equity, and cash flows for each of the three years in the period ended December 31, 2009. Our audits also included the consolidated financial statement schedule of the Company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Fiserv, Inc. and subsidiaries as of December 31, 2009 and 2008, and the results of their operations and their cash flows for each of the three years in the period ended December 31, 2009, in conformity with accounting principles generally accepted in the United States of America. Also, in our opinion, such consolidated financial statement schedule, when considered in relation to the basic consolidated financial statements taken as a whole, presents fairly, in all material respects, the information set forth therein.</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26, 2010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Disclosure Controls and Procedures</w:t>
      </w:r>
    </w:p>
    <w:p>
      <w:pPr>
        <w:spacing w:after="0" w:line="90" w:lineRule="exact"/>
        <w:rPr>
          <w:rFonts w:ascii="Arial" w:cs="Arial" w:eastAsia="Arial" w:hAnsi="Arial"/>
          <w:sz w:val="18"/>
          <w:szCs w:val="18"/>
          <w:i w:val="1"/>
          <w:iCs w:val="1"/>
          <w:color w:val="auto"/>
        </w:rPr>
      </w:pPr>
    </w:p>
    <w:p>
      <w:pPr>
        <w:jc w:val="both"/>
        <w:ind w:left="460" w:right="360"/>
        <w:spacing w:after="0" w:line="306" w:lineRule="auto"/>
        <w:rPr>
          <w:rFonts w:ascii="Arial" w:cs="Arial" w:eastAsia="Arial" w:hAnsi="Arial"/>
          <w:sz w:val="18"/>
          <w:szCs w:val="18"/>
          <w:i w:val="1"/>
          <w:iCs w:val="1"/>
          <w:color w:val="auto"/>
        </w:rPr>
      </w:pPr>
      <w:r>
        <w:rPr>
          <w:rFonts w:ascii="Arial" w:cs="Arial" w:eastAsia="Arial" w:hAnsi="Arial"/>
          <w:sz w:val="16"/>
          <w:szCs w:val="16"/>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2009.</w:t>
      </w:r>
    </w:p>
    <w:p>
      <w:pPr>
        <w:spacing w:after="0" w:line="147"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Report On Internal Control Over Financial Reporting</w:t>
      </w:r>
    </w:p>
    <w:p>
      <w:pPr>
        <w:spacing w:after="0" w:line="246"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rFonts w:ascii="Arial" w:cs="Arial" w:eastAsia="Arial" w:hAnsi="Arial"/>
          <w:sz w:val="18"/>
          <w:szCs w:val="18"/>
          <w:i w:val="1"/>
          <w:iCs w:val="1"/>
          <w:color w:val="auto"/>
        </w:rPr>
      </w:pPr>
    </w:p>
    <w:p>
      <w:pPr>
        <w:ind w:left="460" w:right="20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i w:val="1"/>
          <w:iCs w:val="1"/>
          <w:color w:val="auto"/>
        </w:rPr>
      </w:pPr>
    </w:p>
    <w:p>
      <w:pPr>
        <w:ind w:left="460"/>
        <w:spacing w:after="0" w:line="332" w:lineRule="auto"/>
        <w:rPr>
          <w:rFonts w:ascii="Arial" w:cs="Arial" w:eastAsia="Arial" w:hAnsi="Arial"/>
          <w:sz w:val="18"/>
          <w:szCs w:val="18"/>
          <w:i w:val="1"/>
          <w:iCs w:val="1"/>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4" w:lineRule="exact"/>
        <w:rPr>
          <w:rFonts w:ascii="Arial" w:cs="Arial" w:eastAsia="Arial" w:hAnsi="Arial"/>
          <w:sz w:val="18"/>
          <w:szCs w:val="18"/>
          <w:i w:val="1"/>
          <w:iCs w:val="1"/>
          <w:color w:val="auto"/>
        </w:rPr>
      </w:pPr>
    </w:p>
    <w:p>
      <w:pPr>
        <w:ind w:left="460" w:right="16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 xml:space="preserve">Our management assessed the effectiveness of our internal control over financial reporting as of December 31, 2009.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management’s assessment, our management believes that, as of December 31, 2009,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based on those criteria.</w:t>
      </w:r>
    </w:p>
    <w:p>
      <w:pPr>
        <w:spacing w:after="0" w:line="62" w:lineRule="exact"/>
        <w:rPr>
          <w:rFonts w:ascii="Arial" w:cs="Arial" w:eastAsia="Arial" w:hAnsi="Arial"/>
          <w:sz w:val="18"/>
          <w:szCs w:val="18"/>
          <w:i w:val="1"/>
          <w:iCs w:val="1"/>
          <w:color w:val="auto"/>
        </w:rPr>
      </w:pPr>
    </w:p>
    <w:p>
      <w:pPr>
        <w:ind w:left="460" w:right="20"/>
        <w:spacing w:after="0" w:line="332" w:lineRule="auto"/>
        <w:rPr>
          <w:rFonts w:ascii="Arial" w:cs="Arial" w:eastAsia="Arial" w:hAnsi="Arial"/>
          <w:sz w:val="18"/>
          <w:szCs w:val="18"/>
          <w:i w:val="1"/>
          <w:iCs w:val="1"/>
          <w:color w:val="auto"/>
        </w:rPr>
      </w:pPr>
      <w:r>
        <w:rPr>
          <w:rFonts w:ascii="Arial" w:cs="Arial" w:eastAsia="Arial" w:hAnsi="Arial"/>
          <w:sz w:val="16"/>
          <w:szCs w:val="16"/>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206"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90" w:lineRule="exact"/>
        <w:rPr>
          <w:rFonts w:ascii="Arial" w:cs="Arial" w:eastAsia="Arial" w:hAnsi="Arial"/>
          <w:sz w:val="18"/>
          <w:szCs w:val="18"/>
          <w:i w:val="1"/>
          <w:iCs w:val="1"/>
          <w:color w:val="auto"/>
        </w:rPr>
      </w:pPr>
    </w:p>
    <w:p>
      <w:pPr>
        <w:ind w:left="46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internal control over financial reporting that occurred during the quarter ended December 31, 2009 that have materially affected, or are reasonably likely to materially affect, our internal control over financial reporting.</w:t>
      </w:r>
    </w:p>
    <w:p>
      <w:pPr>
        <w:spacing w:after="0" w:line="253"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90" w:lineRule="exact"/>
        <w:rPr>
          <w:rFonts w:ascii="Arial" w:cs="Arial" w:eastAsia="Arial" w:hAnsi="Arial"/>
          <w:sz w:val="18"/>
          <w:szCs w:val="18"/>
          <w:i w:val="1"/>
          <w:iCs w:val="1"/>
          <w:color w:val="auto"/>
        </w:rPr>
      </w:pPr>
    </w:p>
    <w:p>
      <w:pPr>
        <w:ind w:left="460" w:right="10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Fiserv, Inc.:</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Fiserv, Inc. and subsidiaries (the “Company”)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February 26, 2010 expressed an unqualified opinion on those consolidated financial statements and consolidated financial statement schedule.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for information concerning our executive officers included in this report under the caption “Executive Officers of the Registrant” beginning on page 15, which is incorporated by reference herein, and the information regarding our Code of Conduct below, the information required by Item 10 is incorporated by reference to the information set forth under the captions “Our Board of Directors,” “Nominees for Election,” “Continuing Directors,” “Nominating and Corporate Governance Committee – Nominations of Directors,” “Shareholder Proposals for the 2011 Annual Meeting,” “Audit Committee – Membership and Responsibilities,” and “Section 16(a) Beneficial Ownership Reporting Compliance” in our definitive proxy statement for our 2010 annual meeting of shareholders, which will be filed with the Securities and Exchange Commission no later than 120 days after the close of the fiscal year ended December 31, 2009.</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board of directors has adopted a Code of Conduct that applies to all of our directors and employees, including our chief executive officer, chief financial officer, corporate controller and other persons performing similar functions. We have posted a copy of our Code of Conduct on the “Investors – Corporate Governance” section of our website at www.fiserv.com. We intend to satisfy the disclosure requirements under Item 5.05 of Form 8-K regarding amendments to, or waivers from, the Code of Conduct by posting such information on the “Corporate Governance” section of our website at www.fiserv.com. We are not including the information contained on our website as part of, or incorporating it by reference into,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information required by Item 11 is incorporated by reference to the information set forth under the captions “Compensation Discussion and Analysis,” “Compensation Committee Interlocks and Insider Participation,” “Compensation Committee Report,” “Summary Compensation Table,” “Grants of Plan-Based Awards in 2009,” “Outstanding Equity Awards at December 31, 2009,” “Option Exercises and Stock Vested During 2009,” “Potential Payments Upon Termination or Change in Control,” and “Compensation of Directors” in our definitive proxy statement for our 2010 annual meeting of shareholders, which will be filed with the Securities and Exchange Commission no later than 120 days after the close of the fiscal year ended December 31, 2009.</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information set forth under the caption “Security Ownership by Certain Beneficial Owners and Management” in our definitive proxy statement for our 2010 annual meeting of shareholders, which will be filed with the Securities and Exchange Commission no later than 120 days after the close of the fiscal year ended December 31, 2009 is incorporated by reference 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table below sets forth information with respect to compensation plans under which equity securities are authorized for issuance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440" w:type="dxa"/>
            <w:vAlign w:val="bottom"/>
            <w:tcBorders>
              <w:top w:val="single" w:sz="8" w:color="auto"/>
              <w:bottom w:val="single" w:sz="8" w:color="auto"/>
              <w:right w:val="single" w:sz="8" w:color="auto"/>
            </w:tcBorders>
          </w:tcPr>
          <w:p>
            <w:pPr>
              <w:jc w:val="center"/>
              <w:ind w:left="606"/>
              <w:spacing w:after="0"/>
              <w:rPr>
                <w:sz w:val="20"/>
                <w:szCs w:val="20"/>
                <w:color w:val="auto"/>
              </w:rPr>
            </w:pPr>
            <w:r>
              <w:rPr>
                <w:rFonts w:ascii="Arial" w:cs="Arial" w:eastAsia="Arial" w:hAnsi="Arial"/>
                <w:sz w:val="14"/>
                <w:szCs w:val="14"/>
                <w:b w:val="1"/>
                <w:bCs w:val="1"/>
                <w:color w:val="auto"/>
                <w:w w:val="93"/>
              </w:rPr>
              <w:t>(a)</w:t>
            </w:r>
          </w:p>
        </w:tc>
        <w:tc>
          <w:tcPr>
            <w:tcW w:w="10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right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(b)</w:t>
            </w:r>
          </w:p>
        </w:tc>
        <w:tc>
          <w:tcPr>
            <w:tcW w:w="2620" w:type="dxa"/>
            <w:vAlign w:val="bottom"/>
            <w:tcBorders>
              <w:top w:val="single" w:sz="8" w:color="auto"/>
              <w:bottom w:val="single" w:sz="8" w:color="auto"/>
              <w:right w:val="single" w:sz="8" w:color="auto"/>
            </w:tcBorders>
          </w:tcPr>
          <w:p>
            <w:pPr>
              <w:jc w:val="center"/>
              <w:ind w:left="487"/>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4060" w:type="dxa"/>
            <w:vAlign w:val="bottom"/>
            <w:tcBorders>
              <w:left w:val="single" w:sz="8" w:color="auto"/>
              <w:right w:val="single" w:sz="8" w:color="auto"/>
            </w:tcBorders>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jc w:val="center"/>
              <w:ind w:left="487"/>
              <w:spacing w:after="0" w:line="129" w:lineRule="exact"/>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tcPr>
          <w:p>
            <w:pPr>
              <w:spacing w:after="0"/>
              <w:rPr>
                <w:sz w:val="12"/>
                <w:szCs w:val="12"/>
                <w:color w:val="auto"/>
              </w:rPr>
            </w:pPr>
          </w:p>
        </w:tc>
        <w:tc>
          <w:tcPr>
            <w:tcW w:w="244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487"/>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tcPr>
          <w:p>
            <w:pPr>
              <w:spacing w:after="0"/>
              <w:rPr>
                <w:sz w:val="12"/>
                <w:szCs w:val="12"/>
                <w:color w:val="auto"/>
              </w:rPr>
            </w:pPr>
          </w:p>
        </w:tc>
        <w:tc>
          <w:tcPr>
            <w:tcW w:w="244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487"/>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4060" w:type="dxa"/>
            <w:vAlign w:val="bottom"/>
            <w:tcBorders>
              <w:left w:val="single" w:sz="8" w:color="auto"/>
              <w:right w:val="single" w:sz="8" w:color="auto"/>
            </w:tcBorders>
          </w:tcPr>
          <w:p>
            <w:pPr>
              <w:spacing w:after="0"/>
              <w:rPr>
                <w:sz w:val="12"/>
                <w:szCs w:val="12"/>
                <w:color w:val="auto"/>
              </w:rPr>
            </w:pPr>
          </w:p>
        </w:tc>
        <w:tc>
          <w:tcPr>
            <w:tcW w:w="2440" w:type="dxa"/>
            <w:vAlign w:val="bottom"/>
            <w:tcBorders>
              <w:right w:val="single" w:sz="8" w:color="auto"/>
            </w:tcBorders>
          </w:tcPr>
          <w:p>
            <w:pPr>
              <w:jc w:val="center"/>
              <w:ind w:left="586"/>
              <w:spacing w:after="0" w:line="149" w:lineRule="exact"/>
              <w:rPr>
                <w:sz w:val="20"/>
                <w:szCs w:val="20"/>
                <w:color w:val="auto"/>
              </w:rPr>
            </w:pPr>
            <w:r>
              <w:rPr>
                <w:rFonts w:ascii="Arial" w:cs="Arial" w:eastAsia="Arial" w:hAnsi="Arial"/>
                <w:sz w:val="14"/>
                <w:szCs w:val="14"/>
                <w:b w:val="1"/>
                <w:bCs w:val="1"/>
                <w:color w:val="auto"/>
                <w:w w:val="86"/>
              </w:rPr>
              <w:t>Number of shares to</w:t>
            </w:r>
          </w:p>
        </w:tc>
        <w:tc>
          <w:tcPr>
            <w:tcW w:w="2300" w:type="dxa"/>
            <w:vAlign w:val="bottom"/>
            <w:tcBorders>
              <w:right w:val="single" w:sz="8" w:color="auto"/>
            </w:tcBorders>
            <w:gridSpan w:val="2"/>
            <w:vMerge w:val="restart"/>
          </w:tcPr>
          <w:p>
            <w:pPr>
              <w:jc w:val="center"/>
              <w:ind w:left="582"/>
              <w:spacing w:after="0"/>
              <w:rPr>
                <w:sz w:val="20"/>
                <w:szCs w:val="20"/>
                <w:color w:val="auto"/>
              </w:rPr>
            </w:pPr>
            <w:r>
              <w:rPr>
                <w:rFonts w:ascii="Arial" w:cs="Arial" w:eastAsia="Arial" w:hAnsi="Arial"/>
                <w:sz w:val="14"/>
                <w:szCs w:val="14"/>
                <w:b w:val="1"/>
                <w:bCs w:val="1"/>
                <w:color w:val="auto"/>
                <w:w w:val="86"/>
              </w:rPr>
              <w:t>Weighted-average</w:t>
            </w:r>
          </w:p>
        </w:tc>
        <w:tc>
          <w:tcPr>
            <w:tcW w:w="2620" w:type="dxa"/>
            <w:vAlign w:val="bottom"/>
            <w:tcBorders>
              <w:right w:val="single" w:sz="8" w:color="auto"/>
            </w:tcBorders>
          </w:tcPr>
          <w:p>
            <w:pPr>
              <w:jc w:val="center"/>
              <w:ind w:left="487"/>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35"/>
        </w:trPr>
        <w:tc>
          <w:tcPr>
            <w:tcW w:w="4060" w:type="dxa"/>
            <w:vAlign w:val="bottom"/>
            <w:tcBorders>
              <w:left w:val="single" w:sz="8" w:color="auto"/>
              <w:right w:val="single" w:sz="8" w:color="auto"/>
            </w:tcBorders>
          </w:tcPr>
          <w:p>
            <w:pPr>
              <w:spacing w:after="0"/>
              <w:rPr>
                <w:sz w:val="11"/>
                <w:szCs w:val="11"/>
                <w:color w:val="auto"/>
              </w:rPr>
            </w:pPr>
          </w:p>
        </w:tc>
        <w:tc>
          <w:tcPr>
            <w:tcW w:w="2440" w:type="dxa"/>
            <w:vAlign w:val="bottom"/>
            <w:tcBorders>
              <w:right w:val="single" w:sz="8" w:color="auto"/>
            </w:tcBorders>
          </w:tcPr>
          <w:p>
            <w:pPr>
              <w:jc w:val="center"/>
              <w:ind w:left="586"/>
              <w:spacing w:after="0" w:line="135" w:lineRule="exact"/>
              <w:rPr>
                <w:sz w:val="20"/>
                <w:szCs w:val="20"/>
                <w:color w:val="auto"/>
              </w:rPr>
            </w:pPr>
            <w:r>
              <w:rPr>
                <w:rFonts w:ascii="Arial" w:cs="Arial" w:eastAsia="Arial" w:hAnsi="Arial"/>
                <w:sz w:val="14"/>
                <w:szCs w:val="14"/>
                <w:b w:val="1"/>
                <w:bCs w:val="1"/>
                <w:color w:val="auto"/>
                <w:w w:val="83"/>
              </w:rPr>
              <w:t>be issued upon</w:t>
            </w:r>
          </w:p>
        </w:tc>
        <w:tc>
          <w:tcPr>
            <w:tcW w:w="2300" w:type="dxa"/>
            <w:vAlign w:val="bottom"/>
            <w:tcBorders>
              <w:right w:val="single" w:sz="8" w:color="auto"/>
            </w:tcBorders>
            <w:gridSpan w:val="2"/>
            <w:vMerge w:val="continue"/>
          </w:tcPr>
          <w:p>
            <w:pPr>
              <w:spacing w:after="0"/>
              <w:rPr>
                <w:sz w:val="11"/>
                <w:szCs w:val="11"/>
                <w:color w:val="auto"/>
              </w:rPr>
            </w:pPr>
          </w:p>
        </w:tc>
        <w:tc>
          <w:tcPr>
            <w:tcW w:w="2620" w:type="dxa"/>
            <w:vAlign w:val="bottom"/>
            <w:tcBorders>
              <w:right w:val="single" w:sz="8" w:color="auto"/>
            </w:tcBorders>
          </w:tcPr>
          <w:p>
            <w:pPr>
              <w:jc w:val="center"/>
              <w:ind w:left="487"/>
              <w:spacing w:after="0" w:line="135"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8"/>
        </w:trPr>
        <w:tc>
          <w:tcPr>
            <w:tcW w:w="4060" w:type="dxa"/>
            <w:vAlign w:val="bottom"/>
            <w:tcBorders>
              <w:left w:val="single" w:sz="8" w:color="auto"/>
              <w:right w:val="single" w:sz="8" w:color="auto"/>
            </w:tcBorders>
          </w:tcPr>
          <w:p>
            <w:pPr>
              <w:spacing w:after="0"/>
              <w:rPr>
                <w:sz w:val="12"/>
                <w:szCs w:val="12"/>
                <w:color w:val="auto"/>
              </w:rPr>
            </w:pPr>
          </w:p>
        </w:tc>
        <w:tc>
          <w:tcPr>
            <w:tcW w:w="2440" w:type="dxa"/>
            <w:vAlign w:val="bottom"/>
            <w:tcBorders>
              <w:right w:val="single" w:sz="8" w:color="auto"/>
            </w:tcBorders>
          </w:tcPr>
          <w:p>
            <w:pPr>
              <w:jc w:val="center"/>
              <w:ind w:left="606"/>
              <w:spacing w:after="0" w:line="148" w:lineRule="exact"/>
              <w:rPr>
                <w:sz w:val="20"/>
                <w:szCs w:val="20"/>
                <w:color w:val="auto"/>
              </w:rPr>
            </w:pPr>
            <w:r>
              <w:rPr>
                <w:rFonts w:ascii="Arial" w:cs="Arial" w:eastAsia="Arial" w:hAnsi="Arial"/>
                <w:sz w:val="14"/>
                <w:szCs w:val="14"/>
                <w:b w:val="1"/>
                <w:bCs w:val="1"/>
                <w:color w:val="auto"/>
                <w:w w:val="81"/>
              </w:rPr>
              <w:t>exercise of</w:t>
            </w:r>
          </w:p>
        </w:tc>
        <w:tc>
          <w:tcPr>
            <w:tcW w:w="1000" w:type="dxa"/>
            <w:vAlign w:val="bottom"/>
          </w:tcPr>
          <w:p>
            <w:pPr>
              <w:spacing w:after="0"/>
              <w:rPr>
                <w:sz w:val="12"/>
                <w:szCs w:val="12"/>
                <w:color w:val="auto"/>
              </w:rPr>
            </w:pPr>
          </w:p>
        </w:tc>
        <w:tc>
          <w:tcPr>
            <w:tcW w:w="1300" w:type="dxa"/>
            <w:vAlign w:val="bottom"/>
            <w:tcBorders>
              <w:right w:val="single" w:sz="8" w:color="auto"/>
            </w:tcBorders>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exercise price of</w:t>
            </w:r>
          </w:p>
        </w:tc>
        <w:tc>
          <w:tcPr>
            <w:tcW w:w="2620" w:type="dxa"/>
            <w:vAlign w:val="bottom"/>
            <w:tcBorders>
              <w:right w:val="single" w:sz="8" w:color="auto"/>
            </w:tcBorders>
          </w:tcPr>
          <w:p>
            <w:pPr>
              <w:jc w:val="center"/>
              <w:ind w:left="487"/>
              <w:spacing w:after="0" w:line="148"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76"/>
        </w:trPr>
        <w:tc>
          <w:tcPr>
            <w:tcW w:w="4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Plan Category</w:t>
            </w:r>
          </w:p>
        </w:tc>
        <w:tc>
          <w:tcPr>
            <w:tcW w:w="2440" w:type="dxa"/>
            <w:vAlign w:val="bottom"/>
            <w:tcBorders>
              <w:bottom w:val="single" w:sz="8" w:color="auto"/>
              <w:right w:val="single" w:sz="8" w:color="auto"/>
            </w:tcBorders>
          </w:tcPr>
          <w:p>
            <w:pPr>
              <w:jc w:val="center"/>
              <w:ind w:left="586"/>
              <w:spacing w:after="0" w:line="176" w:lineRule="exact"/>
              <w:rPr>
                <w:sz w:val="20"/>
                <w:szCs w:val="20"/>
                <w:color w:val="auto"/>
              </w:rPr>
            </w:pPr>
            <w:r>
              <w:rPr>
                <w:rFonts w:ascii="Arial" w:cs="Arial" w:eastAsia="Arial" w:hAnsi="Arial"/>
                <w:sz w:val="13"/>
                <w:szCs w:val="13"/>
                <w:b w:val="1"/>
                <w:bCs w:val="1"/>
                <w:color w:val="auto"/>
                <w:w w:val="89"/>
              </w:rPr>
              <w:t>outstanding options</w:t>
            </w:r>
            <w:r>
              <w:rPr>
                <w:rFonts w:ascii="Arial" w:cs="Arial" w:eastAsia="Arial" w:hAnsi="Arial"/>
                <w:sz w:val="20"/>
                <w:szCs w:val="20"/>
                <w:b w:val="1"/>
                <w:bCs w:val="1"/>
                <w:color w:val="auto"/>
                <w:w w:val="89"/>
                <w:vertAlign w:val="superscript"/>
              </w:rPr>
              <w:t>(1)</w:t>
            </w:r>
          </w:p>
        </w:tc>
        <w:tc>
          <w:tcPr>
            <w:tcW w:w="230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outstanding options</w:t>
            </w:r>
          </w:p>
        </w:tc>
        <w:tc>
          <w:tcPr>
            <w:tcW w:w="2620" w:type="dxa"/>
            <w:vAlign w:val="bottom"/>
            <w:tcBorders>
              <w:bottom w:val="single" w:sz="8" w:color="auto"/>
              <w:right w:val="single" w:sz="8" w:color="auto"/>
            </w:tcBorders>
          </w:tcPr>
          <w:p>
            <w:pPr>
              <w:jc w:val="center"/>
              <w:ind w:left="507"/>
              <w:spacing w:after="0" w:line="176" w:lineRule="exact"/>
              <w:rPr>
                <w:sz w:val="20"/>
                <w:szCs w:val="20"/>
                <w:color w:val="auto"/>
              </w:rPr>
            </w:pPr>
            <w:r>
              <w:rPr>
                <w:rFonts w:ascii="Arial" w:cs="Arial" w:eastAsia="Arial" w:hAnsi="Arial"/>
                <w:sz w:val="13"/>
                <w:szCs w:val="13"/>
                <w:b w:val="1"/>
                <w:bCs w:val="1"/>
                <w:color w:val="auto"/>
                <w:w w:val="92"/>
              </w:rPr>
              <w:t>column (a))</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01"/>
        </w:trPr>
        <w:tc>
          <w:tcPr>
            <w:tcW w:w="4060" w:type="dxa"/>
            <w:vAlign w:val="bottom"/>
            <w:tcBorders>
              <w:left w:val="single" w:sz="8" w:color="auto"/>
              <w:right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Equity compensation plans approved by our</w:t>
            </w:r>
          </w:p>
        </w:tc>
        <w:tc>
          <w:tcPr>
            <w:tcW w:w="2440" w:type="dxa"/>
            <w:vAlign w:val="bottom"/>
            <w:tcBorders>
              <w:right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26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shareholders</w:t>
            </w:r>
            <w:r>
              <w:rPr>
                <w:rFonts w:ascii="Arial" w:cs="Arial" w:eastAsia="Arial" w:hAnsi="Arial"/>
                <w:sz w:val="11"/>
                <w:szCs w:val="11"/>
                <w:color w:val="auto"/>
              </w:rPr>
              <w:t>(3)</w:t>
            </w:r>
          </w:p>
        </w:tc>
        <w:tc>
          <w:tcPr>
            <w:tcW w:w="2440" w:type="dxa"/>
            <w:vAlign w:val="bottom"/>
            <w:tcBorders>
              <w:bottom w:val="single" w:sz="8" w:color="auto"/>
              <w:right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rPr>
              <w:t>7,252,540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41.51</w:t>
            </w:r>
          </w:p>
        </w:tc>
        <w:tc>
          <w:tcPr>
            <w:tcW w:w="2620" w:type="dxa"/>
            <w:vAlign w:val="bottom"/>
            <w:tcBorders>
              <w:bottom w:val="single" w:sz="8" w:color="auto"/>
              <w:right w:val="single" w:sz="8" w:color="auto"/>
            </w:tcBorders>
            <w:shd w:val="clear" w:color="auto" w:fill="CCEEFF"/>
          </w:tcPr>
          <w:p>
            <w:pPr>
              <w:jc w:val="right"/>
              <w:ind w:right="287"/>
              <w:spacing w:after="0"/>
              <w:rPr>
                <w:sz w:val="20"/>
                <w:szCs w:val="20"/>
                <w:color w:val="auto"/>
              </w:rPr>
            </w:pPr>
            <w:r>
              <w:rPr>
                <w:rFonts w:ascii="Arial" w:cs="Arial" w:eastAsia="Arial" w:hAnsi="Arial"/>
                <w:sz w:val="18"/>
                <w:szCs w:val="18"/>
                <w:color w:val="auto"/>
              </w:rPr>
              <w:t>6,217,390</w:t>
            </w: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Equity compensation plans not approved by our</w:t>
            </w:r>
          </w:p>
        </w:tc>
        <w:tc>
          <w:tcPr>
            <w:tcW w:w="24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shareholders</w:t>
            </w:r>
          </w:p>
        </w:tc>
        <w:tc>
          <w:tcPr>
            <w:tcW w:w="244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8"/>
                <w:szCs w:val="18"/>
                <w:color w:val="auto"/>
              </w:rPr>
              <w:t>N/A</w:t>
            </w: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N/A</w:t>
            </w:r>
          </w:p>
        </w:tc>
        <w:tc>
          <w:tcPr>
            <w:tcW w:w="2620" w:type="dxa"/>
            <w:vAlign w:val="bottom"/>
            <w:tcBorders>
              <w:bottom w:val="single" w:sz="8" w:color="auto"/>
              <w:right w:val="single" w:sz="8" w:color="auto"/>
            </w:tcBorders>
          </w:tcPr>
          <w:p>
            <w:pPr>
              <w:jc w:val="right"/>
              <w:ind w:right="28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8"/>
        </w:trPr>
        <w:tc>
          <w:tcPr>
            <w:tcW w:w="4060" w:type="dxa"/>
            <w:vAlign w:val="bottom"/>
            <w:tcBorders>
              <w:left w:val="single" w:sz="8" w:color="auto"/>
              <w:right w:val="single" w:sz="8" w:color="auto"/>
            </w:tcBorders>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left w:val="single" w:sz="8" w:color="auto"/>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right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rPr>
              <w:t>7,252,540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41.51</w:t>
            </w:r>
          </w:p>
        </w:tc>
        <w:tc>
          <w:tcPr>
            <w:tcW w:w="2620" w:type="dxa"/>
            <w:vAlign w:val="bottom"/>
            <w:tcBorders>
              <w:bottom w:val="single" w:sz="8" w:color="auto"/>
              <w:right w:val="single" w:sz="8" w:color="auto"/>
            </w:tcBorders>
            <w:shd w:val="clear" w:color="auto" w:fill="CCEEFF"/>
          </w:tcPr>
          <w:p>
            <w:pPr>
              <w:jc w:val="right"/>
              <w:ind w:right="287"/>
              <w:spacing w:after="0"/>
              <w:rPr>
                <w:sz w:val="20"/>
                <w:szCs w:val="20"/>
                <w:color w:val="auto"/>
              </w:rPr>
            </w:pPr>
            <w:r>
              <w:rPr>
                <w:rFonts w:ascii="Arial" w:cs="Arial" w:eastAsia="Arial" w:hAnsi="Arial"/>
                <w:sz w:val="18"/>
                <w:szCs w:val="18"/>
                <w:color w:val="auto"/>
              </w:rPr>
              <w:t>6,217,390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54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options outstanding under the Fiserv, Inc. 2007 Omnibus Incentive Plan, the Fiserv, Inc. Stock Option and Restricted Stock Plan, and the CheckFree Corporation Amended and Restated 2002 Stock Incentive Plan, which we assumed in connection with our acquisition of CheckFree Corporation.</w:t>
      </w:r>
    </w:p>
    <w:p>
      <w:pPr>
        <w:ind w:left="460" w:right="2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number of shares available for future issuance under the Fiserv, Inc. 2007 Omnibus Incentive Plan. No additional awards may be granted under the Fiserv, Inc. Stock Option and Restricted Stock Plan or the CheckFree Corporation Amended and Restated 2002 Stock Incentive Plan.</w:t>
      </w:r>
    </w:p>
    <w:p>
      <w:pPr>
        <w:spacing w:after="0" w:line="1" w:lineRule="exact"/>
        <w:rPr>
          <w:rFonts w:ascii="Arial" w:cs="Arial" w:eastAsia="Arial" w:hAnsi="Arial"/>
          <w:sz w:val="16"/>
          <w:szCs w:val="16"/>
          <w:color w:val="auto"/>
        </w:rPr>
      </w:pPr>
    </w:p>
    <w:p>
      <w:pPr>
        <w:ind w:left="460" w:right="4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Columns (a) and (c) of the table above do not include: (i) 1,025,029 shares of unvested restricted stock and restricted stock units outstanding under the Fiserv, Inc. 2007 Omnibus Incentive Plan or the Fiserv, Inc. Stock Option and Restricted Stock Plan; (ii) 1,200,000 shares authorized for issuance under the Fiserv, Inc. Amended and Restated Employee Stock Purchase Plan, which became effective on January 1, 2010; or (iii) 500,922 shares available for issuance under the Fiserv, Inc. Employee Stock Purchase Plan, which expired on December 31, 2009. The number of shares remaining available for future issuance under the Amended and Restated Employee Stock Purchase Plan is subject to an annual increase on the first day of each fiscal year equal to the lesser of (A) 1,000,000 shares, (B) 1% of the shares of our common stock outstanding on such date, or (C) a lesser amount determined by our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information required by Item 13 is incorporated by reference to the information set forth under the captions “Corporate Governance – Director Independence,” “Corporate Governance – Review, Approval or Ratification of Transactions with Related Persons,” and “Corporate Governance – Certain Relationships and Related Transactions” in our definitive proxy statement for our 2010 annual meeting of shareholders, which will be filed with the Securities and Exchange Commission no later than 120 days after the close of the fiscal year ended December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information required by Item 14 is incorporated by reference to the information set forth under the caption “Audit Fees” in our definitive proxy statement for our 2010 annual meeting of shareholders, which will be filed with the Securities and Exchange Commission no later than 120 days after the close of the fiscal year ended December 31,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220" w:type="dxa"/>
            <w:vAlign w:val="bottom"/>
          </w:tcPr>
          <w:p>
            <w:pPr>
              <w:ind w:left="4900"/>
              <w:spacing w:after="0"/>
              <w:rPr>
                <w:sz w:val="20"/>
                <w:szCs w:val="20"/>
                <w:color w:val="auto"/>
              </w:rPr>
            </w:pPr>
            <w:r>
              <w:rPr>
                <w:rFonts w:ascii="Arial" w:cs="Arial" w:eastAsia="Arial" w:hAnsi="Arial"/>
                <w:sz w:val="18"/>
                <w:szCs w:val="18"/>
                <w:b w:val="1"/>
                <w:bCs w:val="1"/>
                <w:color w:val="auto"/>
              </w:rPr>
              <w:t>PART IV</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680" w:type="dxa"/>
            <w:vAlign w:val="bottom"/>
            <w:gridSpan w:val="2"/>
          </w:tcPr>
          <w:p>
            <w:pPr>
              <w:spacing w:after="0"/>
              <w:rPr>
                <w:sz w:val="20"/>
                <w:szCs w:val="20"/>
                <w:color w:val="auto"/>
              </w:rPr>
            </w:pPr>
            <w:r>
              <w:rPr>
                <w:rFonts w:ascii="Arial" w:cs="Arial" w:eastAsia="Arial" w:hAnsi="Arial"/>
                <w:sz w:val="18"/>
                <w:szCs w:val="18"/>
                <w:i w:val="1"/>
                <w:iCs w:val="1"/>
                <w:color w:val="auto"/>
              </w:rPr>
              <w:t>Financial Statement Schedule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680" w:type="dxa"/>
            <w:vAlign w:val="bottom"/>
            <w:gridSpan w:val="2"/>
          </w:tcPr>
          <w:p>
            <w:pPr>
              <w:ind w:left="460"/>
              <w:spacing w:after="0"/>
              <w:rPr>
                <w:sz w:val="20"/>
                <w:szCs w:val="20"/>
                <w:color w:val="auto"/>
              </w:rPr>
            </w:pPr>
            <w:r>
              <w:rPr>
                <w:rFonts w:ascii="Arial" w:cs="Arial" w:eastAsia="Arial" w:hAnsi="Arial"/>
                <w:sz w:val="18"/>
                <w:szCs w:val="18"/>
                <w:color w:val="auto"/>
              </w:rPr>
              <w:t>The following financial statement schedule is included in this Annual Report on 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10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210"/>
        </w:trPr>
        <w:tc>
          <w:tcPr>
            <w:tcW w:w="46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consolidated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as part of this Annual Report on Form 10-K.</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240" w:top="459" w:right="6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EFFERY</w:t>
      </w:r>
      <w:r>
        <w:rPr>
          <w:rFonts w:ascii="Arial" w:cs="Arial" w:eastAsia="Arial" w:hAnsi="Arial"/>
          <w:sz w:val="16"/>
          <w:szCs w:val="16"/>
          <w:color w:val="auto"/>
        </w:rPr>
        <w:t xml:space="preserve"> W. Y</w:t>
      </w:r>
      <w:r>
        <w:rPr>
          <w:rFonts w:ascii="Arial" w:cs="Arial" w:eastAsia="Arial" w:hAnsi="Arial"/>
          <w:sz w:val="13"/>
          <w:szCs w:val="13"/>
          <w:color w:val="auto"/>
        </w:rPr>
        <w:t>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Jeffery W. Yabuki</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26, 2010.</w:t>
      </w:r>
    </w:p>
    <w:p>
      <w:pPr>
        <w:spacing w:after="0" w:line="168"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Capacity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F. D</w:t>
            </w:r>
            <w:r>
              <w:rPr>
                <w:rFonts w:ascii="Arial" w:cs="Arial" w:eastAsia="Arial" w:hAnsi="Arial"/>
                <w:sz w:val="14"/>
                <w:szCs w:val="14"/>
                <w:color w:val="auto"/>
              </w:rPr>
              <w:t>ILLON</w:t>
            </w:r>
          </w:p>
        </w:tc>
        <w:tc>
          <w:tcPr>
            <w:tcW w:w="6000" w:type="dxa"/>
            <w:vAlign w:val="bottom"/>
          </w:tcPr>
          <w:p>
            <w:pPr>
              <w:ind w:left="580"/>
              <w:spacing w:after="0"/>
              <w:rPr>
                <w:sz w:val="20"/>
                <w:szCs w:val="20"/>
                <w:color w:val="auto"/>
              </w:rPr>
            </w:pPr>
            <w:r>
              <w:rPr>
                <w:rFonts w:ascii="Arial" w:cs="Arial" w:eastAsia="Arial" w:hAnsi="Arial"/>
                <w:sz w:val="18"/>
                <w:szCs w:val="18"/>
                <w:color w:val="auto"/>
              </w:rPr>
              <w:t>Chairman of the Board</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90"/>
              </w:rPr>
              <w:t>Donald F. Dillon</w:t>
            </w:r>
          </w:p>
        </w:tc>
        <w:tc>
          <w:tcPr>
            <w:tcW w:w="600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EFFERY</w:t>
            </w:r>
            <w:r>
              <w:rPr>
                <w:rFonts w:ascii="Arial" w:cs="Arial" w:eastAsia="Arial" w:hAnsi="Arial"/>
                <w:sz w:val="18"/>
                <w:szCs w:val="18"/>
                <w:color w:val="auto"/>
                <w:w w:val="97"/>
              </w:rPr>
              <w:t xml:space="preserve"> W. Y</w:t>
            </w:r>
            <w:r>
              <w:rPr>
                <w:rFonts w:ascii="Arial" w:cs="Arial" w:eastAsia="Arial" w:hAnsi="Arial"/>
                <w:sz w:val="14"/>
                <w:szCs w:val="14"/>
                <w:color w:val="auto"/>
                <w:w w:val="97"/>
              </w:rPr>
              <w:t>ABUKI</w:t>
            </w:r>
          </w:p>
        </w:tc>
        <w:tc>
          <w:tcPr>
            <w:tcW w:w="6000" w:type="dxa"/>
            <w:vAlign w:val="bottom"/>
          </w:tcPr>
          <w:p>
            <w:pPr>
              <w:ind w:left="580"/>
              <w:spacing w:after="0"/>
              <w:rPr>
                <w:sz w:val="20"/>
                <w:szCs w:val="20"/>
                <w:color w:val="auto"/>
              </w:rPr>
            </w:pPr>
            <w:r>
              <w:rPr>
                <w:rFonts w:ascii="Arial" w:cs="Arial" w:eastAsia="Arial" w:hAnsi="Arial"/>
                <w:sz w:val="18"/>
                <w:szCs w:val="18"/>
                <w:color w:val="auto"/>
                <w:w w:val="90"/>
              </w:rPr>
              <w:t>Director, President and Chief Executive Officer (Principal Executive Officer)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Jeffery W. Yabuki</w:t>
            </w:r>
          </w:p>
        </w:tc>
        <w:tc>
          <w:tcPr>
            <w:tcW w:w="6000" w:type="dxa"/>
            <w:vAlign w:val="bottom"/>
          </w:tcPr>
          <w:p>
            <w:pPr>
              <w:spacing w:after="0"/>
              <w:rPr>
                <w:sz w:val="14"/>
                <w:szCs w:val="14"/>
                <w:color w:val="auto"/>
              </w:rPr>
            </w:pPr>
          </w:p>
        </w:tc>
      </w:tr>
      <w:tr>
        <w:trPr>
          <w:trHeight w:val="418"/>
        </w:trPr>
        <w:tc>
          <w:tcPr>
            <w:tcW w:w="17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6"/>
              </w:rPr>
              <w:t>T</w:t>
            </w:r>
            <w:r>
              <w:rPr>
                <w:rFonts w:ascii="Arial" w:cs="Arial" w:eastAsia="Arial" w:hAnsi="Arial"/>
                <w:sz w:val="14"/>
                <w:szCs w:val="14"/>
                <w:color w:val="auto"/>
                <w:w w:val="96"/>
              </w:rPr>
              <w:t>HOMAS</w:t>
            </w:r>
            <w:r>
              <w:rPr>
                <w:rFonts w:ascii="Arial" w:cs="Arial" w:eastAsia="Arial" w:hAnsi="Arial"/>
                <w:sz w:val="18"/>
                <w:szCs w:val="18"/>
                <w:color w:val="auto"/>
                <w:w w:val="96"/>
              </w:rPr>
              <w:t xml:space="preserve"> J. H</w:t>
            </w:r>
            <w:r>
              <w:rPr>
                <w:rFonts w:ascii="Arial" w:cs="Arial" w:eastAsia="Arial" w:hAnsi="Arial"/>
                <w:sz w:val="14"/>
                <w:szCs w:val="14"/>
                <w:color w:val="auto"/>
                <w:w w:val="96"/>
              </w:rPr>
              <w:t>IRSCH</w:t>
            </w:r>
          </w:p>
        </w:tc>
        <w:tc>
          <w:tcPr>
            <w:tcW w:w="6000" w:type="dxa"/>
            <w:vAlign w:val="bottom"/>
          </w:tcPr>
          <w:p>
            <w:pPr>
              <w:ind w:left="580"/>
              <w:spacing w:after="0"/>
              <w:rPr>
                <w:sz w:val="20"/>
                <w:szCs w:val="20"/>
                <w:color w:val="auto"/>
              </w:rPr>
            </w:pPr>
            <w:r>
              <w:rPr>
                <w:rFonts w:ascii="Arial" w:cs="Arial" w:eastAsia="Arial" w:hAnsi="Arial"/>
                <w:sz w:val="18"/>
                <w:szCs w:val="18"/>
                <w:color w:val="auto"/>
              </w:rPr>
              <w:t>Executive Vice President, Chief Financial Officer</w:t>
            </w:r>
          </w:p>
        </w:tc>
      </w:tr>
      <w:tr>
        <w:trPr>
          <w:trHeight w:val="202"/>
        </w:trPr>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Thomas J. Hirsch</w:t>
            </w:r>
          </w:p>
        </w:tc>
        <w:tc>
          <w:tcPr>
            <w:tcW w:w="6000" w:type="dxa"/>
            <w:vAlign w:val="bottom"/>
          </w:tcPr>
          <w:p>
            <w:pPr>
              <w:ind w:left="780"/>
              <w:spacing w:after="0" w:line="202" w:lineRule="exact"/>
              <w:rPr>
                <w:sz w:val="20"/>
                <w:szCs w:val="20"/>
                <w:color w:val="auto"/>
              </w:rPr>
            </w:pPr>
            <w:r>
              <w:rPr>
                <w:rFonts w:ascii="Arial" w:cs="Arial" w:eastAsia="Arial" w:hAnsi="Arial"/>
                <w:sz w:val="18"/>
                <w:szCs w:val="18"/>
                <w:color w:val="auto"/>
              </w:rPr>
              <w:t>and Treasurer (Principal Financial and Accounting Officer)</w:t>
            </w:r>
          </w:p>
        </w:tc>
      </w:tr>
      <w:tr>
        <w:trPr>
          <w:trHeight w:val="427"/>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2"/>
          </w:tcPr>
          <w:p>
            <w:pPr>
              <w:jc w:val="center"/>
              <w:ind w:right="1644"/>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ANIEL</w:t>
            </w:r>
            <w:r>
              <w:rPr>
                <w:rFonts w:ascii="Arial" w:cs="Arial" w:eastAsia="Arial" w:hAnsi="Arial"/>
                <w:sz w:val="18"/>
                <w:szCs w:val="18"/>
                <w:color w:val="auto"/>
                <w:w w:val="99"/>
              </w:rPr>
              <w:t xml:space="preserve"> P. K</w:t>
            </w:r>
            <w:r>
              <w:rPr>
                <w:rFonts w:ascii="Arial" w:cs="Arial" w:eastAsia="Arial" w:hAnsi="Arial"/>
                <w:sz w:val="14"/>
                <w:szCs w:val="14"/>
                <w:color w:val="auto"/>
                <w:w w:val="99"/>
              </w:rPr>
              <w:t>EARNEY</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7"/>
              </w:rPr>
              <w:t>Daniel P. Kearney</w:t>
            </w:r>
          </w:p>
        </w:tc>
        <w:tc>
          <w:tcPr>
            <w:tcW w:w="600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J. K</w:t>
            </w:r>
            <w:r>
              <w:rPr>
                <w:rFonts w:ascii="Arial" w:cs="Arial" w:eastAsia="Arial" w:hAnsi="Arial"/>
                <w:sz w:val="14"/>
                <w:szCs w:val="14"/>
                <w:color w:val="auto"/>
                <w:w w:val="95"/>
              </w:rPr>
              <w:t>IGHT</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8"/>
              </w:rPr>
              <w:t>Peter J. Kight</w:t>
            </w:r>
          </w:p>
        </w:tc>
        <w:tc>
          <w:tcPr>
            <w:tcW w:w="600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ERALD</w:t>
            </w:r>
            <w:r>
              <w:rPr>
                <w:rFonts w:ascii="Arial" w:cs="Arial" w:eastAsia="Arial" w:hAnsi="Arial"/>
                <w:sz w:val="18"/>
                <w:szCs w:val="18"/>
                <w:color w:val="auto"/>
                <w:w w:val="99"/>
              </w:rPr>
              <w:t xml:space="preserve"> J. L</w:t>
            </w:r>
            <w:r>
              <w:rPr>
                <w:rFonts w:ascii="Arial" w:cs="Arial" w:eastAsia="Arial" w:hAnsi="Arial"/>
                <w:sz w:val="14"/>
                <w:szCs w:val="14"/>
                <w:color w:val="auto"/>
                <w:w w:val="99"/>
              </w:rPr>
              <w:t>EVY</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7"/>
              </w:rPr>
              <w:t>Gerald J. Levy</w:t>
            </w:r>
          </w:p>
        </w:tc>
        <w:tc>
          <w:tcPr>
            <w:tcW w:w="600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ENIS</w:t>
            </w:r>
            <w:r>
              <w:rPr>
                <w:rFonts w:ascii="Arial" w:cs="Arial" w:eastAsia="Arial" w:hAnsi="Arial"/>
                <w:sz w:val="18"/>
                <w:szCs w:val="18"/>
                <w:color w:val="auto"/>
                <w:w w:val="98"/>
              </w:rPr>
              <w:t xml:space="preserve"> J. O’L</w:t>
            </w:r>
            <w:r>
              <w:rPr>
                <w:rFonts w:ascii="Arial" w:cs="Arial" w:eastAsia="Arial" w:hAnsi="Arial"/>
                <w:sz w:val="14"/>
                <w:szCs w:val="14"/>
                <w:color w:val="auto"/>
                <w:w w:val="98"/>
              </w:rPr>
              <w:t>EARY</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91"/>
              </w:rPr>
              <w:t>Denis J. O’Leary</w:t>
            </w:r>
          </w:p>
        </w:tc>
        <w:tc>
          <w:tcPr>
            <w:tcW w:w="600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2"/>
          </w:tcPr>
          <w:p>
            <w:pPr>
              <w:jc w:val="center"/>
              <w:ind w:right="1644"/>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LENN</w:t>
            </w:r>
            <w:r>
              <w:rPr>
                <w:rFonts w:ascii="Arial" w:cs="Arial" w:eastAsia="Arial" w:hAnsi="Arial"/>
                <w:sz w:val="18"/>
                <w:szCs w:val="18"/>
                <w:color w:val="auto"/>
                <w:w w:val="99"/>
              </w:rPr>
              <w:t xml:space="preserve"> M. R</w:t>
            </w:r>
            <w:r>
              <w:rPr>
                <w:rFonts w:ascii="Arial" w:cs="Arial" w:eastAsia="Arial" w:hAnsi="Arial"/>
                <w:sz w:val="14"/>
                <w:szCs w:val="14"/>
                <w:color w:val="auto"/>
                <w:w w:val="99"/>
              </w:rPr>
              <w:t>ENWICK</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90"/>
              </w:rPr>
              <w:t>Glenn M. Renwick</w:t>
            </w:r>
          </w:p>
        </w:tc>
        <w:tc>
          <w:tcPr>
            <w:tcW w:w="600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IM</w:t>
            </w:r>
            <w:r>
              <w:rPr>
                <w:rFonts w:ascii="Arial" w:cs="Arial" w:eastAsia="Arial" w:hAnsi="Arial"/>
                <w:sz w:val="18"/>
                <w:szCs w:val="18"/>
                <w:color w:val="auto"/>
              </w:rPr>
              <w:t xml:space="preserve"> M. R</w:t>
            </w:r>
            <w:r>
              <w:rPr>
                <w:rFonts w:ascii="Arial" w:cs="Arial" w:eastAsia="Arial" w:hAnsi="Arial"/>
                <w:sz w:val="14"/>
                <w:szCs w:val="14"/>
                <w:color w:val="auto"/>
              </w:rPr>
              <w:t>OBAK</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95"/>
              </w:rPr>
              <w:t>Kim M. Robak</w:t>
            </w:r>
          </w:p>
        </w:tc>
        <w:tc>
          <w:tcPr>
            <w:tcW w:w="600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OYLE</w:t>
            </w:r>
            <w:r>
              <w:rPr>
                <w:rFonts w:ascii="Arial" w:cs="Arial" w:eastAsia="Arial" w:hAnsi="Arial"/>
                <w:sz w:val="18"/>
                <w:szCs w:val="18"/>
                <w:color w:val="auto"/>
                <w:w w:val="98"/>
              </w:rPr>
              <w:t xml:space="preserve"> R. S</w:t>
            </w:r>
            <w:r>
              <w:rPr>
                <w:rFonts w:ascii="Arial" w:cs="Arial" w:eastAsia="Arial" w:hAnsi="Arial"/>
                <w:sz w:val="14"/>
                <w:szCs w:val="14"/>
                <w:color w:val="auto"/>
                <w:w w:val="98"/>
              </w:rPr>
              <w:t>IMONS</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6"/>
              </w:rPr>
              <w:t>Doyle R. Simons</w:t>
            </w:r>
          </w:p>
        </w:tc>
        <w:tc>
          <w:tcPr>
            <w:tcW w:w="600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C. W</w:t>
            </w:r>
            <w:r>
              <w:rPr>
                <w:rFonts w:ascii="Arial" w:cs="Arial" w:eastAsia="Arial" w:hAnsi="Arial"/>
                <w:sz w:val="14"/>
                <w:szCs w:val="14"/>
                <w:color w:val="auto"/>
              </w:rPr>
              <w:t>ERTHEIMER</w:t>
            </w:r>
          </w:p>
        </w:tc>
        <w:tc>
          <w:tcPr>
            <w:tcW w:w="600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Thomas C. Wertheimer</w:t>
            </w:r>
          </w:p>
        </w:tc>
        <w:tc>
          <w:tcPr>
            <w:tcW w:w="6000" w:type="dxa"/>
            <w:vAlign w:val="bottom"/>
          </w:tcPr>
          <w:p>
            <w:pPr>
              <w:spacing w:after="0"/>
              <w:rPr>
                <w:sz w:val="14"/>
                <w:szCs w:val="14"/>
                <w:color w:val="auto"/>
              </w:rPr>
            </w:pPr>
          </w:p>
        </w:tc>
      </w:tr>
      <w:tr>
        <w:trPr>
          <w:trHeight w:val="350"/>
        </w:trPr>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0" w:type="dxa"/>
            <w:vAlign w:val="bottom"/>
          </w:tcPr>
          <w:p>
            <w:pPr>
              <w:ind w:left="5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 Doubtful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1"/>
              </w:rPr>
              <w:t>Beginning</w:t>
            </w:r>
          </w:p>
        </w:tc>
        <w:tc>
          <w:tcPr>
            <w:tcW w:w="4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 of</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to Expense</w:t>
            </w:r>
          </w:p>
        </w:tc>
        <w:tc>
          <w:tcPr>
            <w:tcW w:w="5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5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jc w:val="right"/>
              <w:ind w:right="4372"/>
              <w:spacing w:after="0"/>
              <w:rPr>
                <w:sz w:val="20"/>
                <w:szCs w:val="20"/>
                <w:color w:val="auto"/>
              </w:rPr>
            </w:pPr>
            <w:r>
              <w:rPr>
                <w:rFonts w:ascii="Arial" w:cs="Arial" w:eastAsia="Arial" w:hAnsi="Arial"/>
                <w:sz w:val="18"/>
                <w:szCs w:val="18"/>
                <w:color w:val="auto"/>
                <w:w w:val="84"/>
              </w:rPr>
              <w:t>2009</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right"/>
              <w:ind w:right="4372"/>
              <w:spacing w:after="0"/>
              <w:rPr>
                <w:sz w:val="20"/>
                <w:szCs w:val="20"/>
                <w:color w:val="auto"/>
              </w:rPr>
            </w:pPr>
            <w:r>
              <w:rPr>
                <w:rFonts w:ascii="Arial" w:cs="Arial" w:eastAsia="Arial" w:hAnsi="Arial"/>
                <w:sz w:val="18"/>
                <w:szCs w:val="18"/>
                <w:color w:val="auto"/>
                <w:w w:val="84"/>
              </w:rPr>
              <w:t>2008</w:t>
            </w:r>
          </w:p>
        </w:tc>
        <w:tc>
          <w:tcPr>
            <w:tcW w:w="2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right"/>
              <w:ind w:right="4372"/>
              <w:spacing w:after="0"/>
              <w:rPr>
                <w:sz w:val="20"/>
                <w:szCs w:val="20"/>
                <w:color w:val="auto"/>
              </w:rPr>
            </w:pPr>
            <w:r>
              <w:rPr>
                <w:rFonts w:ascii="Arial" w:cs="Arial" w:eastAsia="Arial" w:hAnsi="Arial"/>
                <w:sz w:val="18"/>
                <w:szCs w:val="18"/>
                <w:color w:val="auto"/>
                <w:w w:val="84"/>
              </w:rPr>
              <w:t>2007</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jc w:val="center"/>
              <w:ind w:right="119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5"/>
                <w:szCs w:val="15"/>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2.1</w:t>
            </w:r>
          </w:p>
        </w:tc>
        <w:tc>
          <w:tcPr>
            <w:tcW w:w="800" w:type="dxa"/>
            <w:vAlign w:val="bottom"/>
          </w:tcPr>
          <w:p>
            <w:pPr>
              <w:spacing w:after="0"/>
              <w:rPr>
                <w:sz w:val="16"/>
                <w:szCs w:val="16"/>
                <w:color w:val="auto"/>
              </w:rPr>
            </w:pPr>
          </w:p>
        </w:tc>
        <w:tc>
          <w:tcPr>
            <w:tcW w:w="10120" w:type="dxa"/>
            <w:vAlign w:val="bottom"/>
          </w:tcPr>
          <w:p>
            <w:pPr>
              <w:spacing w:after="0" w:line="195" w:lineRule="exact"/>
              <w:rPr>
                <w:sz w:val="20"/>
                <w:szCs w:val="20"/>
                <w:color w:val="auto"/>
              </w:rPr>
            </w:pPr>
            <w:r>
              <w:rPr>
                <w:rFonts w:ascii="Arial" w:cs="Arial" w:eastAsia="Arial" w:hAnsi="Arial"/>
                <w:sz w:val="18"/>
                <w:szCs w:val="18"/>
                <w:color w:val="auto"/>
                <w:w w:val="91"/>
              </w:rPr>
              <w:t>Stock Subscription and Purchase Agreement by and among Trident FIS Holdings, LLL, Trident FIS PF Holdings, LLC, Insurance Solutions</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Holdings, Inc., Insurance Solutions Group, Inc., Fiserv, Inc. and Fiserv Insurance Holdings, Inc., dated as of July 1, 2008 (1)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Second Amended and Restated Stock Purchase Agreement, dated as of April 15, 2009, by and between Fiserv, Inc. and Robert Beriault</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Holdings, Inc. (2)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Asset Purchase Agreement, dated April 15, 2009, by and among Fiserv, Inc., Lincoln Trust Company, and Robert Beriault Holdings, Inc. (2)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Restated Articles of Incorporation (3)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Amended and Restated Bylaws (4)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88"/>
              </w:rPr>
              <w:t>Credit Agreement, dated as of March 24, 2006, among Fiserv, Inc., certain foreign subsidiaries thereof from time to time parties thereto and the</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financial institutions parties thereto (5)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Amendment No. 1 to Credit Agreement, dated as of November 9, 2007, among Fiserv, Inc. and the financial institutions parties thereto (6)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Loan Agreement, dated as of November 9, 2007, among Fiserv, Inc. and the financial institutions parties thereto (6)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Indenture, dated as of November 20, 2007, by and among Fiserv, Inc., the guarantors named therein and U.S. Bank National Association (7)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First Supplemental Indenture, dated as of November 20, 2007, among Fiserv, Inc., the guarantors named therein and U.S. Bank National</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Association (8)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Second Supplemental Indenture, dated as of November 20, 2007, among Fiserv, Inc., the guarantors named therein and U.S. Bank National</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Association (8)</w:t>
            </w:r>
          </w:p>
        </w:tc>
      </w:tr>
      <w:tr>
        <w:trPr>
          <w:trHeight w:val="318"/>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Pursuant to Item 601(b)(4)(iii) of Regulation S-K, the Company agrees to furnish to the Securities and Exchange Commission, upon request,</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any instrument defining the rights of holders of long-term debt that is not filed as an exhibit to this 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Fiserv, Inc. Stock Option and Restricted Stock Plan, as amended and restated (9)*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Amendment to Fiserv, Inc. Stock Option and Restricted Stock Plan (10)*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Fiserv, Inc. 2007 Omnibus Incentive Plan (3)*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CheckFree Corporation Amended and Restated 2002 Stock Incentive Plan (11)*</w:t>
            </w:r>
          </w:p>
        </w:tc>
      </w:tr>
      <w:tr>
        <w:trPr>
          <w:trHeight w:val="318"/>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Fiserv, Inc. Stock Option and Restricted Stock Plan</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Forms of Award Agreements</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 Form of Amendment to Stock Option Agreement (10)*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 Form of Director Restricted Stock Agreement (12)*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 Form of Employee Restricted Stock Agreement (13)*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 Form of Non-Qualified Stock Option Agreement for Outside Directors (12)*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 Form of Employee Non-Qualified Stock Option Agreement for Employee Directors (12)*</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02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5"/>
                <w:szCs w:val="15"/>
                <w:color w:val="auto"/>
              </w:rPr>
            </w:pPr>
          </w:p>
        </w:tc>
        <w:tc>
          <w:tcPr>
            <w:tcW w:w="10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rPr>
              <w:t>10.10</w:t>
            </w:r>
          </w:p>
        </w:tc>
        <w:tc>
          <w:tcPr>
            <w:tcW w:w="68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Employee Non-Qualified Stock Option Agreement for Senior Management (13)*</w:t>
            </w:r>
          </w:p>
        </w:tc>
      </w:tr>
      <w:tr>
        <w:trPr>
          <w:trHeight w:val="309"/>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Fiserv, Inc. 2007 Omnibus Incentive Plan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Forms of Award Agreements</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Restricted Stock Agreement (Non-Employee Director) (3)*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Restricted Stock Agreement (Employee) (3)*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Restricted Stock Unit Agreement (Non-Employee Director)(14)*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Restricted Stock Unit Agreement (Senior Management)(14)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Non-Qualified Stock Option Agreement (Non-Employee Director)(14)*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Non-Qualified Stock Option Agreement (Senior Management)(14)*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Non-Qualified Stock Option Agreement (Special Equity Award 2008) (22)*</w:t>
            </w:r>
          </w:p>
        </w:tc>
      </w:tr>
      <w:tr>
        <w:trPr>
          <w:trHeight w:val="318"/>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CheckFree Corporation Amended and Restated 2002 Stock Incentive Plan</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Forms of Award Agreements</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Nonstatutory Stock Option Agreement (11)*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 Form of Incentive Stock Option Agreement (11)*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Amended and Restated Employment Agreement, dated December 22, 2008, between Fiserv, Inc. and Jeffery W. Yabuki (16)*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Amendment No. 1 to Amended and Restated Employment Agreement, dated February 26, 2009, between Fiserv, Inc. and Jeffery W. Yabuki</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80"/>
              <w:spacing w:after="0"/>
              <w:rPr>
                <w:sz w:val="20"/>
                <w:szCs w:val="20"/>
                <w:color w:val="auto"/>
              </w:rPr>
            </w:pPr>
            <w:r>
              <w:rPr>
                <w:rFonts w:ascii="Arial" w:cs="Arial" w:eastAsia="Arial" w:hAnsi="Arial"/>
                <w:sz w:val="18"/>
                <w:szCs w:val="18"/>
                <w:color w:val="auto"/>
              </w:rPr>
              <w:t>(14)*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Amendment No. 2 to Amended and Restated Employment Agreement, dated December 30, 2009, between Fiserv, Inc. and Jeffery W. Yabuki</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80"/>
              <w:spacing w:after="0"/>
              <w:rPr>
                <w:sz w:val="20"/>
                <w:szCs w:val="20"/>
                <w:color w:val="auto"/>
              </w:rPr>
            </w:pPr>
            <w:r>
              <w:rPr>
                <w:rFonts w:ascii="Arial" w:cs="Arial" w:eastAsia="Arial" w:hAnsi="Arial"/>
                <w:sz w:val="18"/>
                <w:szCs w:val="18"/>
                <w:color w:val="auto"/>
              </w:rPr>
              <w:t>(17)*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Amended and Restated Key Executive Employment and Severance Agreement, dated December 22, 2008, between Fiserv, Inc. and Jeffery W.</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Yabuki (16)*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Employee Non-Qualified Stock Option Agreement, dated November 7, 2005, between Fiserv, Inc. and Jeffery W. Yabuki (18)*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Employee Non-Qualified Stock Option Agreement, dated November 7, 2005, between Fiserv, Inc. and Jeffery W. Yabuki (18)*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Employee Restricted Stock Agreement, dated November 7, 2005, between Fiserv, Inc. and Jeffery W. Yabuki (18)*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Amendment to Employee Restricted Stock Agreement, dated March 30, 2006, between Fiserv, Inc. and Jeffery W. Yabuki (19)*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Amended and Restated Executive Employment Agreement between CheckFree Corporation and Peter J. Kight (14)*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Retention Agreement, dated as of July 27, 2007, between CheckFree Corporation and Peter J. Kight (20)*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9"/>
              </w:rPr>
              <w:t>Amendment No. 1 to Retention Agreement, dated as of August 2, 2007, between CheckFree Corporation and Peter J. Kight (21)*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68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Amendment No. 2 to Retention Agreement, dated as of December 22, 2008, between CheckFree Corporation and Peter J. Kight (14)*</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tcPr>
          <w:p>
            <w:pPr>
              <w:spacing w:after="0"/>
              <w:rPr>
                <w:sz w:val="14"/>
                <w:szCs w:val="14"/>
                <w:color w:val="auto"/>
              </w:rPr>
            </w:pPr>
          </w:p>
        </w:tc>
      </w:tr>
      <w:tr>
        <w:trPr>
          <w:trHeight w:val="18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20" w:type="dxa"/>
            <w:vAlign w:val="bottom"/>
          </w:tcPr>
          <w:p>
            <w:pPr>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10.32</w:t>
            </w:r>
          </w:p>
        </w:tc>
        <w:tc>
          <w:tcPr>
            <w:tcW w:w="100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Form of Amended and Restated Key Executive Employment and Severance Agreement, between Fiserv, Inc. and each of James Cox,</w:t>
            </w:r>
          </w:p>
        </w:tc>
      </w:tr>
      <w:tr>
        <w:trPr>
          <w:trHeight w:val="222"/>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Thomas Hirsch, Steve Olsen, Charles Sprague, Steven Tait and Thomas Warsop (16)*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Amended and Restated Employment Agreement, dated December 22, 2008, between Fiserv, Inc. and Thomas Warsop (16)*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Amended and Restated Employment Agreement, dated December 22, 2008, between Fiserv, Inc. and Steve Olsen (14)*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Amendment No. 1 to Amended and Restated Employment Agreement, dated December 18, 2009, between Fiserv, Inc. and Steve Olsen*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Employment Agreement, dated October 27, 2009, between Fiserv, Inc. and Steven Tait*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Amendment to Employment Agreement, dated December 11, 2009, between Fiserv, Inc. and Steven Tait*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Retention Agreement, dated July 27, 2007, between CheckFree Corporation and Michael P. Gianoni*</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Amendment to Retention Agreement, dated August 2, 2007, between CheckFree Corporation and Michael P. Gianoni*</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Amendment No. 2 to Retention Agreement, dated December 22, 2008, between CheckFree Corporation and Michael P. Gianoni*</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Non-Employee Director Indemnity Agreement (22)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Fiserv, Inc. Non-Employee Director Deferred Compensation Plan (22)*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Non-Employee Director Compensation Schedule*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Subsidiaries of Fiserv,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Certification of the Chief Executive Officer and the Chief Financial Officer pursuant to Section 906 of the Sarbanes-Oxley Act of 2002</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right"/>
        <w:ind w:left="5620" w:right="5560" w:hanging="5612"/>
        <w:spacing w:after="0" w:line="408" w:lineRule="auto"/>
        <w:tabs>
          <w:tab w:leader="none" w:pos="4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This exhibit is a management contract or compensatory plan or arrangement. 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60" w:hanging="572"/>
        <w:spacing w:after="0" w:line="28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Furnished with this Annual Report on Form 10-K are the following documents formatted in XBRL (Extensible Business Reporting Language): (i) the Consolidated Statements of Income for the three years ended December 31, 2009, 2008 and 2007, (ii) the Consolidated Balance Sheets at December 31, 2009 and 2008, (iii) the Consolidated Statements of Shareholders’ Equity for the three years ended December 31, 2009, 2008 and 2007, (iv) the</w:t>
      </w:r>
    </w:p>
    <w:p>
      <w:pPr>
        <w:spacing w:after="0" w:line="1" w:lineRule="exact"/>
        <w:rPr>
          <w:sz w:val="20"/>
          <w:szCs w:val="20"/>
          <w:color w:val="auto"/>
        </w:rPr>
      </w:pPr>
    </w:p>
    <w:p>
      <w:pPr>
        <w:ind w:left="580" w:right="820"/>
        <w:spacing w:after="0" w:line="250" w:lineRule="auto"/>
        <w:rPr>
          <w:sz w:val="20"/>
          <w:szCs w:val="20"/>
          <w:color w:val="auto"/>
        </w:rPr>
      </w:pPr>
      <w:r>
        <w:rPr>
          <w:rFonts w:ascii="Arial" w:cs="Arial" w:eastAsia="Arial" w:hAnsi="Arial"/>
          <w:sz w:val="18"/>
          <w:szCs w:val="18"/>
          <w:color w:val="auto"/>
        </w:rPr>
        <w:t>Consolidated Statements of Cash Flows for the three years ended December 31, 2009, 2008 and 2007, and (v) Notes to Consolidated Financial Statements.</w:t>
      </w:r>
    </w:p>
    <w:p>
      <w:pPr>
        <w:spacing w:after="0" w:line="1"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on July 8, 2008,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April 21, 2009,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May 23,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3,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March 29,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November 13, 2007, and incorporated herein by reference.</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S-3 (File No. 333-147309) filed on November 13, 2007, and incorporated herein by reference.</w:t>
      </w: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November 20,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Proxy Statement on Schedule 14A filed on February 25,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November 24,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7,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October 22,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Annual Report on Form 10-K filed on March 15,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Annual Report on Form 10-K filed on February 27, 2009,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May 9,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23,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30, 2009,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November 7,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April 28,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CheckFree Corporation’s Current Report on Form 8-K filed on July 31,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CheckFree Corporation’s Current Report on Form 8-K filed on August 7,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as an exhibit to the Company’s Annual Report on Form 10-K filed on February 28, 2008, and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AMENDED AND RESTATED EMPLOYMENT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AMENDMENT to the Amended and Restated Employment Agreement is made effective this 18</w:t>
      </w:r>
      <w:r>
        <w:rPr>
          <w:rFonts w:ascii="Arial" w:cs="Arial" w:eastAsia="Arial" w:hAnsi="Arial"/>
          <w:sz w:val="11"/>
          <w:szCs w:val="11"/>
          <w:color w:val="auto"/>
        </w:rPr>
        <w:t>th</w:t>
      </w:r>
      <w:r>
        <w:rPr>
          <w:rFonts w:ascii="Arial" w:cs="Arial" w:eastAsia="Arial" w:hAnsi="Arial"/>
          <w:sz w:val="18"/>
          <w:szCs w:val="18"/>
          <w:color w:val="auto"/>
        </w:rPr>
        <w:t xml:space="preserve"> day of December, 2009, by and between Fiserv, Inc., a Wisconsin Corporation (the “Company”), and Stephen Olsen (the “Employee”).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the Employee and the Company entered into an Amended and Restated Employment Agreement effective as of December 22, 2008 (the “Agreement”); and</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WHEREAS, the parties desire to amend the Agreement to comply with the requirements of Section 162(m) of the Internal Revenue Code of 1986, as amended.</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NOW, THEREFORE, for and in consideration of the premises and mutual covenants contained herein, and for other good and valuable consideration, the receipt and sufficiency of which is hereby acknowledged, and subject to the terms and conditions hereinafter set forth, the parties hereto agree as follows: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 Effective on the date hereof, Section 7(f)(ii)(A) of the Agreement is amended to read in its entirety as follows:</w:t>
      </w:r>
    </w:p>
    <w:p>
      <w:pPr>
        <w:spacing w:after="0" w:line="90"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receive a lump sum in an amount equal to two times Employee’s then current annual base salary and, subject to the last paragraph of this Section 7, such payment shall be made within 30 days after the date on which the Company receives the general release in favor of the Company;</w:t>
      </w:r>
    </w:p>
    <w:p>
      <w:pPr>
        <w:spacing w:after="0" w:line="8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all other respects, the Agreement shall remain in full force and effect.</w:t>
      </w:r>
    </w:p>
    <w:p>
      <w:pPr>
        <w:spacing w:after="0" w:line="171" w:lineRule="exact"/>
        <w:rPr>
          <w:rFonts w:ascii="Arial" w:cs="Arial" w:eastAsia="Arial" w:hAnsi="Arial"/>
          <w:sz w:val="18"/>
          <w:szCs w:val="18"/>
          <w:color w:val="auto"/>
        </w:rPr>
      </w:pPr>
    </w:p>
    <w:p>
      <w:pPr>
        <w:ind w:right="48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shall be deemed an original and all of which shall together constitute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on the date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Jeffery W. Yabuki</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E.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E. Olsen</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This Agreement is made this 27</w:t>
      </w:r>
      <w:r>
        <w:rPr>
          <w:rFonts w:ascii="Arial" w:cs="Arial" w:eastAsia="Arial" w:hAnsi="Arial"/>
          <w:sz w:val="11"/>
          <w:szCs w:val="11"/>
          <w:color w:val="auto"/>
        </w:rPr>
        <w:t>th</w:t>
      </w:r>
      <w:r>
        <w:rPr>
          <w:rFonts w:ascii="Arial" w:cs="Arial" w:eastAsia="Arial" w:hAnsi="Arial"/>
          <w:sz w:val="18"/>
          <w:szCs w:val="18"/>
          <w:color w:val="auto"/>
        </w:rPr>
        <w:t xml:space="preserve"> day of October, 2009, by and between Fiserv, Inc., on behalf of itself and its subsidiaries and affiliates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Steve Tait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wishes to assure itself of the services of Employee for the period provided for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WHEREAS the Employee desires to enter into an agreement to provide for his employment with the Company upon the terms provided in this Agreement;</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WHEREAS the Company’s information, including but not limited to its technology, products, intellectual property, customer lists, customer information, and its methods of doing business have been developed by the Company at considerable expense over a number of years, and are of considerable economic value to the Company;</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WHEREAS Company wishes to assure itself that Employee will keep in confidence and not disclose any information disclosed to him by the Company during the term that he is employed by Company;</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WHEREAS Company further wishes to assure itself that Employee will not compete with the Company during or for a reasonable period of time after the termination of his employment;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Employee is willing to agree not to so compete with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set forth herein and intending to be legally bound, the parties hereto agree as follows:</w:t>
      </w:r>
    </w:p>
    <w:p>
      <w:pPr>
        <w:spacing w:after="0" w:line="90" w:lineRule="exact"/>
        <w:rPr>
          <w:sz w:val="20"/>
          <w:szCs w:val="20"/>
          <w:color w:val="auto"/>
        </w:rPr>
      </w:pPr>
    </w:p>
    <w:p>
      <w:pPr>
        <w:ind w:left="920" w:right="340" w:firstLine="421"/>
        <w:spacing w:after="0" w:line="298"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agrees to employ Employee, and Employee agrees to be employed by the Company. During his employment, Employee agrees to serve as Executive Vice President and member of the Executive Committee with such further responsibilities and duties commensurate with such position as contemplated by the Company’s by-laws and reasonably implemented by the Board of Directors and Employee’s Direct Supervisor (as hereinafter defined) subject to the further terms and conditions of this Agreement.</w:t>
      </w:r>
    </w:p>
    <w:p>
      <w:pPr>
        <w:spacing w:after="0" w:line="25" w:lineRule="exact"/>
        <w:rPr>
          <w:rFonts w:ascii="Arial" w:cs="Arial" w:eastAsia="Arial" w:hAnsi="Arial"/>
          <w:sz w:val="16"/>
          <w:szCs w:val="16"/>
          <w:color w:val="auto"/>
        </w:rPr>
      </w:pPr>
    </w:p>
    <w:p>
      <w:pPr>
        <w:ind w:left="920" w:right="120" w:firstLine="421"/>
        <w:spacing w:after="0" w:line="296" w:lineRule="auto"/>
        <w:tabs>
          <w:tab w:leader="none" w:pos="1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Upon 180 days notice or another mutually agreed upon date (“</w:t>
      </w:r>
      <w:r>
        <w:rPr>
          <w:rFonts w:ascii="Arial" w:cs="Arial" w:eastAsia="Arial" w:hAnsi="Arial"/>
          <w:sz w:val="16"/>
          <w:szCs w:val="16"/>
          <w:b w:val="1"/>
          <w:bCs w:val="1"/>
          <w:u w:val="single" w:color="auto"/>
          <w:color w:val="auto"/>
        </w:rPr>
        <w:t>Relocation Date</w:t>
      </w:r>
      <w:r>
        <w:rPr>
          <w:rFonts w:ascii="Arial" w:cs="Arial" w:eastAsia="Arial" w:hAnsi="Arial"/>
          <w:sz w:val="16"/>
          <w:szCs w:val="16"/>
          <w:color w:val="auto"/>
        </w:rPr>
        <w:t>”), at the request of the Company, Employee agrees to work at the Company’s offices in Norcross, Georgia or Brookfield, Wisconsin. Prior to the Relocation Date, Employee will conduct his duties from the State of Florida or travel to the Company’s offices at Brookfield, Wisconsin, Norcross Georgia, or any of its other locations, from time to time as needed at the Company’s expense. The Company will pay Employee’s relocation expenses in accordance with its standard executive relocation reimbursement program, if Employee relocates during the Employment Term (as defined herein), regardless of whether Employee</w:t>
      </w:r>
    </w:p>
    <w:p>
      <w:pPr>
        <w:sectPr>
          <w:pgSz w:w="11900" w:h="16838" w:orient="portrait"/>
          <w:cols w:equalWidth="0" w:num="1">
            <w:col w:w="11420"/>
          </w:cols>
          <w:pgMar w:left="240" w:top="125" w:right="239" w:bottom="1440" w:gutter="0" w:footer="0" w:header="0"/>
        </w:sectPr>
      </w:pPr>
    </w:p>
    <w:bookmarkStart w:id="77" w:name="page78"/>
    <w:bookmarkEnd w:id="7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relocates his residence before or after the Relocation Date, subject, however, to the provisions of Section 8(c)(iv). If the Company terminates Employee for cause, as defined in Section 8(c), or Employee voluntarily ceases his employment, with the Company, in either case, on or before the second anniversary of the date of the commencement of employment hereunder, Employee shall not be entitled to any portion of any further relocation assistance and shall be obligated to repay the Company all of the relocation expenses paid to him or on his behalf by the Company prior to the date of the termination of employment. If Employee fails to repay such amount to the Company by this last day of employment, the Company shall have the right to offset such repayment amount from any other amounts the Company owes to the Executive.</w:t>
      </w:r>
    </w:p>
    <w:p>
      <w:pPr>
        <w:spacing w:after="0" w:line="39" w:lineRule="exact"/>
        <w:rPr>
          <w:sz w:val="20"/>
          <w:szCs w:val="20"/>
          <w:color w:val="auto"/>
        </w:rPr>
      </w:pPr>
    </w:p>
    <w:p>
      <w:pPr>
        <w:ind w:right="100" w:firstLine="421"/>
        <w:spacing w:after="0" w:line="268"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agrees to accumulate stock ownership in the Company at a minimum level of three times the value of his salary, no later than the fifth anniversary of the date hereof.</w:t>
      </w:r>
    </w:p>
    <w:p>
      <w:pPr>
        <w:spacing w:after="0" w:line="50" w:lineRule="exact"/>
        <w:rPr>
          <w:rFonts w:ascii="Arial" w:cs="Arial" w:eastAsia="Arial" w:hAnsi="Arial"/>
          <w:sz w:val="18"/>
          <w:szCs w:val="18"/>
          <w:color w:val="auto"/>
        </w:rPr>
      </w:pPr>
    </w:p>
    <w:p>
      <w:pPr>
        <w:ind w:right="220" w:firstLine="421"/>
        <w:spacing w:after="0" w:line="259"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this Agreement shall begin on the date first written above and shall continue until 12 months after termination of Employee’s employment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Employee’s employment shall begin on November 2, 2009 and shall continue until terminated by either party upon written notice to the other party (the “</w:t>
      </w:r>
      <w:r>
        <w:rPr>
          <w:rFonts w:ascii="Arial" w:cs="Arial" w:eastAsia="Arial" w:hAnsi="Arial"/>
          <w:sz w:val="18"/>
          <w:szCs w:val="18"/>
          <w:b w:val="1"/>
          <w:bCs w:val="1"/>
          <w:u w:val="single" w:color="auto"/>
          <w:color w:val="auto"/>
        </w:rPr>
        <w:t>Employment Term</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right="540" w:firstLine="421"/>
        <w:spacing w:after="0" w:line="268"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hereby represents that he is free and able to enter into this Agreement with Company and that there is no reason, known or unknown, which will prevent his performance of the terms and conditions contained in this Agreement.</w:t>
      </w:r>
    </w:p>
    <w:p>
      <w:pPr>
        <w:spacing w:after="0" w:line="50" w:lineRule="exact"/>
        <w:rPr>
          <w:rFonts w:ascii="Arial" w:cs="Arial" w:eastAsia="Arial" w:hAnsi="Arial"/>
          <w:sz w:val="18"/>
          <w:szCs w:val="18"/>
          <w:color w:val="auto"/>
        </w:rPr>
      </w:pPr>
    </w:p>
    <w:p>
      <w:pPr>
        <w:ind w:right="20" w:firstLine="421"/>
        <w:spacing w:after="0" w:line="310" w:lineRule="auto"/>
        <w:tabs>
          <w:tab w:leader="none" w:pos="595"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During the Employment Term, Employee shall devote his full business time, best efforts and business judgment, faithfully, conscientiously and to the best of his ability to the advancement of the interests of the Company and to the discharge of the responsibilities and offices held by him. Employee shall not engage in any other business activity, whether or not pursued for pecuniary advantage, except as may be approved in advance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shall not prohibit or limit Employee from participating in civic, charitable or other not-for-profit activities or to manage personal passive investments, provided that such activities do not materially interfere with Employee’s services required under this Agreement and do not violate the Code of Conduct or other corporate policies of Fiserv. Employee hereby acknowledges that he has read Fiserv’s Code of Conduct in effect as of the date hereof, attached hereto as Exhibit A, and agrees that he will comply with such Code of Conduct and other Fiserv corporate policies regarding activities in the workplace, as they may be amended from time to time, in all material respects.</w:t>
      </w:r>
    </w:p>
    <w:p>
      <w:pPr>
        <w:spacing w:after="0" w:line="27" w:lineRule="exact"/>
        <w:rPr>
          <w:rFonts w:ascii="Arial" w:cs="Arial" w:eastAsia="Arial" w:hAnsi="Arial"/>
          <w:sz w:val="15"/>
          <w:szCs w:val="15"/>
          <w:color w:val="auto"/>
        </w:rPr>
      </w:pPr>
    </w:p>
    <w:p>
      <w:pPr>
        <w:ind w:right="320" w:firstLine="421"/>
        <w:spacing w:after="0" w:line="268"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all services to be rendered by Employee in any capacity during the Employment Term, the Company shall pay or cause to be paid to Employee and shall provide or cause to be provided to him the following:</w:t>
      </w:r>
    </w:p>
    <w:p>
      <w:pPr>
        <w:sectPr>
          <w:pgSz w:w="11900" w:h="16838" w:orient="portrait"/>
          <w:cols w:equalWidth="0" w:num="1">
            <w:col w:w="10480"/>
          </w:cols>
          <w:pgMar w:left="1160" w:top="280" w:right="259" w:bottom="1440" w:gutter="0" w:footer="0" w:header="0"/>
        </w:sectPr>
      </w:pPr>
    </w:p>
    <w:bookmarkStart w:id="78" w:name="page79"/>
    <w:bookmarkEnd w:id="78"/>
    <w:p>
      <w:pPr>
        <w:ind w:left="-280" w:right="60" w:firstLine="421"/>
        <w:spacing w:after="0" w:line="290" w:lineRule="auto"/>
        <w:tabs>
          <w:tab w:leader="none" w:pos="379"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annual base salary at a minimum rate of $400,000 per year, commencing on the date on which Employee begins employment with the Company (the “</w:t>
      </w:r>
      <w:r>
        <w:rPr>
          <w:rFonts w:ascii="Arial" w:cs="Arial" w:eastAsia="Arial" w:hAnsi="Arial"/>
          <w:sz w:val="16"/>
          <w:szCs w:val="16"/>
          <w:b w:val="1"/>
          <w:bCs w:val="1"/>
          <w:u w:val="single" w:color="auto"/>
          <w:color w:val="auto"/>
        </w:rPr>
        <w:t>Employment Date</w:t>
      </w:r>
      <w:r>
        <w:rPr>
          <w:rFonts w:ascii="Arial" w:cs="Arial" w:eastAsia="Arial" w:hAnsi="Arial"/>
          <w:sz w:val="16"/>
          <w:szCs w:val="16"/>
          <w:color w:val="auto"/>
        </w:rPr>
        <w:t>”), payable in accordance with the normal payroll practices and schedule of the Company. Upon the expiration of the Term and thereafter, the Employee’s direct supervisor (“</w:t>
      </w:r>
      <w:r>
        <w:rPr>
          <w:rFonts w:ascii="Arial" w:cs="Arial" w:eastAsia="Arial" w:hAnsi="Arial"/>
          <w:sz w:val="16"/>
          <w:szCs w:val="16"/>
          <w:b w:val="1"/>
          <w:bCs w:val="1"/>
          <w:u w:val="single" w:color="auto"/>
          <w:color w:val="auto"/>
        </w:rPr>
        <w:t>Direct Supervisor</w:t>
      </w:r>
      <w:r>
        <w:rPr>
          <w:rFonts w:ascii="Arial" w:cs="Arial" w:eastAsia="Arial" w:hAnsi="Arial"/>
          <w:sz w:val="16"/>
          <w:szCs w:val="16"/>
          <w:color w:val="auto"/>
        </w:rPr>
        <w:t>”) will determine Employee’s annual base salary, it being understood by Employee that adjustments to annual base salary will be for unusual events and will not typically be made each year. To that end, beginning in February 2011, Employee’s Direct Supervisor will review annually the performance of Employee. The term “annual base salary” shall not include any payment or other benefit that is denominated as or is in the nature of a bonus, incentive payment, commission, profit-sharing payment, retirement or pension accrual, insurance benefit, other fringe benefit or expense allowance, whether or not taxable to Employee as income.</w:t>
      </w:r>
    </w:p>
    <w:p>
      <w:pPr>
        <w:spacing w:after="0" w:line="37" w:lineRule="exact"/>
        <w:rPr>
          <w:rFonts w:ascii="Arial" w:cs="Arial" w:eastAsia="Arial" w:hAnsi="Arial"/>
          <w:sz w:val="16"/>
          <w:szCs w:val="16"/>
          <w:color w:val="auto"/>
        </w:rPr>
      </w:pPr>
    </w:p>
    <w:p>
      <w:pPr>
        <w:ind w:left="-280" w:right="280" w:firstLine="421"/>
        <w:spacing w:after="0" w:line="254"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the salary provided above, as of the Employment Date and thereafter, Employee shall be entitled to participate in the Management Bonus Plan or other incentive compensation program, as offered by the Company from time to time for senior executives of the Company. For calendar year 2009, Employee will have a target bonus of 75% of annual base salary as of the effective date of this Agreement ($300,000) with an opportunity to achieve a maximum bonus of 150% of such annual base salary ($600,000), For calendar year 2009, the bonus payout will be prorated for the number of days that Employee is employed during 2009, to be paid no later than March 15, 2010, according to the Company’s usual practice.</w:t>
      </w:r>
    </w:p>
    <w:p>
      <w:pPr>
        <w:spacing w:after="0" w:line="63" w:lineRule="exact"/>
        <w:rPr>
          <w:rFonts w:ascii="Arial" w:cs="Arial" w:eastAsia="Arial" w:hAnsi="Arial"/>
          <w:sz w:val="18"/>
          <w:szCs w:val="18"/>
          <w:color w:val="auto"/>
        </w:rPr>
      </w:pPr>
    </w:p>
    <w:p>
      <w:pPr>
        <w:ind w:left="-280" w:right="100" w:firstLine="421"/>
        <w:spacing w:after="0" w:line="306" w:lineRule="auto"/>
        <w:tabs>
          <w:tab w:leader="none" w:pos="3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shall pay to Employee a signing bonus in the amount of $150,000 be earned on the second anniversary of date of the Employment Date. If the Company terminates Employee for cause, as defined in Section 8(c), or Employee voluntarily ceases his employment with the Company on or before the second anniversary of the Employment Date, Employee shall not be entitled to any portion of the signing bonus.</w:t>
      </w:r>
    </w:p>
    <w:p>
      <w:pPr>
        <w:spacing w:after="0" w:line="19" w:lineRule="exact"/>
        <w:rPr>
          <w:rFonts w:ascii="Arial" w:cs="Arial" w:eastAsia="Arial" w:hAnsi="Arial"/>
          <w:sz w:val="16"/>
          <w:szCs w:val="16"/>
          <w:color w:val="auto"/>
        </w:rPr>
      </w:pPr>
    </w:p>
    <w:p>
      <w:pPr>
        <w:ind w:left="380" w:hanging="239"/>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has received and shall receive equity in the Company (each a “</w:t>
      </w:r>
      <w:r>
        <w:rPr>
          <w:rFonts w:ascii="Arial" w:cs="Arial" w:eastAsia="Arial" w:hAnsi="Arial"/>
          <w:sz w:val="18"/>
          <w:szCs w:val="18"/>
          <w:b w:val="1"/>
          <w:bCs w:val="1"/>
          <w:u w:val="single" w:color="auto"/>
          <w:color w:val="auto"/>
        </w:rPr>
        <w:t>Stock Program</w:t>
      </w:r>
      <w:r>
        <w:rPr>
          <w:rFonts w:ascii="Arial" w:cs="Arial" w:eastAsia="Arial" w:hAnsi="Arial"/>
          <w:sz w:val="18"/>
          <w:szCs w:val="18"/>
          <w:color w:val="auto"/>
        </w:rPr>
        <w:t>”) as follows:</w:t>
      </w:r>
    </w:p>
    <w:p>
      <w:pPr>
        <w:spacing w:after="0" w:line="96" w:lineRule="exact"/>
        <w:rPr>
          <w:rFonts w:ascii="Arial" w:cs="Arial" w:eastAsia="Arial" w:hAnsi="Arial"/>
          <w:sz w:val="18"/>
          <w:szCs w:val="18"/>
          <w:color w:val="auto"/>
        </w:rPr>
      </w:pPr>
    </w:p>
    <w:p>
      <w:pPr>
        <w:ind w:left="300" w:firstLine="389"/>
        <w:spacing w:after="0" w:line="294" w:lineRule="auto"/>
        <w:tabs>
          <w:tab w:leader="none" w:pos="90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As of the date of the Employment Date, Fiserv shall grant to Employee pursuant to the terms of the Fiserv, Inc. 2007 Omnibus Incentive Plan (the “</w:t>
      </w:r>
      <w:r>
        <w:rPr>
          <w:rFonts w:ascii="Arial" w:cs="Arial" w:eastAsia="Arial" w:hAnsi="Arial"/>
          <w:sz w:val="16"/>
          <w:szCs w:val="16"/>
          <w:b w:val="1"/>
          <w:bCs w:val="1"/>
          <w:u w:val="single" w:color="auto"/>
          <w:color w:val="auto"/>
        </w:rPr>
        <w:t>Stock Option and Restricted Stock Plan</w:t>
      </w:r>
      <w:r>
        <w:rPr>
          <w:rFonts w:ascii="Arial" w:cs="Arial" w:eastAsia="Arial" w:hAnsi="Arial"/>
          <w:sz w:val="16"/>
          <w:szCs w:val="16"/>
          <w:color w:val="auto"/>
        </w:rPr>
        <w:t>”), an option to purchase 25,000 shares of Common Stock, $.01 par value, of Fiserv (“</w:t>
      </w:r>
      <w:r>
        <w:rPr>
          <w:rFonts w:ascii="Arial" w:cs="Arial" w:eastAsia="Arial" w:hAnsi="Arial"/>
          <w:sz w:val="16"/>
          <w:szCs w:val="16"/>
          <w:b w:val="1"/>
          <w:bCs w:val="1"/>
          <w:u w:val="single" w:color="auto"/>
          <w:color w:val="auto"/>
        </w:rPr>
        <w:t>Fiserv Common Stock</w:t>
      </w:r>
      <w:r>
        <w:rPr>
          <w:rFonts w:ascii="Arial" w:cs="Arial" w:eastAsia="Arial" w:hAnsi="Arial"/>
          <w:sz w:val="16"/>
          <w:szCs w:val="16"/>
          <w:color w:val="auto"/>
        </w:rPr>
        <w:t>”). The exercise price of such options shall equal the fair market value of Fiserv Common Stock as determined under the terms of the Stock Option and Restricted Stock Plan on the Employment Date. Such options shall vest over a four- year period, with 1/3 of such options vesting on each of the second, third and fourth anniversary dates of the date of grant.</w:t>
      </w:r>
    </w:p>
    <w:p>
      <w:pPr>
        <w:spacing w:after="0" w:line="34" w:lineRule="exact"/>
        <w:rPr>
          <w:rFonts w:ascii="Arial" w:cs="Arial" w:eastAsia="Arial" w:hAnsi="Arial"/>
          <w:sz w:val="16"/>
          <w:szCs w:val="16"/>
          <w:color w:val="auto"/>
        </w:rPr>
      </w:pPr>
    </w:p>
    <w:p>
      <w:pPr>
        <w:ind w:left="300" w:right="200" w:firstLine="389"/>
        <w:spacing w:after="0" w:line="268" w:lineRule="auto"/>
        <w:tabs>
          <w:tab w:leader="none" w:pos="9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 the Employment Date, Employee shall receive 4,000 restricted stock units under the terms of the Stock Option and Restricted Stock Plan and the</w:t>
      </w:r>
    </w:p>
    <w:p>
      <w:pPr>
        <w:sectPr>
          <w:pgSz w:w="11900" w:h="16838" w:orient="portrait"/>
          <w:cols w:equalWidth="0" w:num="1">
            <w:col w:w="10220"/>
          </w:cols>
          <w:pgMar w:left="1440" w:top="280" w:right="239" w:bottom="1440" w:gutter="0" w:footer="0" w:header="0"/>
        </w:sectPr>
      </w:pPr>
    </w:p>
    <w:bookmarkStart w:id="79" w:name="page80"/>
    <w:bookmarkEnd w:id="79"/>
    <w:p>
      <w:pPr>
        <w:ind w:left="58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agreement covering such restricted stock units. Such shares shall vest 50% on the third anniversary of the Employment Date, and 50% on the fourth anniversary of the Employment Date.</w:t>
      </w:r>
    </w:p>
    <w:p>
      <w:pPr>
        <w:spacing w:after="0" w:line="51" w:lineRule="exact"/>
        <w:rPr>
          <w:sz w:val="20"/>
          <w:szCs w:val="20"/>
          <w:color w:val="auto"/>
        </w:rPr>
      </w:pPr>
    </w:p>
    <w:p>
      <w:pPr>
        <w:ind w:left="580" w:firstLine="389"/>
        <w:spacing w:after="0" w:line="287" w:lineRule="auto"/>
        <w:tabs>
          <w:tab w:leader="none" w:pos="12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the Employment Date, Employee shall thereafter be eligible to participate in the Fiserv Senior Managers and Senior Professionals Stock Option and Restricted Stock Program. Options and restricted stock granted thereunder may be subject to participation levels and vesting schedules not commensurate with Employee’s position and may be determined in connection with Employee’s annual performance evaluation and granted annually during the Employment Term. Notwithstanding the foregoing, for calendar year 2009, which grant is anticipated to be made during the first quarter of 2010, the minimum value of the options and restricted stock grated, combined, will be $250,000. If Employee shall not be employed by the Company on the date of grant of any options or restricted stock hereunder, Employee shall not be entitled to any portion of any such options or restricted stock award. Notwithstanding anything to the contrary, all awards of options or restricted stock are subject to the approval of the Company’s Board of Directors or its designated committee and vesting of such equity awards will follow normal guidelines for similarly situated executives of the Company, established by the Board of Directors of the Company at the time.</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stock options or restricted stock granted or issued hereafter will be subject to the terms of the Stock Option and Restricted Stock Plan as it may be amended from time to time and of the specific stock option or restricted stock agreement pursuant to which any such stock options or restricted stock may be granted or issued from time to time. The terms of the specific stock option or restricted stock agreement pursuant to which stock options or restricted stock may be granted or issued hereunder shall govern treatment of such stock options or restricted stock in the event of the death or disability (as defined in any such agreement) of Employee. Such options will also have vesting and other terms as specified in the agreement covering such stock options or restricted stock, which may be different than other employees of the Company.</w:t>
      </w:r>
    </w:p>
    <w:p>
      <w:pPr>
        <w:spacing w:after="0" w:line="120" w:lineRule="exact"/>
        <w:rPr>
          <w:sz w:val="20"/>
          <w:szCs w:val="20"/>
          <w:color w:val="auto"/>
        </w:rPr>
      </w:pPr>
    </w:p>
    <w:p>
      <w:pPr>
        <w:ind w:right="140" w:firstLine="421"/>
        <w:spacing w:after="0" w:line="253" w:lineRule="auto"/>
        <w:tabs>
          <w:tab w:leader="none" w:pos="6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addition to the salary and incentive compensation provided above, Employee shall be entitled to participate in any employee benefit plans, welfare benefit plans, retirement plans, and other fringe benefit plans from time to time in effect for senior executives of the Company generally;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right or participation in any such plans and the degree or amount thereof shall be subject to the terms of the applicable plan documents, generally applicable Fiserv policies and to action by the Board of Directors of Fiserv or any administrative or other committee provided in or contemplated by such plan, it being mutually agreed that this Agreement is not intended to impair the right of any committee or other group or person concerned with the administration of such plans to exercise in good faith the full discretion reposed in them by such plans.</w:t>
      </w:r>
    </w:p>
    <w:p>
      <w:pPr>
        <w:sectPr>
          <w:pgSz w:w="11900" w:h="16838" w:orient="portrait"/>
          <w:cols w:equalWidth="0" w:num="1">
            <w:col w:w="10500"/>
          </w:cols>
          <w:pgMar w:left="1160" w:top="280" w:right="239" w:bottom="1440" w:gutter="0" w:footer="0" w:header="0"/>
        </w:sectPr>
      </w:pPr>
    </w:p>
    <w:bookmarkStart w:id="80" w:name="page81"/>
    <w:bookmarkEnd w:id="80"/>
    <w:p>
      <w:pPr>
        <w:ind w:left="-280" w:firstLine="421"/>
        <w:spacing w:after="0" w:line="268" w:lineRule="auto"/>
        <w:tabs>
          <w:tab w:leader="none" w:pos="3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compensation or other benefits payable or owing to Employee hereunder shall be subject to withholding taxes and other legally required deductions pursuant to federal, state or local 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 During the Term, Employee’s employment hereunder shall terminate under the following circumstances:</w:t>
      </w:r>
    </w:p>
    <w:p>
      <w:pPr>
        <w:spacing w:after="0" w:line="90" w:lineRule="exact"/>
        <w:rPr>
          <w:sz w:val="20"/>
          <w:szCs w:val="20"/>
          <w:color w:val="auto"/>
        </w:rPr>
      </w:pPr>
    </w:p>
    <w:p>
      <w:pPr>
        <w:ind w:left="-280" w:firstLine="421"/>
        <w:spacing w:after="0" w:line="268" w:lineRule="auto"/>
        <w:tabs>
          <w:tab w:leader="none" w:pos="3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Employee dies, this Agreement and the Company’s obligations under this Agreement shall terminate as of the end of the month during which his death occurs.</w:t>
      </w:r>
    </w:p>
    <w:p>
      <w:pPr>
        <w:spacing w:after="0" w:line="50" w:lineRule="exact"/>
        <w:rPr>
          <w:rFonts w:ascii="Arial" w:cs="Arial" w:eastAsia="Arial" w:hAnsi="Arial"/>
          <w:sz w:val="18"/>
          <w:szCs w:val="18"/>
          <w:color w:val="auto"/>
        </w:rPr>
      </w:pPr>
    </w:p>
    <w:p>
      <w:pPr>
        <w:ind w:left="-280" w:right="20" w:firstLine="421"/>
        <w:spacing w:after="0" w:line="259"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Employee, due to physical or mental illness, becomes so disabled as to be unable to perform substantially all of his duties, Employee’s employment will terminate according to the benefit plans and policies of the Company and this Agreement and the Company’s obligations under this Agreement shall terminate on the date of such termination of employment.</w:t>
      </w:r>
    </w:p>
    <w:p>
      <w:pPr>
        <w:spacing w:after="0" w:line="59" w:lineRule="exact"/>
        <w:rPr>
          <w:rFonts w:ascii="Arial" w:cs="Arial" w:eastAsia="Arial" w:hAnsi="Arial"/>
          <w:sz w:val="18"/>
          <w:szCs w:val="18"/>
          <w:color w:val="auto"/>
        </w:rPr>
      </w:pPr>
    </w:p>
    <w:p>
      <w:pPr>
        <w:ind w:left="-280" w:right="180" w:firstLine="421"/>
        <w:spacing w:after="0" w:line="259" w:lineRule="auto"/>
        <w:tabs>
          <w:tab w:leader="none" w:pos="3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Employee’s employment may be terminated for cause, effective immediately upon written notice to Employee by the Company that shall set forth the specific nature of the reasons for termination. Only the following acts or omissions by Employee shall constitute “cause” for termination:</w:t>
      </w:r>
    </w:p>
    <w:p>
      <w:pPr>
        <w:spacing w:after="0" w:line="59" w:lineRule="exact"/>
        <w:rPr>
          <w:rFonts w:ascii="Arial" w:cs="Arial" w:eastAsia="Arial" w:hAnsi="Arial"/>
          <w:sz w:val="18"/>
          <w:szCs w:val="18"/>
          <w:color w:val="auto"/>
        </w:rPr>
      </w:pPr>
    </w:p>
    <w:p>
      <w:pPr>
        <w:ind w:left="300" w:right="200" w:firstLine="389"/>
        <w:spacing w:after="0" w:line="259" w:lineRule="auto"/>
        <w:tabs>
          <w:tab w:leader="none" w:pos="9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dishonesty or similar serious misconduct, directly related to the performance of Employee’s duties and responsibilities hereunder, which results from a willful act or omission and which is injurious to the operations, financial condition or business reputation of the Company;</w:t>
      </w:r>
    </w:p>
    <w:p>
      <w:pPr>
        <w:spacing w:after="0" w:line="59" w:lineRule="exact"/>
        <w:rPr>
          <w:rFonts w:ascii="Arial" w:cs="Arial" w:eastAsia="Arial" w:hAnsi="Arial"/>
          <w:sz w:val="18"/>
          <w:szCs w:val="18"/>
          <w:color w:val="auto"/>
        </w:rPr>
      </w:pPr>
    </w:p>
    <w:p>
      <w:pPr>
        <w:ind w:left="300" w:right="160" w:firstLine="389"/>
        <w:spacing w:after="0" w:line="332" w:lineRule="auto"/>
        <w:tabs>
          <w:tab w:leader="none" w:pos="95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being named as a defendant in any criminal proceedings, and as a result of being named as a defendant, the operations, financial condition or reputation of the Company are materially injured or Employee is convicted of a crime;</w:t>
      </w:r>
    </w:p>
    <w:p>
      <w:pPr>
        <w:spacing w:after="0" w:line="4" w:lineRule="exact"/>
        <w:rPr>
          <w:rFonts w:ascii="Arial" w:cs="Arial" w:eastAsia="Arial" w:hAnsi="Arial"/>
          <w:sz w:val="16"/>
          <w:szCs w:val="16"/>
          <w:color w:val="auto"/>
        </w:rPr>
      </w:pPr>
    </w:p>
    <w:p>
      <w:pPr>
        <w:ind w:left="300" w:right="60" w:firstLine="389"/>
        <w:spacing w:after="0" w:line="268" w:lineRule="auto"/>
        <w:tabs>
          <w:tab w:leader="none" w:pos="10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drug or alcohol use in violation of any Company policy or which materially impairs the performance of his duties and responsibilities as set forth herein;</w:t>
      </w:r>
    </w:p>
    <w:p>
      <w:pPr>
        <w:spacing w:after="0" w:line="50" w:lineRule="exact"/>
        <w:rPr>
          <w:rFonts w:ascii="Arial" w:cs="Arial" w:eastAsia="Arial" w:hAnsi="Arial"/>
          <w:sz w:val="18"/>
          <w:szCs w:val="18"/>
          <w:color w:val="auto"/>
        </w:rPr>
      </w:pPr>
    </w:p>
    <w:p>
      <w:pPr>
        <w:ind w:left="300" w:right="480" w:firstLine="389"/>
        <w:spacing w:after="0" w:line="268" w:lineRule="auto"/>
        <w:tabs>
          <w:tab w:leader="none" w:pos="9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sole discretion of the chief executive officer of the Company, failure by Employee to exercise diligence to relocate his residence to the Brookfield, Wisconsin or Norcross, Georgia area by the Relocation Date;</w:t>
      </w:r>
    </w:p>
    <w:p>
      <w:pPr>
        <w:spacing w:after="0" w:line="50" w:lineRule="exact"/>
        <w:rPr>
          <w:rFonts w:ascii="Arial" w:cs="Arial" w:eastAsia="Arial" w:hAnsi="Arial"/>
          <w:sz w:val="18"/>
          <w:szCs w:val="18"/>
          <w:color w:val="auto"/>
        </w:rPr>
      </w:pPr>
    </w:p>
    <w:p>
      <w:pPr>
        <w:ind w:left="300" w:right="140" w:firstLine="389"/>
        <w:spacing w:after="0" w:line="268" w:lineRule="auto"/>
        <w:tabs>
          <w:tab w:leader="none" w:pos="9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substantial, continuing willful and unreasonable inattention to, neglect of or refusal by Employee to perform Employee’s duties or responsibilities under this Agreement;</w:t>
      </w:r>
    </w:p>
    <w:p>
      <w:pPr>
        <w:sectPr>
          <w:pgSz w:w="11900" w:h="16838" w:orient="portrait"/>
          <w:cols w:equalWidth="0" w:num="1">
            <w:col w:w="10200"/>
          </w:cols>
          <w:pgMar w:left="1440" w:top="280" w:right="259" w:bottom="1440" w:gutter="0" w:footer="0" w:header="0"/>
        </w:sectPr>
      </w:pPr>
    </w:p>
    <w:bookmarkStart w:id="81" w:name="page82"/>
    <w:bookmarkEnd w:id="81"/>
    <w:p>
      <w:pPr>
        <w:ind w:left="579" w:firstLine="389"/>
        <w:spacing w:after="0" w:line="268" w:lineRule="auto"/>
        <w:tabs>
          <w:tab w:leader="none" w:pos="1273" w:val="left"/>
        </w:tabs>
        <w:numPr>
          <w:ilvl w:val="2"/>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willful and intentional violation of a material provision of the Fiserv Code of Conduct, as it may be amended from time to time, or other Fiserv corporate policies regarding activities in the workplace in effect at the time; or</w:t>
      </w:r>
    </w:p>
    <w:p>
      <w:pPr>
        <w:spacing w:after="0" w:line="50" w:lineRule="exact"/>
        <w:rPr>
          <w:rFonts w:ascii="Arial" w:cs="Arial" w:eastAsia="Arial" w:hAnsi="Arial"/>
          <w:sz w:val="18"/>
          <w:szCs w:val="18"/>
          <w:color w:val="auto"/>
        </w:rPr>
      </w:pPr>
    </w:p>
    <w:p>
      <w:pPr>
        <w:ind w:left="579" w:right="460" w:firstLine="389"/>
        <w:spacing w:after="0" w:line="332" w:lineRule="auto"/>
        <w:tabs>
          <w:tab w:leader="none" w:pos="1322" w:val="left"/>
        </w:tabs>
        <w:numPr>
          <w:ilvl w:val="2"/>
          <w:numId w:val="26"/>
        </w:numPr>
        <w:rPr>
          <w:rFonts w:ascii="Arial" w:cs="Arial" w:eastAsia="Arial" w:hAnsi="Arial"/>
          <w:sz w:val="16"/>
          <w:szCs w:val="16"/>
          <w:color w:val="auto"/>
        </w:rPr>
      </w:pPr>
      <w:r>
        <w:rPr>
          <w:rFonts w:ascii="Arial" w:cs="Arial" w:eastAsia="Arial" w:hAnsi="Arial"/>
          <w:sz w:val="16"/>
          <w:szCs w:val="16"/>
          <w:color w:val="auto"/>
        </w:rPr>
        <w:t>any other willful or intentional breach or breaches of this Agreement by Employee, which breaches are, singularly or in the aggregate, not cured within 30 days of written notice of such breach or breaches to Employee from the Company.</w:t>
      </w:r>
    </w:p>
    <w:p>
      <w:pPr>
        <w:spacing w:after="0" w:line="4" w:lineRule="exact"/>
        <w:rPr>
          <w:rFonts w:ascii="Arial" w:cs="Arial" w:eastAsia="Arial" w:hAnsi="Arial"/>
          <w:sz w:val="16"/>
          <w:szCs w:val="16"/>
          <w:color w:val="auto"/>
        </w:rPr>
      </w:pPr>
    </w:p>
    <w:p>
      <w:pPr>
        <w:ind w:left="-1" w:right="60" w:firstLine="421"/>
        <w:spacing w:after="0" w:line="291" w:lineRule="auto"/>
        <w:tabs>
          <w:tab w:leader="none" w:pos="667"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Employee’s employment may be terminated by the Employee by written notice to the Company and Employee’s Direct Supervisor in the event of a material breach by the Company of any of the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have been given notice at least 30 days in advance of the anticipated termination date and an opportunity to cure any such event of a material breach. In the event of termination pursuant to the first sentence of this subsection (d), Employee shall be entitled to receive termination benefits in accordance with subsection (f) below. If Employee terminates his employment for reasons other than those enumerated in the first sentence of this subsection (d), he or she shall not be entitled to termination benefits described in subsection (f) below.</w:t>
      </w:r>
    </w:p>
    <w:p>
      <w:pPr>
        <w:spacing w:after="0" w:line="39" w:lineRule="exact"/>
        <w:rPr>
          <w:rFonts w:ascii="Arial" w:cs="Arial" w:eastAsia="Arial" w:hAnsi="Arial"/>
          <w:sz w:val="16"/>
          <w:szCs w:val="16"/>
          <w:color w:val="auto"/>
        </w:rPr>
      </w:pPr>
    </w:p>
    <w:p>
      <w:pPr>
        <w:ind w:left="-1" w:right="80" w:firstLine="421"/>
        <w:spacing w:after="0" w:line="268"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Employee’s employment may be terminated at the election of the Company upon written notice to Employee by the Company at any time for the convenience of the Company.</w:t>
      </w:r>
    </w:p>
    <w:p>
      <w:pPr>
        <w:spacing w:after="0" w:line="50" w:lineRule="exact"/>
        <w:rPr>
          <w:rFonts w:ascii="Arial" w:cs="Arial" w:eastAsia="Arial" w:hAnsi="Arial"/>
          <w:sz w:val="18"/>
          <w:szCs w:val="18"/>
          <w:color w:val="auto"/>
        </w:rPr>
      </w:pPr>
    </w:p>
    <w:p>
      <w:pPr>
        <w:ind w:left="-1" w:right="60" w:firstLine="421"/>
        <w:spacing w:after="0" w:line="303" w:lineRule="auto"/>
        <w:tabs>
          <w:tab w:leader="none" w:pos="638" w:val="left"/>
        </w:tabs>
        <w:numPr>
          <w:ilvl w:val="1"/>
          <w:numId w:val="27"/>
        </w:numPr>
        <w:rPr>
          <w:rFonts w:ascii="Arial" w:cs="Arial" w:eastAsia="Arial" w:hAnsi="Arial"/>
          <w:sz w:val="15"/>
          <w:szCs w:val="15"/>
          <w:color w:val="auto"/>
        </w:rPr>
      </w:pPr>
      <w:r>
        <w:rPr>
          <w:rFonts w:ascii="Arial" w:cs="Arial" w:eastAsia="Arial" w:hAnsi="Arial"/>
          <w:sz w:val="15"/>
          <w:szCs w:val="15"/>
          <w:color w:val="auto"/>
        </w:rPr>
        <w:t>If Employee’s employment is terminated by the Company for any reason other than as specified in subsection (a), (b) or (c) above or if terminated by Employee pursuant to the first sentence of subsection (d) above, subject to execution by Employee, within 45 days of termination of employment, of a general release in favor of the Company (and failure to revoke such release), Employee shall be entitled to receive a sum equal to</w:t>
      </w:r>
    </w:p>
    <w:p>
      <w:pPr>
        <w:spacing w:after="0" w:line="1" w:lineRule="exact"/>
        <w:rPr>
          <w:rFonts w:ascii="Arial" w:cs="Arial" w:eastAsia="Arial" w:hAnsi="Arial"/>
          <w:sz w:val="15"/>
          <w:szCs w:val="15"/>
          <w:color w:val="auto"/>
        </w:rPr>
      </w:pPr>
    </w:p>
    <w:p>
      <w:pPr>
        <w:ind w:left="-1" w:right="40" w:firstLine="1"/>
        <w:spacing w:after="0" w:line="286" w:lineRule="auto"/>
        <w:tabs>
          <w:tab w:leader="none" w:pos="2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12 months of salary, plus (ii) the average of the annual performance bonuses actually paid to him with respect to the three years prior to the year in which the termination of employment occurs (or such lesser period of actual employment) provided that such amount shall not be less than an amount equal to 75% of his base salary as in effect immediately prior to termination, multiplied by a fraction the numerator of which is the number of days in the calendar year Employee was employed and the denominator of which is 365. Any payment under this subsection (f) shall be paid in a cash equivalent lump sum on the first day of the seventh month following the month in which the Employee’s Separation from Service occurs, without interest thereon; provided that, if on the date of Employee’s Separation from Service, neither the Company nor any other entity that is considered a “service recipient” with respect to Employee within the meaning of Code Section 409A has any stock which is publicly traded on an established securities market (within the meaning of the Treasury Regulation Section 1.897-1 (m)) or otherwise, then such payment shall be paid to Employee in a cash equivalent lump sum within ten business days of the date on which the Employee signs and does not revoke a general release in favor of the Company. For purposes hereof, the term “</w:t>
      </w:r>
      <w:r>
        <w:rPr>
          <w:rFonts w:ascii="Arial" w:cs="Arial" w:eastAsia="Arial" w:hAnsi="Arial"/>
          <w:sz w:val="16"/>
          <w:szCs w:val="16"/>
          <w:b w:val="1"/>
          <w:bCs w:val="1"/>
          <w:u w:val="single" w:color="auto"/>
          <w:color w:val="auto"/>
        </w:rPr>
        <w:t>Separation</w:t>
      </w:r>
    </w:p>
    <w:p>
      <w:pPr>
        <w:sectPr>
          <w:pgSz w:w="11900" w:h="16838" w:orient="portrait"/>
          <w:cols w:equalWidth="0" w:num="1">
            <w:col w:w="10419"/>
          </w:cols>
          <w:pgMar w:left="1161" w:top="280" w:right="319" w:bottom="1440" w:gutter="0" w:footer="0" w:header="0"/>
        </w:sectPr>
      </w:pPr>
    </w:p>
    <w:bookmarkStart w:id="82" w:name="page83"/>
    <w:bookmarkEnd w:id="82"/>
    <w:p>
      <w:pPr>
        <w:ind w:left="7" w:right="80"/>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Service</w:t>
      </w:r>
      <w:r>
        <w:rPr>
          <w:rFonts w:ascii="Arial" w:cs="Arial" w:eastAsia="Arial" w:hAnsi="Arial"/>
          <w:sz w:val="18"/>
          <w:szCs w:val="18"/>
          <w:color w:val="auto"/>
        </w:rPr>
        <w:t>” shall have the same meaning as ascribed to such term in Employee’s Key Executive Employment and Severance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other incentive compensation and benefits being received by Employee shall cease upon termination of employment, subject to applicable law.</w:t>
      </w:r>
    </w:p>
    <w:p>
      <w:pPr>
        <w:spacing w:after="0" w:line="57" w:lineRule="exact"/>
        <w:rPr>
          <w:sz w:val="20"/>
          <w:szCs w:val="20"/>
          <w:color w:val="auto"/>
        </w:rPr>
      </w:pPr>
    </w:p>
    <w:p>
      <w:pPr>
        <w:ind w:left="7" w:right="80" w:firstLine="421"/>
        <w:spacing w:after="0" w:line="256" w:lineRule="auto"/>
        <w:tabs>
          <w:tab w:leader="none" w:pos="6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Employee Confidential Information and Development Agreement of the Company, attached hereto as Exhibit B, is hereby incorporated herein by reference. Employee hereby confirms that he is bound by its terms. Such confidential information is understood to include, without limitation, products, technology, intellectual property, customer lists, prospect lists and price lists, or any part of such items, and any information relating to Company’s method and technique used in servicing its customers.</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10.</w:t>
      </w:r>
    </w:p>
    <w:p>
      <w:pPr>
        <w:spacing w:after="0" w:line="90" w:lineRule="exact"/>
        <w:rPr>
          <w:sz w:val="20"/>
          <w:szCs w:val="20"/>
          <w:color w:val="auto"/>
        </w:rPr>
      </w:pPr>
    </w:p>
    <w:p>
      <w:pPr>
        <w:ind w:left="567" w:hanging="567"/>
        <w:spacing w:after="0"/>
        <w:tabs>
          <w:tab w:leader="none" w:pos="5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Section 10, the following definitions apply:</w:t>
      </w:r>
    </w:p>
    <w:p>
      <w:pPr>
        <w:spacing w:after="0" w:line="84" w:lineRule="exact"/>
        <w:rPr>
          <w:rFonts w:ascii="Arial" w:cs="Arial" w:eastAsia="Arial" w:hAnsi="Arial"/>
          <w:sz w:val="18"/>
          <w:szCs w:val="18"/>
          <w:color w:val="auto"/>
        </w:rPr>
      </w:pPr>
    </w:p>
    <w:p>
      <w:pPr>
        <w:ind w:left="1007" w:right="60" w:hanging="440"/>
        <w:spacing w:after="0" w:line="258" w:lineRule="auto"/>
        <w:tabs>
          <w:tab w:leader="none" w:pos="13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means any person, association or entity: (1) for which Employee has directly performed services, (2) for which Employee has supervised others in performing services, or (3) about which Employee has special knowledge as a result of his employment with the Company, during all or any part of the 24-month period ending on the date of the termination of his employment with the Company.</w:t>
      </w:r>
    </w:p>
    <w:p>
      <w:pPr>
        <w:spacing w:after="0" w:line="55" w:lineRule="exact"/>
        <w:rPr>
          <w:rFonts w:ascii="Arial" w:cs="Arial" w:eastAsia="Arial" w:hAnsi="Arial"/>
          <w:sz w:val="18"/>
          <w:szCs w:val="18"/>
          <w:color w:val="auto"/>
        </w:rPr>
      </w:pPr>
    </w:p>
    <w:p>
      <w:pPr>
        <w:ind w:left="1007" w:right="120" w:hanging="440"/>
        <w:spacing w:after="0" w:line="255" w:lineRule="auto"/>
        <w:tabs>
          <w:tab w:leader="none" w:pos="13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Competing Product or Service</w:t>
      </w:r>
      <w:r>
        <w:rPr>
          <w:rFonts w:ascii="Arial" w:cs="Arial" w:eastAsia="Arial" w:hAnsi="Arial"/>
          <w:sz w:val="18"/>
          <w:szCs w:val="18"/>
          <w:color w:val="auto"/>
        </w:rPr>
        <w:t>” means any product or service which is sold in competition with, or is being developed and which will compete with, a product or service developed, manufactured, or sold by the Company. For purposes of this Agreement, “Competing Products or Services” are limited to products and/or services for which Employee participated in the development, planning, testing, sale, marketing or evaluation of on behalf of the Company in or during any part of the last 24 months of his employment with the Company, or for which Employee supervised one or more Company employees, units, divisions or departments in doing so.</w:t>
      </w:r>
    </w:p>
    <w:p>
      <w:pPr>
        <w:spacing w:after="0" w:line="58" w:lineRule="exact"/>
        <w:rPr>
          <w:rFonts w:ascii="Arial" w:cs="Arial" w:eastAsia="Arial" w:hAnsi="Arial"/>
          <w:sz w:val="18"/>
          <w:szCs w:val="18"/>
          <w:color w:val="auto"/>
        </w:rPr>
      </w:pPr>
    </w:p>
    <w:p>
      <w:pPr>
        <w:ind w:left="1007" w:hanging="440"/>
        <w:spacing w:after="0" w:line="262" w:lineRule="auto"/>
        <w:tabs>
          <w:tab w:leader="none" w:pos="13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Special Knowledge</w:t>
      </w:r>
      <w:r>
        <w:rPr>
          <w:rFonts w:ascii="Arial" w:cs="Arial" w:eastAsia="Arial" w:hAnsi="Arial"/>
          <w:sz w:val="18"/>
          <w:szCs w:val="18"/>
          <w:color w:val="auto"/>
        </w:rPr>
        <w:t>” means material, non-public information about a person, association or entity that Employee learned as a result of his employment with the Company and/or the Company’s client development or marketing efforts during all or any part of the last 24 months of his employment with the Company.</w:t>
      </w:r>
    </w:p>
    <w:p>
      <w:pPr>
        <w:spacing w:after="0" w:line="57" w:lineRule="exact"/>
        <w:rPr>
          <w:rFonts w:ascii="Arial" w:cs="Arial" w:eastAsia="Arial" w:hAnsi="Arial"/>
          <w:sz w:val="18"/>
          <w:szCs w:val="18"/>
          <w:color w:val="auto"/>
        </w:rPr>
      </w:pPr>
    </w:p>
    <w:p>
      <w:pPr>
        <w:ind w:left="567" w:right="80" w:hanging="567"/>
        <w:spacing w:after="0" w:line="298" w:lineRule="auto"/>
        <w:tabs>
          <w:tab w:leader="none" w:pos="567" w:val="left"/>
        </w:tabs>
        <w:numPr>
          <w:ilvl w:val="0"/>
          <w:numId w:val="30"/>
        </w:numPr>
        <w:rPr>
          <w:rFonts w:ascii="Arial" w:cs="Arial" w:eastAsia="Arial" w:hAnsi="Arial"/>
          <w:sz w:val="16"/>
          <w:szCs w:val="16"/>
          <w:color w:val="auto"/>
        </w:rPr>
      </w:pPr>
      <w:r>
        <w:rPr>
          <w:rFonts w:ascii="Arial" w:cs="Arial" w:eastAsia="Arial" w:hAnsi="Arial"/>
          <w:sz w:val="16"/>
          <w:szCs w:val="16"/>
          <w:color w:val="auto"/>
        </w:rPr>
        <w:t>Employee agrees that the Company’s customer contacts and relations are established and maintained at great expense. Employee further agrees that, as an employee of the Company, he will have unique and extensive exposure to and contact with the Company’s customers and employees, and that he will have had the opportunity to establish unique relationships that would enable him to compete unfairly against the Company. Moreover, Employee acknowledges that he will have had unique and</w:t>
      </w:r>
    </w:p>
    <w:p>
      <w:pPr>
        <w:sectPr>
          <w:pgSz w:w="11900" w:h="16838" w:orient="portrait"/>
          <w:cols w:equalWidth="0" w:num="1">
            <w:col w:w="10507"/>
          </w:cols>
          <w:pgMar w:left="1153" w:top="274" w:right="239" w:bottom="1440" w:gutter="0" w:footer="0" w:header="0"/>
        </w:sectPr>
      </w:pPr>
    </w:p>
    <w:bookmarkStart w:id="83" w:name="page84"/>
    <w:bookmarkEnd w:id="83"/>
    <w:p>
      <w:pPr>
        <w:jc w:val="both"/>
        <w:ind w:left="7"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extensive knowledge of the Company’s trade secret and confidential information, and that such information, if used by him or others, would allow him or others to compete unfairly against the Company. Therefore, in consideration of the compensation and benefits paid to him pursuant to this Agreement, Employee agrees that, for a period of 12 months after the date of the termination of his employment, Employee will not, either on his own behalf or on behalf of any other person, association or entity:</w:t>
      </w:r>
    </w:p>
    <w:p>
      <w:pPr>
        <w:spacing w:after="0" w:line="62" w:lineRule="exact"/>
        <w:rPr>
          <w:sz w:val="20"/>
          <w:szCs w:val="20"/>
          <w:color w:val="auto"/>
        </w:rPr>
      </w:pPr>
    </w:p>
    <w:p>
      <w:pPr>
        <w:ind w:left="787" w:hanging="208"/>
        <w:spacing w:after="0"/>
        <w:tabs>
          <w:tab w:leader="none" w:pos="787"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Contact any Customer for the purpose of soliciting or inducing such client to purchase a Competing Product or Service;</w:t>
      </w:r>
    </w:p>
    <w:p>
      <w:pPr>
        <w:spacing w:after="0" w:line="90" w:lineRule="exact"/>
        <w:rPr>
          <w:rFonts w:ascii="Arial" w:cs="Arial" w:eastAsia="Arial" w:hAnsi="Arial"/>
          <w:sz w:val="18"/>
          <w:szCs w:val="18"/>
          <w:color w:val="auto"/>
        </w:rPr>
      </w:pPr>
    </w:p>
    <w:p>
      <w:pPr>
        <w:ind w:left="847" w:hanging="268"/>
        <w:spacing w:after="0"/>
        <w:tabs>
          <w:tab w:leader="none" w:pos="847" w:val="left"/>
        </w:tabs>
        <w:numPr>
          <w:ilvl w:val="2"/>
          <w:numId w:val="31"/>
        </w:numPr>
        <w:rPr>
          <w:rFonts w:ascii="Arial" w:cs="Arial" w:eastAsia="Arial" w:hAnsi="Arial"/>
          <w:sz w:val="18"/>
          <w:szCs w:val="18"/>
          <w:color w:val="auto"/>
        </w:rPr>
      </w:pPr>
      <w:r>
        <w:rPr>
          <w:rFonts w:ascii="Arial" w:cs="Arial" w:eastAsia="Arial" w:hAnsi="Arial"/>
          <w:sz w:val="18"/>
          <w:szCs w:val="18"/>
          <w:color w:val="auto"/>
        </w:rPr>
        <w:t>Solicit an employee of the Company to terminate his employment with the Company;</w:t>
      </w:r>
    </w:p>
    <w:p>
      <w:pPr>
        <w:spacing w:after="0" w:line="90" w:lineRule="exact"/>
        <w:rPr>
          <w:rFonts w:ascii="Arial" w:cs="Arial" w:eastAsia="Arial" w:hAnsi="Arial"/>
          <w:sz w:val="18"/>
          <w:szCs w:val="18"/>
          <w:color w:val="auto"/>
        </w:rPr>
      </w:pPr>
    </w:p>
    <w:p>
      <w:pPr>
        <w:ind w:left="587" w:right="100" w:hanging="8"/>
        <w:spacing w:after="0" w:line="291" w:lineRule="auto"/>
        <w:tabs>
          <w:tab w:leader="none" w:pos="894" w:val="left"/>
        </w:tabs>
        <w:numPr>
          <w:ilvl w:val="2"/>
          <w:numId w:val="31"/>
        </w:numPr>
        <w:rPr>
          <w:rFonts w:ascii="Arial" w:cs="Arial" w:eastAsia="Arial" w:hAnsi="Arial"/>
          <w:sz w:val="16"/>
          <w:szCs w:val="16"/>
          <w:color w:val="auto"/>
        </w:rPr>
      </w:pPr>
      <w:r>
        <w:rPr>
          <w:rFonts w:ascii="Arial" w:cs="Arial" w:eastAsia="Arial" w:hAnsi="Arial"/>
          <w:sz w:val="16"/>
          <w:szCs w:val="16"/>
          <w:color w:val="auto"/>
        </w:rPr>
        <w:t>Become financially interested in, be employed by or have any connection with, directly or indirectly, either individually or as owner, partner, agent, employee, consultant, creditor or otherwise, except for the account of or on behalf of the Company, or its affiliates, in any business or activity listed on Exhibit C, or any affiliate, successor or assign of such business or activity or any other business enterprise that engages in substantial competition with the Company or any of its subsidiaries in the business of providing management solutions to the financial industry; provided, however, that nothing in this Agreement shall prohibit Employee from owning publicly traded stock or other securities of a competitor amounting to less than one percent of such outstanding class of securities of such competitor; or</w:t>
      </w:r>
    </w:p>
    <w:p>
      <w:pPr>
        <w:spacing w:after="0" w:line="39" w:lineRule="exact"/>
        <w:rPr>
          <w:rFonts w:ascii="Arial" w:cs="Arial" w:eastAsia="Arial" w:hAnsi="Arial"/>
          <w:sz w:val="16"/>
          <w:szCs w:val="16"/>
          <w:color w:val="auto"/>
        </w:rPr>
      </w:pPr>
    </w:p>
    <w:p>
      <w:pPr>
        <w:ind w:left="867" w:hanging="288"/>
        <w:spacing w:after="0"/>
        <w:tabs>
          <w:tab w:leader="none" w:pos="867" w:val="left"/>
        </w:tabs>
        <w:numPr>
          <w:ilvl w:val="2"/>
          <w:numId w:val="31"/>
        </w:numPr>
        <w:rPr>
          <w:rFonts w:ascii="Arial" w:cs="Arial" w:eastAsia="Arial" w:hAnsi="Arial"/>
          <w:sz w:val="16"/>
          <w:szCs w:val="16"/>
          <w:color w:val="auto"/>
        </w:rPr>
      </w:pPr>
      <w:r>
        <w:rPr>
          <w:rFonts w:ascii="Arial" w:cs="Arial" w:eastAsia="Arial" w:hAnsi="Arial"/>
          <w:sz w:val="16"/>
          <w:szCs w:val="16"/>
          <w:color w:val="auto"/>
        </w:rPr>
        <w:t>Become an owner, partner, director or officer of a company that develops, sells or markets a Competing Product or Service.</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this Section 10:</w:t>
      </w:r>
    </w:p>
    <w:p>
      <w:pPr>
        <w:spacing w:after="0" w:line="90" w:lineRule="exact"/>
        <w:rPr>
          <w:rFonts w:ascii="Arial" w:cs="Arial" w:eastAsia="Arial" w:hAnsi="Arial"/>
          <w:sz w:val="18"/>
          <w:szCs w:val="18"/>
          <w:color w:val="auto"/>
        </w:rPr>
      </w:pPr>
    </w:p>
    <w:p>
      <w:pPr>
        <w:ind w:left="587" w:hanging="8"/>
        <w:spacing w:after="0" w:line="332" w:lineRule="auto"/>
        <w:tabs>
          <w:tab w:leader="none" w:pos="797" w:val="left"/>
        </w:tabs>
        <w:numPr>
          <w:ilvl w:val="2"/>
          <w:numId w:val="32"/>
        </w:numPr>
        <w:rPr>
          <w:rFonts w:ascii="Arial" w:cs="Arial" w:eastAsia="Arial" w:hAnsi="Arial"/>
          <w:sz w:val="16"/>
          <w:szCs w:val="16"/>
          <w:color w:val="auto"/>
        </w:rPr>
      </w:pPr>
      <w:r>
        <w:rPr>
          <w:rFonts w:ascii="Arial" w:cs="Arial" w:eastAsia="Arial" w:hAnsi="Arial"/>
          <w:sz w:val="16"/>
          <w:szCs w:val="16"/>
          <w:color w:val="auto"/>
        </w:rPr>
        <w:t>Shall not bar Employee from all employment. Employee warrants and agrees that there are ample employment opportunities that he could fill following his employment with the Company, in his field of experience, without violating this Agreement;</w:t>
      </w:r>
    </w:p>
    <w:p>
      <w:pPr>
        <w:spacing w:after="0" w:line="4" w:lineRule="exact"/>
        <w:rPr>
          <w:rFonts w:ascii="Arial" w:cs="Arial" w:eastAsia="Arial" w:hAnsi="Arial"/>
          <w:sz w:val="16"/>
          <w:szCs w:val="16"/>
          <w:color w:val="auto"/>
        </w:rPr>
      </w:pPr>
    </w:p>
    <w:p>
      <w:pPr>
        <w:ind w:left="847" w:hanging="268"/>
        <w:spacing w:after="0"/>
        <w:tabs>
          <w:tab w:leader="none" w:pos="847"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Shall not bar Employee from performing clerical, menial or manual labor;</w:t>
      </w:r>
    </w:p>
    <w:p>
      <w:pPr>
        <w:spacing w:after="0" w:line="90" w:lineRule="exact"/>
        <w:rPr>
          <w:rFonts w:ascii="Arial" w:cs="Arial" w:eastAsia="Arial" w:hAnsi="Arial"/>
          <w:sz w:val="18"/>
          <w:szCs w:val="18"/>
          <w:color w:val="auto"/>
        </w:rPr>
      </w:pPr>
    </w:p>
    <w:p>
      <w:pPr>
        <w:ind w:left="587" w:right="480" w:hanging="8"/>
        <w:spacing w:after="0" w:line="268" w:lineRule="auto"/>
        <w:tabs>
          <w:tab w:leader="none" w:pos="894" w:val="left"/>
        </w:tabs>
        <w:numPr>
          <w:ilvl w:val="2"/>
          <w:numId w:val="32"/>
        </w:numPr>
        <w:rPr>
          <w:rFonts w:ascii="Arial" w:cs="Arial" w:eastAsia="Arial" w:hAnsi="Arial"/>
          <w:sz w:val="18"/>
          <w:szCs w:val="18"/>
          <w:color w:val="auto"/>
        </w:rPr>
      </w:pPr>
      <w:r>
        <w:rPr>
          <w:rFonts w:ascii="Arial" w:cs="Arial" w:eastAsia="Arial" w:hAnsi="Arial"/>
          <w:sz w:val="18"/>
          <w:szCs w:val="18"/>
          <w:color w:val="auto"/>
        </w:rPr>
        <w:t>Subject to Section 10(b)(iii), including the proviso thereof, shall not prohibit Employee from investing as a passive investor in the capital stock or other securities of a publicly traded corporation listed on a national security exchange.</w:t>
      </w:r>
    </w:p>
    <w:p>
      <w:pPr>
        <w:spacing w:after="0" w:line="50" w:lineRule="exact"/>
        <w:rPr>
          <w:rFonts w:ascii="Arial" w:cs="Arial" w:eastAsia="Arial" w:hAnsi="Arial"/>
          <w:sz w:val="18"/>
          <w:szCs w:val="18"/>
          <w:color w:val="auto"/>
        </w:rPr>
      </w:pPr>
    </w:p>
    <w:p>
      <w:pPr>
        <w:ind w:left="7" w:right="300" w:firstLine="421"/>
        <w:spacing w:after="0" w:line="259" w:lineRule="auto"/>
        <w:tabs>
          <w:tab w:leader="none" w:pos="68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Section 10 hereof is necessary to protect the Company, and that a breach of Section 10 hereof will result in irreparable and continuing damage to the Company for which there will be no adequate remedy at law. Employee hereby agrees that in the event of any such breach of</w:t>
      </w:r>
    </w:p>
    <w:p>
      <w:pPr>
        <w:sectPr>
          <w:pgSz w:w="11900" w:h="16838" w:orient="portrait"/>
          <w:cols w:equalWidth="0" w:num="1">
            <w:col w:w="10487"/>
          </w:cols>
          <w:pgMar w:left="1153" w:top="280" w:right="259" w:bottom="1440" w:gutter="0" w:footer="0" w:header="0"/>
        </w:sectPr>
      </w:pPr>
    </w:p>
    <w:bookmarkStart w:id="84" w:name="page85"/>
    <w:bookmarkEnd w:id="84"/>
    <w:p>
      <w:pPr>
        <w:ind w:right="4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hereof, the Company, and its successors and assigns, shall be entitled to injunctive relief and to such other and further relief as is proper under the circumstances. Employee further agrees that, in the event of his breach of Section 10 hereof, the Company shall be entitled to recover the value of any amounts previously paid or payable to Employee pursuant to Section 7(d) hereof and of any Stock Program. Employee understands and agrees that the losses incurred by the Company as a result of such breach of this Agreement would be difficult or impossible to calculate, as they are based on, among other things, the value of the knowledge and information gained by the Employee at the expense of the Company, but that the actual value exceeds the amounts paid or payable to Employee pursuant to Section 7(d) and any Stock Program. Accordingly, the amount paid or payable to Employee pursuant to Section 7(d) and any Stock Program herein represents the Employee’s agreement to pay and the Company’s agreement to accept as liquidated damages, and not as a penalty, such amount for any such Employee breach. Employee and the Company hereby agree to submit themselves to the jurisdiction of any Court of competent jurisdiction in any disputes that arise under this Agreement.</w:t>
      </w:r>
    </w:p>
    <w:p>
      <w:pPr>
        <w:spacing w:after="0" w:line="27" w:lineRule="exact"/>
        <w:rPr>
          <w:sz w:val="20"/>
          <w:szCs w:val="20"/>
          <w:color w:val="auto"/>
        </w:rPr>
      </w:pPr>
    </w:p>
    <w:p>
      <w:pPr>
        <w:ind w:left="680" w:hanging="259"/>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 agrees that the terms of this Agreement shall survive the termination of his employment with the Company.</w:t>
      </w:r>
    </w:p>
    <w:p>
      <w:pPr>
        <w:spacing w:after="0" w:line="90" w:lineRule="exact"/>
        <w:rPr>
          <w:rFonts w:ascii="Arial" w:cs="Arial" w:eastAsia="Arial" w:hAnsi="Arial"/>
          <w:sz w:val="18"/>
          <w:szCs w:val="18"/>
          <w:color w:val="auto"/>
        </w:rPr>
      </w:pPr>
    </w:p>
    <w:p>
      <w:pPr>
        <w:ind w:right="520" w:firstLine="421"/>
        <w:spacing w:after="0" w:line="268" w:lineRule="auto"/>
        <w:tabs>
          <w:tab w:leader="none" w:pos="6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in the State of North Carolina, without reference to conflict of law principles thereof.</w:t>
      </w:r>
    </w:p>
    <w:p>
      <w:pPr>
        <w:spacing w:after="0" w:line="50" w:lineRule="exact"/>
        <w:rPr>
          <w:rFonts w:ascii="Arial" w:cs="Arial" w:eastAsia="Arial" w:hAnsi="Arial"/>
          <w:sz w:val="18"/>
          <w:szCs w:val="18"/>
          <w:color w:val="auto"/>
        </w:rPr>
      </w:pPr>
    </w:p>
    <w:p>
      <w:pPr>
        <w:ind w:firstLine="421"/>
        <w:spacing w:after="0" w:line="306" w:lineRule="auto"/>
        <w:tabs>
          <w:tab w:leader="none" w:pos="6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language used in this Agreement will be deemed to be the language chosen by the parties to express their mutual intent. In the event an ambiguity or question of intent or interpretation arises, this Agreement will be construed as if drafted jointly by the parties and no presumption or burden of proof will arise favoring or disfavoring any party by virtue of the authorship of any provisions of this Agreement.</w:t>
      </w:r>
    </w:p>
    <w:p>
      <w:pPr>
        <w:spacing w:after="0" w:line="25" w:lineRule="exact"/>
        <w:rPr>
          <w:rFonts w:ascii="Arial" w:cs="Arial" w:eastAsia="Arial" w:hAnsi="Arial"/>
          <w:sz w:val="16"/>
          <w:szCs w:val="16"/>
          <w:color w:val="auto"/>
        </w:rPr>
      </w:pPr>
    </w:p>
    <w:p>
      <w:pPr>
        <w:ind w:firstLine="421"/>
        <w:spacing w:after="0" w:line="256" w:lineRule="auto"/>
        <w:tabs>
          <w:tab w:leader="none" w:pos="6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 HAS READ THIS AGREEMENT AND AGREES THAT THE CONSIDERATION PROVIDED BY THE COMPANY IS FAIR AND REASONABLE AND FURTHER AGREES THAT GIVEN THE IMPORTANCE TO THE COMPANY OF ITS CONFIDENTIAL AND PROPRIETARY INFORMATION, THE POST-EMPLOYMENT RESTRICTIONS ON THE EMPLOYEE’S ACTIVITIES ARE LIKEWISE FAIR AND REASONABLE.</w:t>
      </w:r>
    </w:p>
    <w:p>
      <w:pPr>
        <w:spacing w:after="0" w:line="62" w:lineRule="exact"/>
        <w:rPr>
          <w:rFonts w:ascii="Arial" w:cs="Arial" w:eastAsia="Arial" w:hAnsi="Arial"/>
          <w:sz w:val="18"/>
          <w:szCs w:val="18"/>
          <w:color w:val="auto"/>
        </w:rPr>
      </w:pPr>
    </w:p>
    <w:p>
      <w:pPr>
        <w:ind w:right="180" w:firstLine="421"/>
        <w:spacing w:after="0" w:line="256" w:lineRule="auto"/>
        <w:tabs>
          <w:tab w:leader="none" w:pos="6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provision of this Agreement shall be declared illegal or unenforceable by a final judgment of a court of competent jurisdiction, the remainder of this Agreement, or the application of such provision in circumstances other than those as to which it is so declared illegal or unenforceable, shall not be affected thereby, and each remaining provision of this Agreement shall be valid and be enforceable to the fullest extent permitted by law.</w:t>
      </w:r>
    </w:p>
    <w:p>
      <w:pPr>
        <w:sectPr>
          <w:pgSz w:w="11900" w:h="16838" w:orient="portrait"/>
          <w:cols w:equalWidth="0" w:num="1">
            <w:col w:w="10480"/>
          </w:cols>
          <w:pgMar w:left="1160" w:top="280" w:right="259" w:bottom="1440" w:gutter="0" w:footer="0" w:header="0"/>
        </w:sectPr>
      </w:pPr>
    </w:p>
    <w:bookmarkStart w:id="85" w:name="page86"/>
    <w:bookmarkEnd w:id="85"/>
    <w:p>
      <w:pPr>
        <w:ind w:left="920" w:right="300" w:firstLine="421"/>
        <w:spacing w:after="0" w:line="256" w:lineRule="auto"/>
        <w:tabs>
          <w:tab w:leader="none" w:pos="1603"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term or condition of this Agreement shall be deemed to have been waived, nor shall thereby create any estoppel against the enforcement of any provision of this Agreement, except by written instrument of the party charged with such waiver or estoppel. No such written waiver shall be deemed a continuing waiver unless specifically stated therein, and each such waiver shall operate only as to the specific term or condition for the future or as to any act other than that specifically waived.</w:t>
      </w:r>
    </w:p>
    <w:p>
      <w:pPr>
        <w:spacing w:after="0" w:line="62" w:lineRule="exact"/>
        <w:rPr>
          <w:rFonts w:ascii="Arial" w:cs="Arial" w:eastAsia="Arial" w:hAnsi="Arial"/>
          <w:sz w:val="18"/>
          <w:szCs w:val="18"/>
          <w:color w:val="auto"/>
        </w:rPr>
      </w:pPr>
    </w:p>
    <w:p>
      <w:pPr>
        <w:ind w:left="920" w:right="180" w:firstLine="421"/>
        <w:spacing w:after="0" w:line="332" w:lineRule="auto"/>
        <w:tabs>
          <w:tab w:leader="none" w:pos="16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term or provision or the duration of this Agreement shall be altered, varied or contradicted except by a writing to that effect, executed by authorized officers of the Company and the Company and by Employee, and in compliance with Internal Revenue Code Section 409A.</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undersigned have hereunto set their hands.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6040" w:type="dxa"/>
            <w:vAlign w:val="bottom"/>
            <w:gridSpan w:val="3"/>
          </w:tcPr>
          <w:p>
            <w:pPr>
              <w:ind w:left="580"/>
              <w:spacing w:after="0"/>
              <w:rPr>
                <w:sz w:val="20"/>
                <w:szCs w:val="20"/>
                <w:color w:val="auto"/>
              </w:rPr>
            </w:pPr>
            <w:r>
              <w:rPr>
                <w:rFonts w:ascii="Arial" w:cs="Arial" w:eastAsia="Arial" w:hAnsi="Arial"/>
                <w:sz w:val="18"/>
                <w:szCs w:val="18"/>
                <w:color w:val="auto"/>
              </w:rPr>
              <w:t>FISERV, INC.:</w:t>
            </w:r>
          </w:p>
        </w:tc>
      </w:tr>
      <w:tr>
        <w:trPr>
          <w:trHeight w:val="326"/>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 Tait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Jeffery W. Yabuki</w:t>
            </w: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Jeffery W. Yabuki</w:t>
            </w:r>
          </w:p>
        </w:tc>
      </w:tr>
      <w:tr>
        <w:trPr>
          <w:trHeight w:val="433"/>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Steve Tait</w:t>
            </w:r>
          </w:p>
        </w:tc>
        <w:tc>
          <w:tcPr>
            <w:tcW w:w="58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Printed Name</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19"/>
                <w:szCs w:val="19"/>
                <w:color w:val="auto"/>
              </w:rPr>
            </w:pPr>
          </w:p>
        </w:tc>
      </w:tr>
      <w:tr>
        <w:trPr>
          <w:trHeight w:val="434"/>
        </w:trPr>
        <w:tc>
          <w:tcPr>
            <w:tcW w:w="5380" w:type="dxa"/>
            <w:vAlign w:val="bottom"/>
            <w:gridSpan w:val="2"/>
          </w:tcPr>
          <w:p>
            <w:pPr>
              <w:spacing w:after="0"/>
              <w:rPr>
                <w:sz w:val="20"/>
                <w:szCs w:val="20"/>
                <w:color w:val="auto"/>
              </w:rPr>
            </w:pPr>
            <w:r>
              <w:rPr>
                <w:rFonts w:ascii="Arial" w:cs="Arial" w:eastAsia="Arial" w:hAnsi="Arial"/>
                <w:sz w:val="18"/>
                <w:szCs w:val="18"/>
                <w:color w:val="auto"/>
              </w:rPr>
              <w:t>Date:  October 27, 2009</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November 2, 2009</w:t>
            </w:r>
          </w:p>
        </w:tc>
      </w:tr>
      <w:tr>
        <w:trPr>
          <w:trHeight w:val="20"/>
        </w:trPr>
        <w:tc>
          <w:tcPr>
            <w:tcW w:w="58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10.37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EMPLOYMENT AGREEMENT</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THIS AMENDMENT to the Employment Agreement is made effective this 11</w:t>
      </w:r>
      <w:r>
        <w:rPr>
          <w:rFonts w:ascii="Arial" w:cs="Arial" w:eastAsia="Arial" w:hAnsi="Arial"/>
          <w:sz w:val="11"/>
          <w:szCs w:val="11"/>
          <w:color w:val="auto"/>
        </w:rPr>
        <w:t>th</w:t>
      </w:r>
      <w:r>
        <w:rPr>
          <w:rFonts w:ascii="Arial" w:cs="Arial" w:eastAsia="Arial" w:hAnsi="Arial"/>
          <w:sz w:val="18"/>
          <w:szCs w:val="18"/>
          <w:color w:val="auto"/>
        </w:rPr>
        <w:t xml:space="preserve"> day of December, 2009, by and between Fiserv, Inc., a Wisconsin Corporation (the “Company”), and Steve Tait (the “Employee”).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Employee and the Company entered into an Employment Agreement effective as of October 27, 2009 (the “Agreement”); and</w:t>
      </w:r>
    </w:p>
    <w:p>
      <w:pPr>
        <w:spacing w:after="0" w:line="19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WHEREAS, the parties desire to amend the Agreement to comply with the requirements of Section 162(m) of the Internal Revenue Code of 1986, as amended.</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NOW, THEREFORE, for and in consideration of the premises and mutual covenants contained herein, and for other good and valuable consideration, the receipt and sufficiency of which is hereby acknowledged, and subject to the terms and conditions hereinafter set forth, the parties hereto agree as follows: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 Effective on the date hereof, the first sentence of Section 8(f) of the Agreement is amended to read in its entirety as follows:</w:t>
      </w:r>
    </w:p>
    <w:p>
      <w:pPr>
        <w:spacing w:after="0" w:line="90"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 xml:space="preserve">If Employee’s employment is terminated by the Company for any reason other than as specified in subsection (a), (b) or (c) above or if terminated by Employee pursuant to the first sentence of subsection (d) above, subject to execution by Employee, within 45 days of termination of employment, of a general release in favor of the Company (and failure to revoke such release), Employee shall be entitled to receive a lump sum in an amount equal to one and three-quarters (1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times Employee’s then current annual base salary.</w:t>
      </w:r>
    </w:p>
    <w:p>
      <w:pPr>
        <w:spacing w:after="0" w:line="143"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all other respects, the Agreement shall remain in full force and effect.</w:t>
      </w:r>
    </w:p>
    <w:p>
      <w:pPr>
        <w:spacing w:after="0" w:line="171" w:lineRule="exact"/>
        <w:rPr>
          <w:rFonts w:ascii="Arial" w:cs="Arial" w:eastAsia="Arial" w:hAnsi="Arial"/>
          <w:sz w:val="18"/>
          <w:szCs w:val="18"/>
          <w:color w:val="auto"/>
        </w:rPr>
      </w:pPr>
    </w:p>
    <w:p>
      <w:pPr>
        <w:ind w:right="480" w:firstLine="8"/>
        <w:spacing w:after="0" w:line="268" w:lineRule="auto"/>
        <w:tabs>
          <w:tab w:leader="none" w:pos="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shall be deemed an original and all of which shall together constitute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on the date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Fiserv, Inc.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Jeffery W. Yabuki</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Steve Tait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 Tait</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RETENTION AGREEMENT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AGREEMENT by and between CheckFree Corporation, a Delaware corporation (the “Company”) and Michael P. Gianoni (“Executive”), dated as of the 27th day of July, 2007.</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Board of Directors of the Company (the “Board”), has determined that it is in the best interests of the Company and its stockholders to assure that the Company will have the continued dedication of Executive, notwithstanding the possibility, threat or occurrence of a Change in Control (as defined below) of the Company. The Board believes it is imperative to diminish the inevitable distraction of Executive by virtue of the personal uncertainties and risks created by a threatened or pending Change in Control and to encourage Executive’s full attention and dedication to the Company currently and in the event of any threatened or pending Change in Control, and to provide Executive with compensation and benefits arrangements upon a Change in Control. Therefore, in order to accomplish these objectives, the Board has caused the Company to enter into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HEREBY AGREED AS FOLLOWS:</w:t>
      </w:r>
    </w:p>
    <w:p>
      <w:pPr>
        <w:spacing w:after="0" w:line="171"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53" w:lineRule="auto"/>
        <w:tabs>
          <w:tab w:leader="none" w:pos="11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“Change in Control Date shall mean the first date during the Protection Period (as defined in Section 1(b)) on which a Change in Control (as defined in Section 2) occurs. Anything in this Agreement to the contrary notwithstanding, if a Change in Control occurs and if Executive’s employment with the Company is terminated (either by the Company without Cause or by Executive for Good Reason, as provided later in this Agreement) within six (6) months prior to the date on which the Change in Control occurs, and if it is reasonably demonstrated by Executive that such termination of employment (i) was at the request of a third party who has taken steps reasonably calculated to effect a Change in Control or (ii) otherwise arose in connection with or anticipation of a Change in Control, then for all purposes of this Agreement the “Change in Control Date” shall mean the date immediately prior to the date of such termination of employment.</w:t>
      </w:r>
    </w:p>
    <w:p>
      <w:pPr>
        <w:spacing w:after="0" w:line="147" w:lineRule="exact"/>
        <w:rPr>
          <w:rFonts w:ascii="Arial" w:cs="Arial" w:eastAsia="Arial" w:hAnsi="Arial"/>
          <w:sz w:val="18"/>
          <w:szCs w:val="18"/>
          <w:color w:val="auto"/>
        </w:rPr>
      </w:pPr>
    </w:p>
    <w:p>
      <w:pPr>
        <w:ind w:right="20" w:firstLine="921"/>
        <w:spacing w:after="0" w:line="255" w:lineRule="auto"/>
        <w:tabs>
          <w:tab w:leader="none" w:pos="11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“Protection Period” shall mean the period commencing on the date hereof and ending on the second anniversary of the date hereof; provided, however, that commencing on the date one year after the date hereof, and on each annual anniversary of such date (such date and each annual anniversary thereof shall be hereinafter referred to as the “Renewal Date”), unless previously terminated, the Protection Period shall be automatically extended so as to terminate two years from such Renewal Date, unless at least 60 days prior to the Renewal Date the Company shall give notice to Executive that the Protection Period shall not be so extended.</w:t>
      </w:r>
    </w:p>
    <w:p>
      <w:pPr>
        <w:sectPr>
          <w:pgSz w:w="11900" w:h="16838" w:orient="portrait"/>
          <w:cols w:equalWidth="0" w:num="1">
            <w:col w:w="11420"/>
          </w:cols>
          <w:pgMar w:left="240" w:top="125" w:right="239" w:bottom="1440" w:gutter="0" w:footer="0" w:header="0"/>
        </w:sectPr>
      </w:pPr>
    </w:p>
    <w:bookmarkStart w:id="88" w:name="page89"/>
    <w:bookmarkEnd w:id="88"/>
    <w:p>
      <w:pPr>
        <w:ind w:left="-464" w:right="300" w:firstLine="921"/>
        <w:spacing w:after="0" w:line="268"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shall mean the Internal Revenue Code of 1986, as amended from time to time, and includes a reference to the underlying proposed or final regulations, as applicable.</w:t>
      </w:r>
    </w:p>
    <w:p>
      <w:pPr>
        <w:spacing w:after="0" w:line="131" w:lineRule="exact"/>
        <w:rPr>
          <w:rFonts w:ascii="Arial" w:cs="Arial" w:eastAsia="Arial" w:hAnsi="Arial"/>
          <w:sz w:val="18"/>
          <w:szCs w:val="18"/>
          <w:color w:val="auto"/>
        </w:rPr>
      </w:pPr>
    </w:p>
    <w:p>
      <w:pPr>
        <w:ind w:left="176" w:hanging="176"/>
        <w:spacing w:after="0"/>
        <w:tabs>
          <w:tab w:leader="none" w:pos="17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For the purposes of this Agreement, a “Change in Control” shall mean the occurrence of any of the following events:</w:t>
      </w:r>
    </w:p>
    <w:p>
      <w:pPr>
        <w:spacing w:after="0" w:line="194" w:lineRule="exact"/>
        <w:rPr>
          <w:rFonts w:ascii="Arial" w:cs="Arial" w:eastAsia="Arial" w:hAnsi="Arial"/>
          <w:sz w:val="16"/>
          <w:szCs w:val="16"/>
          <w:color w:val="auto"/>
        </w:rPr>
      </w:pPr>
    </w:p>
    <w:p>
      <w:pPr>
        <w:ind w:left="-464" w:firstLine="921"/>
        <w:spacing w:after="0" w:line="289" w:lineRule="auto"/>
        <w:tabs>
          <w:tab w:leader="none" w:pos="6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individuals who, at the beginning of any twelve-month period, constitute the Board (the “Incumbent Directors”) cease for any reason to constitute at least a majority of such Board during such period, provided that any person becoming a director during such period and whose election or nomination for election was approved by a vote of at least a majority of the Incumbent Directors then on the Board shall be an Incumbent Director; provided, however,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(such term for purposes of this definition being as defined in Section 3(a)(9) of the Exchange Act of 1934, as amended (“Exchange Act”), and as used in Section 13(d)(3) and 14(d)(2) of the Exchange Act) other than the Board (“Proxy Contest”), including by reason of any agreement intended to avoid or settle any Election Contest or Proxy Contest, shall be deemed an Incumbent Director; or</w:t>
      </w:r>
    </w:p>
    <w:p>
      <w:pPr>
        <w:spacing w:after="0" w:line="118" w:lineRule="exact"/>
        <w:rPr>
          <w:rFonts w:ascii="Arial" w:cs="Arial" w:eastAsia="Arial" w:hAnsi="Arial"/>
          <w:sz w:val="16"/>
          <w:szCs w:val="16"/>
          <w:color w:val="auto"/>
        </w:rPr>
      </w:pPr>
    </w:p>
    <w:p>
      <w:pPr>
        <w:ind w:left="-464" w:right="80" w:firstLine="921"/>
        <w:spacing w:after="0" w:line="306" w:lineRule="auto"/>
        <w:tabs>
          <w:tab w:leader="none" w:pos="6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person is or becomes a “beneficial owner” (as defined in Rule 13d-3 under the Exchange Act), directly or indirectly of either (A) 30% or more of the then-outstanding shares of common stock of the Company (“Company Common Stock”) or (B) securities of the Company representing 30% or more of the combined voting power of the Company’s then outstanding securities eligible to vote for the election of directors (the “Company Voting Securities”); or</w:t>
      </w:r>
    </w:p>
    <w:p>
      <w:pPr>
        <w:spacing w:after="0" w:line="106" w:lineRule="exact"/>
        <w:rPr>
          <w:rFonts w:ascii="Arial" w:cs="Arial" w:eastAsia="Arial" w:hAnsi="Arial"/>
          <w:sz w:val="16"/>
          <w:szCs w:val="16"/>
          <w:color w:val="auto"/>
        </w:rPr>
      </w:pPr>
    </w:p>
    <w:p>
      <w:pPr>
        <w:ind w:left="-464" w:right="160" w:firstLine="921"/>
        <w:spacing w:after="0" w:line="288" w:lineRule="auto"/>
        <w:tabs>
          <w:tab w:leader="none" w:pos="6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w:t>
      </w:r>
    </w:p>
    <w:p>
      <w:pPr>
        <w:spacing w:after="0" w:line="106" w:lineRule="exact"/>
        <w:rPr>
          <w:rFonts w:ascii="Arial" w:cs="Arial" w:eastAsia="Arial" w:hAnsi="Arial"/>
          <w:sz w:val="16"/>
          <w:szCs w:val="16"/>
          <w:color w:val="auto"/>
        </w:rPr>
      </w:pPr>
    </w:p>
    <w:p>
      <w:pPr>
        <w:ind w:left="5216" w:hanging="112"/>
        <w:spacing w:after="0"/>
        <w:tabs>
          <w:tab w:leader="none" w:pos="5216" w:val="left"/>
        </w:tabs>
        <w:numPr>
          <w:ilvl w:val="2"/>
          <w:numId w:val="3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36"/>
          </w:cols>
          <w:pgMar w:left="704" w:top="280" w:right="259" w:bottom="1440" w:gutter="0" w:footer="0" w:header="0"/>
        </w:sectPr>
      </w:pPr>
    </w:p>
    <w:bookmarkStart w:id="89" w:name="page90"/>
    <w:bookmarkEnd w:id="8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proportions as their ownership, immediately prior to such Reorganization, Sale or Acquisition, of the outstanding Company Common Stock and the outstanding Company Voting Securities, as the case may be, and (B) no person (other than (i) the Company or any subsidiary of the Company, (ii) the Surviving Corporation or its ultimate parent corporation, or (iii) any employee benefit plan or related trust sponsored or maintained by any of the foregoing) is the beneficial owner, directly or indirectly, of 30% or more of the total common stock or 30%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w:t>
      </w:r>
    </w:p>
    <w:p>
      <w:pPr>
        <w:spacing w:after="0" w:line="118" w:lineRule="exact"/>
        <w:rPr>
          <w:sz w:val="20"/>
          <w:szCs w:val="20"/>
          <w:color w:val="auto"/>
        </w:rPr>
      </w:pPr>
    </w:p>
    <w:p>
      <w:pPr>
        <w:ind w:right="20" w:firstLine="464"/>
        <w:spacing w:after="0" w:line="306"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Acceleration of Incentive Awards</w:t>
      </w:r>
      <w:r>
        <w:rPr>
          <w:rFonts w:ascii="Arial" w:cs="Arial" w:eastAsia="Arial" w:hAnsi="Arial"/>
          <w:sz w:val="16"/>
          <w:szCs w:val="16"/>
          <w:color w:val="auto"/>
        </w:rPr>
        <w:t>. In the event that a Change in Control occurs during the Protection Period, all then-outstanding equity awards issued to Executive pursuant to the Company’s incentive plans shall become immediately and fully vested and exercisable, and/or all restrictions thereon shall lapse, notwithstanding any contrary waiting or vesting periods specified in the Company’s incentive plans or the applicable award agreement.</w:t>
      </w:r>
    </w:p>
    <w:p>
      <w:pPr>
        <w:spacing w:after="0" w:line="106" w:lineRule="exact"/>
        <w:rPr>
          <w:rFonts w:ascii="Arial" w:cs="Arial" w:eastAsia="Arial" w:hAnsi="Arial"/>
          <w:sz w:val="16"/>
          <w:szCs w:val="16"/>
          <w:color w:val="auto"/>
        </w:rPr>
      </w:pPr>
    </w:p>
    <w:p>
      <w:pPr>
        <w:ind w:firstLine="464"/>
        <w:spacing w:after="0" w:line="256"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Employment Period</w:t>
      </w:r>
      <w:r>
        <w:rPr>
          <w:rFonts w:ascii="Arial" w:cs="Arial" w:eastAsia="Arial" w:hAnsi="Arial"/>
          <w:sz w:val="18"/>
          <w:szCs w:val="18"/>
          <w:color w:val="auto"/>
        </w:rPr>
        <w:t>. The Company hereby agrees to continue Executive in its employ (or in the employ of CheckFree Services Corporation, as the case may be, the actual employing company being referred to herein as the “Employer”), and Executive hereby agrees to remain in the employ of the Employer subject to the terms and conditions of this Agreement, for the period commencing on the Change in Control Date and ending eighteen months following such date (the “Employment Period”).</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Terms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0" w:firstLine="1492"/>
        <w:spacing w:after="0" w:line="298" w:lineRule="auto"/>
        <w:tabs>
          <w:tab w:leader="none" w:pos="1693" w:val="left"/>
        </w:tabs>
        <w:numPr>
          <w:ilvl w:val="2"/>
          <w:numId w:val="39"/>
        </w:numPr>
        <w:rPr>
          <w:rFonts w:ascii="Arial" w:cs="Arial" w:eastAsia="Arial" w:hAnsi="Arial"/>
          <w:sz w:val="16"/>
          <w:szCs w:val="16"/>
          <w:color w:val="auto"/>
        </w:rPr>
      </w:pPr>
      <w:r>
        <w:rPr>
          <w:rFonts w:ascii="Arial" w:cs="Arial" w:eastAsia="Arial" w:hAnsi="Arial"/>
          <w:sz w:val="16"/>
          <w:szCs w:val="16"/>
          <w:color w:val="auto"/>
        </w:rPr>
        <w:t>During the Employment Period, (A) Executive’s position (including status, offices, titles and reporting requirements), authority, duties and responsibilities with the Company shall be at least commensurated in all material respects with the most significant of those held, exercised and assigned at any time during the 120-day period immediately preceding the Change in Control Date, and (B) Executive’s services shall be performed at the location where Executive was employed immediately preceding the Change in Control Date or any office or location less than 50 miles from such location.</w:t>
      </w:r>
    </w:p>
    <w:p>
      <w:pPr>
        <w:spacing w:after="0" w:line="112" w:lineRule="exact"/>
        <w:rPr>
          <w:rFonts w:ascii="Arial" w:cs="Arial" w:eastAsia="Arial" w:hAnsi="Arial"/>
          <w:sz w:val="16"/>
          <w:szCs w:val="16"/>
          <w:color w:val="auto"/>
        </w:rPr>
      </w:pPr>
    </w:p>
    <w:p>
      <w:pPr>
        <w:ind w:right="60" w:firstLine="1492"/>
        <w:spacing w:after="0" w:line="259" w:lineRule="auto"/>
        <w:tabs>
          <w:tab w:leader="none" w:pos="1742" w:val="left"/>
        </w:tabs>
        <w:numPr>
          <w:ilvl w:val="2"/>
          <w:numId w:val="39"/>
        </w:numPr>
        <w:rPr>
          <w:rFonts w:ascii="Arial" w:cs="Arial" w:eastAsia="Arial" w:hAnsi="Arial"/>
          <w:sz w:val="18"/>
          <w:szCs w:val="18"/>
          <w:color w:val="auto"/>
        </w:rPr>
      </w:pPr>
      <w:r>
        <w:rPr>
          <w:rFonts w:ascii="Arial" w:cs="Arial" w:eastAsia="Arial" w:hAnsi="Arial"/>
          <w:sz w:val="18"/>
          <w:szCs w:val="18"/>
          <w:color w:val="auto"/>
        </w:rPr>
        <w:t>During the Employment Period, and excluding any periods of vacation and sick leave to which Executive is entitled, Executive agrees to devote reasonable attention and time during normal business hours to the business and affairs of the Company and, to the extent necessary to discharge the responsibilities assigned to</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3"/>
          <w:numId w:val="3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90" w:name="page91"/>
    <w:bookmarkEnd w:id="9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hereunder, to use Executive’s reasonable best efforts to perform faithfully and efficiently such responsibilities. During the Employment Period it shall not be a violation of this Agreement for Executive to (A) serve on corporate, civic or charitable boards or committees, (B) deliver lectures, fulfill speaking engagements or teach at educational institutions and (C) manage personal investments, so long as such activities do not significantly interfere with the performance of Executive’s responsibilities as an employee of the Employer in accordance with this Agreement. It is expressly understood and agreed that to the extent that any such activities have been conducted by Executive prior to the Change in Control Date, the continued conduct of such activities (or the conduct of activities similar in nature and scope thereto) subsequent to the Change in Control Date shall not thereafter be deemed to interfere with the performance of Executive’s responsibilities to the Employer.</w:t>
      </w:r>
    </w:p>
    <w:p>
      <w:pPr>
        <w:spacing w:after="0" w:line="118" w:lineRule="exact"/>
        <w:rPr>
          <w:sz w:val="20"/>
          <w:szCs w:val="20"/>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90" w:lineRule="auto"/>
        <w:tabs>
          <w:tab w:leader="none" w:pos="1693"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Period, Executive shall receive an annual base salary (“Annual Base Salary”) at a rate at least equal to the rate of base salary in effect on the date of this Agreement or, if greater, on the Change in Control Date, paid or payable (including any base salary which has been earned but deferred) to Executive by the Company and its affiliated companies. During Employment Period, the Annual Base Salary shall be reviewed no more than 12 months, after the last salary increase awarded to Executive prior to the Change in Control Date and thereafter at least annually. Any increase in Annual Base Salary shall not serve to limit or reduce any other obligation to Executive under this Agreement. Annual Base Salary shall not be reduced after any such increase and the term Annual Base Salary as used in this Agreement shall refer to Annual Base Salary as so increased. As used in this Agreement, the term “affiliated companies” shall include any company controlled by, controlling or under common control with the Company.</w:t>
      </w:r>
    </w:p>
    <w:p>
      <w:pPr>
        <w:spacing w:after="0" w:line="118" w:lineRule="exact"/>
        <w:rPr>
          <w:rFonts w:ascii="Arial" w:cs="Arial" w:eastAsia="Arial" w:hAnsi="Arial"/>
          <w:sz w:val="16"/>
          <w:szCs w:val="16"/>
          <w:color w:val="auto"/>
        </w:rPr>
      </w:pPr>
    </w:p>
    <w:p>
      <w:pPr>
        <w:ind w:right="40" w:firstLine="1492"/>
        <w:spacing w:after="0" w:line="306" w:lineRule="auto"/>
        <w:tabs>
          <w:tab w:leader="none" w:pos="1742"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In addition to Annual Base Salary, Executive shall be awarded for each fiscal year ending during the Employment Period an annual target bonus opportunity in cash at least equal to Executive’s target bonus opportunity for the last full fiscal year prior to the Change in Control Date (annualized in the event that Executive was not employed for the whole of such fiscal year) (the “Target Annual Bonus”).</w:t>
      </w:r>
    </w:p>
    <w:p>
      <w:pPr>
        <w:spacing w:after="0" w:line="106" w:lineRule="exact"/>
        <w:rPr>
          <w:rFonts w:ascii="Arial" w:cs="Arial" w:eastAsia="Arial" w:hAnsi="Arial"/>
          <w:sz w:val="16"/>
          <w:szCs w:val="16"/>
          <w:color w:val="auto"/>
        </w:rPr>
      </w:pPr>
    </w:p>
    <w:p>
      <w:pPr>
        <w:ind w:firstLine="1492"/>
        <w:spacing w:after="0" w:line="318" w:lineRule="auto"/>
        <w:tabs>
          <w:tab w:leader="none" w:pos="1791"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Incentive Savings and Retirement Plans</w:t>
      </w:r>
      <w:r>
        <w:rPr>
          <w:rFonts w:ascii="Arial" w:cs="Arial" w:eastAsia="Arial" w:hAnsi="Arial"/>
          <w:sz w:val="15"/>
          <w:szCs w:val="15"/>
          <w:color w:val="auto"/>
        </w:rPr>
        <w:t>. During the Employment Period, Executive shall be entitled to participate in all incentive, savings and retirement plans, practices, policies and programs applicable generally to other peer executives of the Company and its affiliated companies, but in no event shall such plans, practices, policies and programs provide Executive with incentive opportunities, savings opportunities and retirement benefit opportunities, in each case, less favorable, in the aggregate, than the most favorable of those provided by the Company and its affiliated companies for Executive under such plans, practices, policies and programs as in effect at any time during the 120-day period immediately preceding the Change in Control Date or</w:t>
      </w:r>
    </w:p>
    <w:p>
      <w:pPr>
        <w:spacing w:after="0" w:line="86" w:lineRule="exact"/>
        <w:rPr>
          <w:rFonts w:ascii="Arial" w:cs="Arial" w:eastAsia="Arial" w:hAnsi="Arial"/>
          <w:sz w:val="15"/>
          <w:szCs w:val="15"/>
          <w:color w:val="auto"/>
        </w:rPr>
      </w:pPr>
    </w:p>
    <w:p>
      <w:pPr>
        <w:ind w:left="5680" w:hanging="112"/>
        <w:spacing w:after="0"/>
        <w:tabs>
          <w:tab w:leader="none" w:pos="56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91" w:name="page92"/>
    <w:bookmarkEnd w:id="91"/>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more favorable to Executive, those provided generally at any time after the Change in Control Date to other peer executives of the Company and its affiliated companies.</w:t>
      </w:r>
    </w:p>
    <w:p>
      <w:pPr>
        <w:spacing w:after="0" w:line="132" w:lineRule="exact"/>
        <w:rPr>
          <w:sz w:val="20"/>
          <w:szCs w:val="20"/>
          <w:color w:val="auto"/>
        </w:rPr>
      </w:pPr>
    </w:p>
    <w:p>
      <w:pPr>
        <w:ind w:right="120" w:firstLine="1492"/>
        <w:spacing w:after="0" w:line="291" w:lineRule="auto"/>
        <w:tabs>
          <w:tab w:leader="none" w:pos="1781" w:val="left"/>
        </w:tabs>
        <w:numPr>
          <w:ilvl w:val="2"/>
          <w:numId w:val="41"/>
        </w:numPr>
        <w:rPr>
          <w:rFonts w:ascii="Arial" w:cs="Arial" w:eastAsia="Arial" w:hAnsi="Arial"/>
          <w:sz w:val="16"/>
          <w:szCs w:val="16"/>
          <w:color w:val="auto"/>
        </w:rPr>
      </w:pPr>
      <w:r>
        <w:rPr>
          <w:rFonts w:ascii="Arial" w:cs="Arial" w:eastAsia="Arial" w:hAnsi="Arial"/>
          <w:sz w:val="16"/>
          <w:szCs w:val="16"/>
          <w:u w:val="single" w:color="auto"/>
          <w:color w:val="auto"/>
        </w:rPr>
        <w:t>Welfare Benefit Plans</w:t>
      </w:r>
      <w:r>
        <w:rPr>
          <w:rFonts w:ascii="Arial" w:cs="Arial" w:eastAsia="Arial" w:hAnsi="Arial"/>
          <w:sz w:val="16"/>
          <w:szCs w:val="16"/>
          <w:color w:val="auto"/>
        </w:rPr>
        <w:t>. During the Employment Period, Executive and/or Executive’s eligible dependents, as the case may be, shall be eligible for participation in and shall receive all benefits under welfare benefit plans, practices, policies and programs provided by the Company and its affiliated companies to the extent applicable generally to other peer executives of the Company and its affiliated companies, but in no event shall such plans, practices, policies and programs provide Executive with benefits which are less favorable, in the aggregate, than the most favorable of such plans, practices, policies and programs in effect for Executive at any time during the 120-day period immediately preceding the Change in Control Date or, if more favorable to Executive, those provided generally at any time after the Change in Control Date to other peer executives of the Company and its affiliated companies.</w:t>
      </w:r>
    </w:p>
    <w:p>
      <w:pPr>
        <w:spacing w:after="0" w:line="120" w:lineRule="exact"/>
        <w:rPr>
          <w:rFonts w:ascii="Arial" w:cs="Arial" w:eastAsia="Arial" w:hAnsi="Arial"/>
          <w:sz w:val="16"/>
          <w:szCs w:val="16"/>
          <w:color w:val="auto"/>
        </w:rPr>
      </w:pPr>
    </w:p>
    <w:p>
      <w:pPr>
        <w:jc w:val="both"/>
        <w:ind w:right="320" w:firstLine="1492"/>
        <w:spacing w:after="0" w:line="298" w:lineRule="auto"/>
        <w:tabs>
          <w:tab w:leader="none" w:pos="1732" w:val="left"/>
        </w:tabs>
        <w:numPr>
          <w:ilvl w:val="2"/>
          <w:numId w:val="41"/>
        </w:numPr>
        <w:rPr>
          <w:rFonts w:ascii="Arial" w:cs="Arial" w:eastAsia="Arial" w:hAnsi="Arial"/>
          <w:sz w:val="16"/>
          <w:szCs w:val="16"/>
          <w:color w:val="auto"/>
        </w:rPr>
      </w:pPr>
      <w:r>
        <w:rPr>
          <w:rFonts w:ascii="Arial" w:cs="Arial" w:eastAsia="Arial" w:hAnsi="Arial"/>
          <w:sz w:val="16"/>
          <w:szCs w:val="16"/>
          <w:u w:val="single" w:color="auto"/>
          <w:color w:val="auto"/>
        </w:rPr>
        <w:t>Expenses, Fringe Benefits and Paid Time Off</w:t>
      </w:r>
      <w:r>
        <w:rPr>
          <w:rFonts w:ascii="Arial" w:cs="Arial" w:eastAsia="Arial" w:hAnsi="Arial"/>
          <w:sz w:val="16"/>
          <w:szCs w:val="16"/>
          <w:color w:val="auto"/>
        </w:rPr>
        <w:t>. During the Employment Period, Executive shall be entitled to expense reimbursement, fringe benefits and paid time off in accordance with the most favorable plans, practices, programs and policies of the Company and its affiliated companies in effect for Executive at any time during the 120-day period immediately preceding the Change in Control Date or, if more favorable to Executive, as in effect generally at any time thereafter with respect to other peer executives of the Company and its affiliated companies.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Executive employment shall terminate automatically upon Executive’s death during the Employment Period. If the Employer determines in good faith that the Disability of Executive has occurred during the Employment Period (pursuant to the definition of Disability set forth below), it may give to Executive written notice of its intention to terminate Executive’s employment. In such event, Executive’s employment with the Employer shall terminate effective on the 30th day after receipt of such written notice by Executive (the “Disability Effective Date”), provided that, within the 30 days after such receipt, Executive shall not have returned to full-time performance of Executive’s duties. For purposes of this Agreement, “Disability” has the meaning assigned such term in the Company’s long-term disability plan, from time to time in effect. In the absence of such a plan, “Disability” shall mean the inability of Executive, as determined by the Employer, to perform the essential functions of his regular duties and responsibilities, with or without reasonable accommodation, due to a medically determinable physical or mental impairment that has lasted (or can reasonably be expected to last) for a period of 12 consecutive months. At the request of Executive or his personal representative, the Employer’s determination that the Disability of Executive has occurred shall be certified by two physicians mutually agreed upon by Executive, or his personal representative, and the Employer. Failing such independent certification (if so requested by Executive), Executive’s termination shall be</w:t>
      </w:r>
    </w:p>
    <w:p>
      <w:pPr>
        <w:spacing w:after="0" w:line="113" w:lineRule="exact"/>
        <w:rPr>
          <w:rFonts w:ascii="Arial" w:cs="Arial" w:eastAsia="Arial" w:hAnsi="Arial"/>
          <w:sz w:val="16"/>
          <w:szCs w:val="16"/>
          <w:color w:val="auto"/>
        </w:rPr>
      </w:pPr>
    </w:p>
    <w:p>
      <w:pPr>
        <w:ind w:left="5680" w:hanging="112"/>
        <w:spacing w:after="0"/>
        <w:tabs>
          <w:tab w:leader="none" w:pos="5680" w:val="left"/>
        </w:tabs>
        <w:numPr>
          <w:ilvl w:val="3"/>
          <w:numId w:val="4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a termination by the Employer without Cause and not a termination by reason of his Disability.</w:t>
      </w:r>
    </w:p>
    <w:p>
      <w:pPr>
        <w:spacing w:after="0" w:line="171" w:lineRule="exact"/>
        <w:rPr>
          <w:sz w:val="20"/>
          <w:szCs w:val="20"/>
          <w:color w:val="auto"/>
        </w:rPr>
      </w:pPr>
    </w:p>
    <w:p>
      <w:pPr>
        <w:ind w:right="600" w:firstLine="921"/>
        <w:spacing w:after="0" w:line="268" w:lineRule="auto"/>
        <w:tabs>
          <w:tab w:leader="none" w:pos="116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The Employer may terminate Executive’s employment during the Employment Period for Cause. For purposes of this Agreement, “Cause” shall mean:</w:t>
      </w:r>
    </w:p>
    <w:p>
      <w:pPr>
        <w:spacing w:after="0" w:line="131" w:lineRule="exact"/>
        <w:rPr>
          <w:rFonts w:ascii="Arial" w:cs="Arial" w:eastAsia="Arial" w:hAnsi="Arial"/>
          <w:sz w:val="18"/>
          <w:szCs w:val="18"/>
          <w:color w:val="auto"/>
        </w:rPr>
      </w:pPr>
    </w:p>
    <w:p>
      <w:pPr>
        <w:ind w:firstLine="1492"/>
        <w:spacing w:after="0" w:line="256" w:lineRule="auto"/>
        <w:tabs>
          <w:tab w:leader="none" w:pos="169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willful and continued failure of Executive to perform substantially Executive’s duties with the Employer (other than any such failure resulting from incapacity due to physical or mental illness, and specifically excluding any failure by Executive, after reasonable efforts, to meet performance expectations), after a written demand for substantial performance is delivered to Executive by Board which specifically identifies the manner in which such Board believes that Executive has not substantially performed Executive’s duties;</w:t>
      </w:r>
    </w:p>
    <w:p>
      <w:pPr>
        <w:spacing w:after="0" w:line="143" w:lineRule="exact"/>
        <w:rPr>
          <w:rFonts w:ascii="Arial" w:cs="Arial" w:eastAsia="Arial" w:hAnsi="Arial"/>
          <w:sz w:val="18"/>
          <w:szCs w:val="18"/>
          <w:color w:val="auto"/>
        </w:rPr>
      </w:pPr>
    </w:p>
    <w:p>
      <w:pPr>
        <w:ind w:left="1760" w:hanging="268"/>
        <w:spacing w:after="0"/>
        <w:tabs>
          <w:tab w:leader="none" w:pos="17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conviction of Executive of any criminal act that constitutes a felony or that involves fraud, theft, misappropriation, embezzlement,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dishonesty;</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material breach by Executive of the Company’s written code of conduct or code of ethics; or</w:t>
      </w:r>
    </w:p>
    <w:p>
      <w:pPr>
        <w:spacing w:after="0" w:line="171" w:lineRule="exact"/>
        <w:rPr>
          <w:rFonts w:ascii="Arial" w:cs="Arial" w:eastAsia="Arial" w:hAnsi="Arial"/>
          <w:sz w:val="18"/>
          <w:szCs w:val="18"/>
          <w:color w:val="auto"/>
        </w:rPr>
      </w:pPr>
    </w:p>
    <w:p>
      <w:pPr>
        <w:ind w:right="120" w:firstLine="1492"/>
        <w:spacing w:after="0" w:line="268" w:lineRule="auto"/>
        <w:tabs>
          <w:tab w:leader="none" w:pos="17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conduct by Executive in Executive’s service with the Company that is grossly inappropriate and demonstrably likely to lead to material injury to the Company, as determined by the Board acting reasonably and in good faith;</w:t>
      </w:r>
    </w:p>
    <w:p>
      <w:pPr>
        <w:spacing w:after="0" w:line="13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provided, however, that in the case of clauses (i), (iii) and (iv) above, such conduct shall not constitute Cause unless the Employer shall have delivered to Executive notice setting forth with specificity (x) the conduct deemed to qualify as Cause (y) reasonable action, if any, that would remedy such objection, and</w:t>
      </w:r>
    </w:p>
    <w:p>
      <w:pPr>
        <w:ind w:right="160" w:firstLine="8"/>
        <w:spacing w:after="0" w:line="255" w:lineRule="auto"/>
        <w:tabs>
          <w:tab w:leader="none" w:pos="2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such conduct is of a nature that may be remedied, a reasonable time (not less than thirty (30) days) within which Executive may take such remedial action, and Executive shall not have taken such specified remedial action to the satisfaction of the Board or the Compensation Committee of the Board within such specified reasonable time.</w:t>
      </w:r>
    </w:p>
    <w:p>
      <w:pPr>
        <w:spacing w:after="0" w:line="144" w:lineRule="exact"/>
        <w:rPr>
          <w:rFonts w:ascii="Arial" w:cs="Arial" w:eastAsia="Arial" w:hAnsi="Arial"/>
          <w:sz w:val="18"/>
          <w:szCs w:val="18"/>
          <w:color w:val="auto"/>
        </w:rPr>
      </w:pPr>
    </w:p>
    <w:p>
      <w:pPr>
        <w:ind w:right="40" w:firstLine="921"/>
        <w:spacing w:after="0" w:line="268" w:lineRule="auto"/>
        <w:tabs>
          <w:tab w:leader="none" w:pos="115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Executive’s employment may be terminated by Executive for Good Reason. For purposes of this Agreement, “Good Reason” shall mean, without the written consent of Executive:</w:t>
      </w:r>
    </w:p>
    <w:p>
      <w:pPr>
        <w:spacing w:after="0" w:line="131" w:lineRule="exact"/>
        <w:rPr>
          <w:rFonts w:ascii="Arial" w:cs="Arial" w:eastAsia="Arial" w:hAnsi="Arial"/>
          <w:sz w:val="18"/>
          <w:szCs w:val="18"/>
          <w:color w:val="auto"/>
        </w:rPr>
      </w:pPr>
    </w:p>
    <w:p>
      <w:pPr>
        <w:ind w:right="260" w:firstLine="1492"/>
        <w:spacing w:after="0" w:line="268" w:lineRule="auto"/>
        <w:tabs>
          <w:tab w:leader="none" w:pos="1693" w:val="left"/>
        </w:tabs>
        <w:numPr>
          <w:ilvl w:val="2"/>
          <w:numId w:val="44"/>
        </w:numPr>
        <w:rPr>
          <w:rFonts w:ascii="Arial" w:cs="Arial" w:eastAsia="Arial" w:hAnsi="Arial"/>
          <w:sz w:val="18"/>
          <w:szCs w:val="18"/>
          <w:color w:val="auto"/>
        </w:rPr>
      </w:pPr>
      <w:r>
        <w:rPr>
          <w:rFonts w:ascii="Arial" w:cs="Arial" w:eastAsia="Arial" w:hAnsi="Arial"/>
          <w:sz w:val="18"/>
          <w:szCs w:val="18"/>
          <w:color w:val="auto"/>
        </w:rPr>
        <w:t>a diminution in Executive’s Base Salary and Target Annual Bonus, as in effect immediately prior to the Change in Control Date, as the same may be increased from time to time;</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2"/>
          <w:numId w:val="44"/>
        </w:numPr>
        <w:rPr>
          <w:rFonts w:ascii="Arial" w:cs="Arial" w:eastAsia="Arial" w:hAnsi="Arial"/>
          <w:sz w:val="16"/>
          <w:szCs w:val="16"/>
          <w:color w:val="auto"/>
        </w:rPr>
      </w:pPr>
      <w:r>
        <w:rPr>
          <w:rFonts w:ascii="Arial" w:cs="Arial" w:eastAsia="Arial" w:hAnsi="Arial"/>
          <w:sz w:val="16"/>
          <w:szCs w:val="16"/>
          <w:color w:val="auto"/>
        </w:rPr>
        <w:t>a diminution in Executive’s annual long-term incentive awards, as compared to the last annual grant of long-term incentive awards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w:t>
      </w:r>
    </w:p>
    <w:p>
      <w:pPr>
        <w:spacing w:after="0" w:line="151" w:lineRule="exact"/>
        <w:rPr>
          <w:rFonts w:ascii="Arial" w:cs="Arial" w:eastAsia="Arial" w:hAnsi="Arial"/>
          <w:sz w:val="16"/>
          <w:szCs w:val="16"/>
          <w:color w:val="auto"/>
        </w:rPr>
      </w:pPr>
    </w:p>
    <w:p>
      <w:pPr>
        <w:ind w:left="5680" w:hanging="112"/>
        <w:spacing w:after="0"/>
        <w:tabs>
          <w:tab w:leader="none" w:pos="5680" w:val="left"/>
        </w:tabs>
        <w:numPr>
          <w:ilvl w:val="3"/>
          <w:numId w:val="4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8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occurring prior to the Change in Control Date, measured with respect to the grant date value of such awards;</w:t>
      </w:r>
    </w:p>
    <w:p>
      <w:pPr>
        <w:spacing w:after="0" w:line="171" w:lineRule="exact"/>
        <w:rPr>
          <w:sz w:val="20"/>
          <w:szCs w:val="20"/>
          <w:color w:val="auto"/>
        </w:rPr>
      </w:pPr>
    </w:p>
    <w:p>
      <w:pPr>
        <w:ind w:right="80" w:firstLine="1492"/>
        <w:spacing w:after="0" w:line="294" w:lineRule="auto"/>
        <w:tabs>
          <w:tab w:leader="none" w:pos="179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diminution in the Executive’s authority, duties, or responsibilities (including a diminution due to the change in Executive’s duties or responsibilities resulting from the Company or its successor becoming a private company), or the authority, duties, or responsibilities of the supervisor to whom the Executive is required to report (including a requirement that the Executive report to a corporate officer or employee instead of reporting directly to the Board or a committee of the Board), excluding for this purpose an isolated, insubstantial and inadvertent action not taken in bad faith and which is remedied by the Company promptly after receipt of notice thereof given by Executive;</w:t>
      </w:r>
    </w:p>
    <w:p>
      <w:pPr>
        <w:spacing w:after="0" w:line="115" w:lineRule="exact"/>
        <w:rPr>
          <w:rFonts w:ascii="Arial" w:cs="Arial" w:eastAsia="Arial" w:hAnsi="Arial"/>
          <w:sz w:val="16"/>
          <w:szCs w:val="16"/>
          <w:color w:val="auto"/>
        </w:rPr>
      </w:pPr>
    </w:p>
    <w:p>
      <w:pPr>
        <w:ind w:left="1780" w:hanging="288"/>
        <w:spacing w:after="0"/>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material diminution in the budget over which the Executive retains authority;</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Company’s requiring Executive to be based at any office or location other than as provided in Section 5(a)(i)(B) hereof; or</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of this Agreement by the Company following the Change in Control Date.</w:t>
      </w:r>
    </w:p>
    <w:p>
      <w:pPr>
        <w:spacing w:after="0" w:line="19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Good Reason shall not include Executive’s death or Disability. Executive’s continued employment shall not constitute consent to, or a waiver of rights with respect to, any circumstance constituting Good Reason hereunder. A termination by Executive shall not constitute termination for Good Reason unless Executive shall first have delivered to the Employer, within 90 days of the occurrence of the first event giving rise to Good Reason, written notice setting forth with specificity the occurrence deemed to give rise to a right to terminate for Good Reason, and there shall have passed a reasonable time (not less than 30 days and not more than 60 days) within which the Employer may take action to correct, rescind or otherwise substantially reverse the occurrence supporting termination for Good Reason as identified by Executive. Executive’s separation for Good Reason must occur within two years following the initial occurrence of an event giving rise to Good Reason. In the event of a separation following such two-year period, no “Good Reason” shall be deemed to exist.</w:t>
      </w:r>
    </w:p>
    <w:p>
      <w:pPr>
        <w:spacing w:after="0" w:line="118" w:lineRule="exact"/>
        <w:rPr>
          <w:sz w:val="20"/>
          <w:szCs w:val="20"/>
          <w:color w:val="auto"/>
        </w:rPr>
      </w:pPr>
    </w:p>
    <w:p>
      <w:pPr>
        <w:ind w:firstLine="921"/>
        <w:spacing w:after="0" w:line="294" w:lineRule="auto"/>
        <w:tabs>
          <w:tab w:leader="none" w:pos="116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Employer or Executive shall be communicated by Notice of Termination to the other party hereto given in accordance with Section 14(d)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Executive’s employment under the provision so indicated, and (iii) if the Date of Termination (as defined below) is other than the date of receipt of such notice, specifies the termination date. The failure by Executive or the Employer to set forth in</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80"/>
          </w:cols>
          <w:pgMar w:left="240" w:top="280" w:right="279" w:bottom="1440" w:gutter="0" w:footer="0" w:header="0"/>
        </w:sectPr>
      </w:pPr>
    </w:p>
    <w:bookmarkStart w:id="94" w:name="page95"/>
    <w:bookmarkEnd w:id="9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of Termination any fact or circumstance which contributes to a showing of Good Reason or Cause shall not waive any right of Executive or the Employer, respectively, hereunder or preclude Executive or the Employer, respectively, from asserting such fact or circumstance in enforcing Executive’s or the Employer’s rights hereunder.</w:t>
      </w:r>
    </w:p>
    <w:p>
      <w:pPr>
        <w:spacing w:after="0" w:line="140" w:lineRule="exact"/>
        <w:rPr>
          <w:sz w:val="20"/>
          <w:szCs w:val="20"/>
          <w:color w:val="auto"/>
        </w:rPr>
      </w:pPr>
    </w:p>
    <w:p>
      <w:pPr>
        <w:ind w:right="100" w:firstLine="921"/>
        <w:spacing w:after="0" w:line="290"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means (i) if the Executive’s employment is terminated by the Executive for Good Reason, the date specified in the Notice of Termination, which may not be less than 60 days after the date of delivery of the Notice of Termination; provided that the Employer may specify any earlier Date of Termination, (ii) if the Executive’s employment is terminated by the Employer for Cause, the date specified in the Notice of Termination, which in the case of a termination for Cause as defined in Section 6(b) may not be less than 30 days after the date of delivery of the Notice of Termination, (iii) if the Executive’s employment is terminated by the Employer other than for Cause or Disability, the Date of Termination shall be the date on which the Employer notifies the Executive of such termination or any later date specified in such notice, and (iv) if the Executive’s employment is terminated by reason of death or Disability, the Date of Termination shall be the date of death of the Executive or the Disability Effective Date, as the case may be.</w:t>
      </w:r>
    </w:p>
    <w:p>
      <w:pPr>
        <w:spacing w:after="0" w:line="118" w:lineRule="exact"/>
        <w:rPr>
          <w:rFonts w:ascii="Arial" w:cs="Arial" w:eastAsia="Arial" w:hAnsi="Arial"/>
          <w:sz w:val="16"/>
          <w:szCs w:val="16"/>
          <w:color w:val="auto"/>
        </w:rPr>
      </w:pPr>
    </w:p>
    <w:p>
      <w:pPr>
        <w:ind w:right="580" w:firstLine="464"/>
        <w:spacing w:after="0" w:line="268"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Termination</w:t>
      </w:r>
      <w:r>
        <w:rPr>
          <w:rFonts w:ascii="Arial" w:cs="Arial" w:eastAsia="Arial" w:hAnsi="Arial"/>
          <w:sz w:val="18"/>
          <w:szCs w:val="18"/>
          <w:color w:val="auto"/>
        </w:rPr>
        <w:t>. The payments and provision of benefits under this Section 7 shall be subject to Section 13 of this Agreement.</w:t>
      </w:r>
    </w:p>
    <w:p>
      <w:pPr>
        <w:spacing w:after="0" w:line="131" w:lineRule="exact"/>
        <w:rPr>
          <w:rFonts w:ascii="Arial" w:cs="Arial" w:eastAsia="Arial" w:hAnsi="Arial"/>
          <w:sz w:val="18"/>
          <w:szCs w:val="18"/>
          <w:color w:val="auto"/>
        </w:rPr>
      </w:pPr>
    </w:p>
    <w:p>
      <w:pPr>
        <w:ind w:right="160" w:firstLine="921"/>
        <w:spacing w:after="0" w:line="259" w:lineRule="auto"/>
        <w:tabs>
          <w:tab w:leader="none" w:pos="11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for Good Reason; Termination by the Company other than for Cause, Death or Disability</w:t>
      </w:r>
      <w:r>
        <w:rPr>
          <w:rFonts w:ascii="Arial" w:cs="Arial" w:eastAsia="Arial" w:hAnsi="Arial"/>
          <w:sz w:val="18"/>
          <w:szCs w:val="18"/>
          <w:color w:val="auto"/>
        </w:rPr>
        <w:t>. If, during the Employment Period the Employer shall terminate Executive’s employment other than for Cause, death or Disability, or Executive shall terminate employment for Good Reason, then:</w:t>
      </w:r>
    </w:p>
    <w:p>
      <w:pPr>
        <w:spacing w:after="0" w:line="140" w:lineRule="exact"/>
        <w:rPr>
          <w:rFonts w:ascii="Arial" w:cs="Arial" w:eastAsia="Arial" w:hAnsi="Arial"/>
          <w:sz w:val="18"/>
          <w:szCs w:val="18"/>
          <w:color w:val="auto"/>
        </w:rPr>
      </w:pPr>
    </w:p>
    <w:p>
      <w:pPr>
        <w:ind w:left="1700" w:hanging="208"/>
        <w:spacing w:after="0"/>
        <w:tabs>
          <w:tab w:leader="none" w:pos="1700" w:val="left"/>
        </w:tabs>
        <w:numPr>
          <w:ilvl w:val="2"/>
          <w:numId w:val="48"/>
        </w:numPr>
        <w:rPr>
          <w:rFonts w:ascii="Arial" w:cs="Arial" w:eastAsia="Arial" w:hAnsi="Arial"/>
          <w:sz w:val="15"/>
          <w:szCs w:val="15"/>
          <w:color w:val="auto"/>
        </w:rPr>
      </w:pPr>
      <w:r>
        <w:rPr>
          <w:rFonts w:ascii="Arial" w:cs="Arial" w:eastAsia="Arial" w:hAnsi="Arial"/>
          <w:sz w:val="15"/>
          <w:szCs w:val="15"/>
          <w:color w:val="auto"/>
        </w:rPr>
        <w:t>the Company shall pay to Executive in a single lump sum cash payment within 30 days after the Date of Termination, the aggregate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following amounts:</w:t>
      </w:r>
    </w:p>
    <w:p>
      <w:pPr>
        <w:spacing w:after="0" w:line="164" w:lineRule="exact"/>
        <w:rPr>
          <w:rFonts w:ascii="Arial" w:cs="Arial" w:eastAsia="Arial" w:hAnsi="Arial"/>
          <w:sz w:val="15"/>
          <w:szCs w:val="15"/>
          <w:color w:val="auto"/>
        </w:rPr>
      </w:pPr>
    </w:p>
    <w:p>
      <w:pPr>
        <w:ind w:right="260" w:firstLine="1948"/>
        <w:spacing w:after="0" w:line="259" w:lineRule="auto"/>
        <w:tabs>
          <w:tab w:leader="none" w:pos="2154" w:val="left"/>
        </w:tabs>
        <w:numPr>
          <w:ilvl w:val="3"/>
          <w:numId w:val="48"/>
        </w:numPr>
        <w:rPr>
          <w:rFonts w:ascii="Arial" w:cs="Arial" w:eastAsia="Arial" w:hAnsi="Arial"/>
          <w:sz w:val="18"/>
          <w:szCs w:val="18"/>
          <w:color w:val="auto"/>
        </w:rPr>
      </w:pPr>
      <w:r>
        <w:rPr>
          <w:rFonts w:ascii="Arial" w:cs="Arial" w:eastAsia="Arial" w:hAnsi="Arial"/>
          <w:sz w:val="18"/>
          <w:szCs w:val="18"/>
          <w:color w:val="auto"/>
        </w:rPr>
        <w:t>the sum of (1) Executive’s Annual Base Salary through the Date of Termination to the extent not theretofore paid and (2) any accrued vacation pay to the extent not theretofore paid (the sum of the amounts described in clauses (1) and (2) shall be hereinafter referred to as the “Accrued Obligations”); and</w:t>
      </w:r>
    </w:p>
    <w:p>
      <w:pPr>
        <w:spacing w:after="0" w:line="140" w:lineRule="exact"/>
        <w:rPr>
          <w:rFonts w:ascii="Arial" w:cs="Arial" w:eastAsia="Arial" w:hAnsi="Arial"/>
          <w:sz w:val="18"/>
          <w:szCs w:val="18"/>
          <w:color w:val="auto"/>
        </w:rPr>
      </w:pPr>
    </w:p>
    <w:p>
      <w:pPr>
        <w:ind w:right="60" w:firstLine="1948"/>
        <w:spacing w:after="0" w:line="268" w:lineRule="auto"/>
        <w:tabs>
          <w:tab w:leader="none" w:pos="2145" w:val="left"/>
        </w:tabs>
        <w:numPr>
          <w:ilvl w:val="3"/>
          <w:numId w:val="48"/>
        </w:numPr>
        <w:rPr>
          <w:rFonts w:ascii="Arial" w:cs="Arial" w:eastAsia="Arial" w:hAnsi="Arial"/>
          <w:sz w:val="18"/>
          <w:szCs w:val="18"/>
          <w:color w:val="auto"/>
        </w:rPr>
      </w:pPr>
      <w:r>
        <w:rPr>
          <w:rFonts w:ascii="Arial" w:cs="Arial" w:eastAsia="Arial" w:hAnsi="Arial"/>
          <w:sz w:val="18"/>
          <w:szCs w:val="18"/>
          <w:color w:val="auto"/>
        </w:rPr>
        <w:t>a severance payment (the “Severance Payment”) equal to two times the sum of Executive’s Annual Base Salary and Target Annual Bonus for the year in which the Date of Termination occurs; and</w:t>
      </w:r>
    </w:p>
    <w:p>
      <w:pPr>
        <w:spacing w:after="0" w:line="131" w:lineRule="exact"/>
        <w:rPr>
          <w:rFonts w:ascii="Arial" w:cs="Arial" w:eastAsia="Arial" w:hAnsi="Arial"/>
          <w:sz w:val="18"/>
          <w:szCs w:val="18"/>
          <w:color w:val="auto"/>
        </w:rPr>
      </w:pPr>
    </w:p>
    <w:p>
      <w:pPr>
        <w:ind w:right="240" w:firstLine="1492"/>
        <w:spacing w:after="0" w:line="268" w:lineRule="auto"/>
        <w:tabs>
          <w:tab w:leader="none" w:pos="1742" w:val="left"/>
        </w:tabs>
        <w:numPr>
          <w:ilvl w:val="2"/>
          <w:numId w:val="48"/>
        </w:numPr>
        <w:rPr>
          <w:rFonts w:ascii="Arial" w:cs="Arial" w:eastAsia="Arial" w:hAnsi="Arial"/>
          <w:sz w:val="18"/>
          <w:szCs w:val="18"/>
          <w:color w:val="auto"/>
        </w:rPr>
      </w:pPr>
      <w:r>
        <w:rPr>
          <w:rFonts w:ascii="Arial" w:cs="Arial" w:eastAsia="Arial" w:hAnsi="Arial"/>
          <w:sz w:val="18"/>
          <w:szCs w:val="18"/>
          <w:color w:val="auto"/>
        </w:rPr>
        <w:t>subject to Section 13 hereof, if Executive elects to continue participation in any group medical, dental, vision and/or prescription drug plan benefits to which Executive and/or Executive’s eligible dependents would be entitled under Section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4"/>
          <w:numId w:val="4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80" w:right="259" w:bottom="1440" w:gutter="0" w:footer="0" w:header="0"/>
        </w:sectPr>
      </w:pPr>
    </w:p>
    <w:bookmarkStart w:id="95" w:name="page96"/>
    <w:bookmarkEnd w:id="9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4980B of the Code (COBRA), then during the period that Executive is entitled to such coverage under COBRA (the “Coverage Period”), the Company shall pay the excess of (i) the COBRA cost of such coverage, over (ii) the amount that Executive would have had to pay for such coverage if he had remained employed during the Coverage Period and paid the active employee rate for such coverage,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cost so paid on behalf of Executive by the Company will be deemed taxable income to Executive to the extent required by law,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Executive becomes eligible to receive group health benefits under a program of a subsequent employer or otherwise (including coverage available to Executive’s spouse), the Company’s obligation to pay the cost of health coverage as described herein shall cease, except as otherwise provided by law; and</w:t>
      </w:r>
    </w:p>
    <w:p>
      <w:pPr>
        <w:spacing w:after="0" w:line="120" w:lineRule="exact"/>
        <w:rPr>
          <w:sz w:val="20"/>
          <w:szCs w:val="20"/>
          <w:color w:val="auto"/>
        </w:rPr>
      </w:pPr>
    </w:p>
    <w:p>
      <w:pPr>
        <w:ind w:right="180" w:firstLine="1492"/>
        <w:spacing w:after="0" w:line="306" w:lineRule="auto"/>
        <w:tabs>
          <w:tab w:leader="none" w:pos="1791" w:val="left"/>
        </w:tabs>
        <w:numPr>
          <w:ilvl w:val="2"/>
          <w:numId w:val="49"/>
        </w:numPr>
        <w:rPr>
          <w:rFonts w:ascii="Arial" w:cs="Arial" w:eastAsia="Arial" w:hAnsi="Arial"/>
          <w:sz w:val="16"/>
          <w:szCs w:val="16"/>
          <w:color w:val="auto"/>
        </w:rPr>
      </w:pPr>
      <w:r>
        <w:rPr>
          <w:rFonts w:ascii="Arial" w:cs="Arial" w:eastAsia="Arial" w:hAnsi="Arial"/>
          <w:sz w:val="16"/>
          <w:szCs w:val="16"/>
          <w:color w:val="auto"/>
        </w:rPr>
        <w:t>subject to Section 13 and 14(j) hereof, to the extent not theretofore paid or provided, the Company shall timely pay or provide to Executive any other amounts or benefits required to be paid or provided or which Executive is eligible to receive under any plan, program, policy or practice or contract or agreement of the Company and its affiliated companies (such other amounts and benefits shall be hereinafter referred to as the “Other Benefits”).</w:t>
      </w:r>
    </w:p>
    <w:p>
      <w:pPr>
        <w:spacing w:after="0" w:line="106" w:lineRule="exact"/>
        <w:rPr>
          <w:rFonts w:ascii="Arial" w:cs="Arial" w:eastAsia="Arial" w:hAnsi="Arial"/>
          <w:sz w:val="16"/>
          <w:szCs w:val="16"/>
          <w:color w:val="auto"/>
        </w:rPr>
      </w:pPr>
    </w:p>
    <w:p>
      <w:pPr>
        <w:ind w:right="40" w:firstLine="921"/>
        <w:spacing w:after="0" w:line="255" w:lineRule="auto"/>
        <w:tabs>
          <w:tab w:leader="none" w:pos="116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If Executive’s employment is terminated by reason of Executive’s death or Disability during the Employment Period, this Agreement shall terminate without further obligations to Executive or Executive’s legal representatives under this Agreement, other than the obligation to pay the Accrued Benefits. Executive or Executive’s estate and/or beneficiaries shall be entitled to receive benefits under such plans, programs, practices and policies relating to death or disability benefits, if any, and any Other Benefits (as defined in Section 7(a)(iii) hereof) as are applicable to Executive on the Date of Termination, in each case to the extent then unpaid.</w:t>
      </w:r>
    </w:p>
    <w:p>
      <w:pPr>
        <w:spacing w:after="0" w:line="142" w:lineRule="exact"/>
        <w:rPr>
          <w:rFonts w:ascii="Arial" w:cs="Arial" w:eastAsia="Arial" w:hAnsi="Arial"/>
          <w:sz w:val="18"/>
          <w:szCs w:val="18"/>
          <w:color w:val="auto"/>
        </w:rPr>
      </w:pPr>
    </w:p>
    <w:p>
      <w:pPr>
        <w:ind w:right="300" w:firstLine="921"/>
        <w:spacing w:after="0" w:line="298" w:lineRule="auto"/>
        <w:tabs>
          <w:tab w:leader="none" w:pos="115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Cause: Other than for Good Reason</w:t>
      </w:r>
      <w:r>
        <w:rPr>
          <w:rFonts w:ascii="Arial" w:cs="Arial" w:eastAsia="Arial" w:hAnsi="Arial"/>
          <w:sz w:val="16"/>
          <w:szCs w:val="16"/>
          <w:color w:val="auto"/>
        </w:rPr>
        <w:t>. If Executive’s employment shall be terminated for Cause during the Employment Period, or if Executive voluntarily terminates employment during the Employment Period other than for Good Reason, this Agreement shall terminate without further obligations to Executive under this Agreement other than the obligation to pay the Accrued Benefits. Executive shall be entitled to receive any Other Benefits (as defined in Section 7(a)(iii) hereof) as are applicable to Executive on the Date of Termination, to the extent then unpaid.</w:t>
      </w:r>
    </w:p>
    <w:p>
      <w:pPr>
        <w:spacing w:after="0" w:line="112" w:lineRule="exact"/>
        <w:rPr>
          <w:rFonts w:ascii="Arial" w:cs="Arial" w:eastAsia="Arial" w:hAnsi="Arial"/>
          <w:sz w:val="16"/>
          <w:szCs w:val="16"/>
          <w:color w:val="auto"/>
        </w:rPr>
      </w:pPr>
    </w:p>
    <w:p>
      <w:pPr>
        <w:jc w:val="both"/>
        <w:ind w:firstLine="464"/>
        <w:spacing w:after="0" w:line="255"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Nothing in this Agreement shall prevent or limit Executive’s continuing or future participation in any plan, program, policy or practice provided by the Company or any of its affiliated companies and for which Executive may qualify, nor, subject to Section 14(j), shall anything herein limit or otherwise affect such rights as Executive may have under any contract or agreement with the Company or any of its affiliated companies. Amounts which are vested benefits or which Executive is otherwise entitled to receive under any plan, policy, practice or program of or any contract or agreement with the Company or any of its affiliated</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3"/>
          <w:numId w:val="5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96" w:name="page97"/>
    <w:bookmarkEnd w:id="9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companies at or subsequent to the Date of Termination shall be payable in accordance with such plan, policy, practice or program or contract or agreement except as explicitly modified by this Agreement.</w:t>
      </w:r>
    </w:p>
    <w:p>
      <w:pPr>
        <w:spacing w:after="0" w:line="132" w:lineRule="exact"/>
        <w:rPr>
          <w:sz w:val="20"/>
          <w:szCs w:val="20"/>
          <w:color w:val="auto"/>
        </w:rPr>
      </w:pPr>
    </w:p>
    <w:p>
      <w:pPr>
        <w:ind w:firstLine="464"/>
        <w:spacing w:after="0" w:line="298"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Full Settlement; No 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12" w:lineRule="exact"/>
        <w:rPr>
          <w:rFonts w:ascii="Arial" w:cs="Arial" w:eastAsia="Arial" w:hAnsi="Arial"/>
          <w:sz w:val="16"/>
          <w:szCs w:val="16"/>
          <w:color w:val="auto"/>
        </w:rPr>
      </w:pPr>
    </w:p>
    <w:p>
      <w:pPr>
        <w:ind w:right="60" w:firstLine="464"/>
        <w:spacing w:after="0" w:line="286"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Costs of Enforcement</w:t>
      </w:r>
      <w:r>
        <w:rPr>
          <w:rFonts w:ascii="Arial" w:cs="Arial" w:eastAsia="Arial" w:hAnsi="Arial"/>
          <w:sz w:val="16"/>
          <w:szCs w:val="16"/>
          <w:color w:val="auto"/>
        </w:rPr>
        <w:t>. In any action taken in good faith relating to the enforcement of this Agreement or any provision herein, Executive shall be entitled to prompt reimbursement of all reasonable legal fees and expenses incurred by him in enforcing or establishing his rights thereunder, whether suit be brought or not, and whether or not incurred in arbitration, trial, bankruptcy or appellate proceedings, but only if and to the extent Executive is successful in asserting such rights. In addition, subject to Section 11 hereof, Executive shall be entitled to prompt reimbursement of all reasonable legal fees and expense, if any, incurred by him in connection with any tax audit or proceeding to the extent attributable to the application of Section 4999 of the Code to any payment or benefit hereunder. All such payments shall be made within 10 business days after delivery of Executive’s respective written requests for payment accompanied with such evidence of fees and expenses incurred as the Company may reasonably require, but in no event shall any such payment be made later than the last day of the Executive’s tax year following the Executive’s tax year in which the expense was incurred. Notwithstanding the foregoing, the Company’s reimbursement obligations pursuant to this Section 10 shall be limited to expenses incurred during Executive’s lifetime, and the amount of expenses eligible for reimbursement during Executive’s taxable year shall not affect the expenses eligible for reimbursement in any other taxable year. Executive’s right to reimbursement pursuant to this Section 10 shall not be subject to liquidation or exchange for another benefit.</w:t>
      </w:r>
    </w:p>
    <w:p>
      <w:pPr>
        <w:spacing w:after="0" w:line="127"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 by the Company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94" w:lineRule="auto"/>
        <w:tabs>
          <w:tab w:leader="none" w:pos="115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and except as set forth below, in the event it shall be determined that any payment or distribution by the Company to or for the benefit of Executive (whether paid or payable or distributed or distributable pursuant to the terms this Agreement or otherwise, but determined without regard to any additional payments required under this Section 11) (a “Payment”) would be subject to the excise tax imposed by Section 4999 of the Code or any interest or penalties are incurred by Executive with respect to such excise tax (such excise tax, together with any such interest and penalties, are hereinafter collectively referred to as the “Excise Tax”), then Executive shall be entitled to receive an additional</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80" w:right="259" w:bottom="1440" w:gutter="0" w:footer="0" w:header="0"/>
        </w:sectPr>
      </w:pPr>
    </w:p>
    <w:bookmarkStart w:id="97" w:name="page98"/>
    <w:bookmarkEnd w:id="97"/>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(a “Gross-Up Payment”) in an amount such that after payment by Executive of all taxes (including any interest or penalties imposed with respect to such taxes), including, without limitation, any income taxes (and any interest and penalties imposed with respect thereto) and Excise Tax imposed upon the Gross-Up Payment, Executive retains an amount of the Gross-Up Payment equal to the Excise Tax imposed upon the Payments.</w:t>
      </w:r>
    </w:p>
    <w:p>
      <w:pPr>
        <w:spacing w:after="0" w:line="107" w:lineRule="exact"/>
        <w:rPr>
          <w:sz w:val="20"/>
          <w:szCs w:val="20"/>
          <w:color w:val="auto"/>
        </w:rPr>
      </w:pPr>
    </w:p>
    <w:p>
      <w:pPr>
        <w:ind w:firstLine="921"/>
        <w:spacing w:after="0" w:line="285"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Subject to the provisions of Section 11(c), all determinations required to be made under this Section 11, including whether and when a Gross-Up Payment is required and the amount of such Gross-Up Payment and the assumptions to be used in arriving at such determination, shall be made by a nationally recognized accounting firm selected by the Company and reasonably acceptable to the Executive (the “Accounting Firm”) which shall provide detailed supporting calculations both to the Company and Executive within 15 business days of the receipt of notice from Executive that there has been a Payment, or such earlier time as is requested by the Company. In the event that the Accounting Firm is serving as accountant or auditor for the individual, entity or group effecting the Change in Control, Executive shall appoint another nationally recognized accounting firm to make the determinations required hereunder (which accounting firm shall then be referred to as the Accounting Firm hereunder). All fees and expenses of the Accounting Firm shall be borne solely by the Company. Any Gross-Up Payment, as determined pursuant to this Section 11, shall be paid by the Company to Executive within five business days of the receipt of the Accounting Firm’s determination. Any determination by the Accounting Firm shall be binding upon the Company and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11(c) and Executive thereafter is required to make a payment of any Excise Tax, the Accounting Firm shall determine the amount of the Underpayment that has occurred and any such Underpayment shall be promptly paid by the Company to or for the benefit of Executive, but no later than December 31 of the year after the year in which Executive remits the Excise Tax.</w:t>
      </w:r>
    </w:p>
    <w:p>
      <w:pPr>
        <w:spacing w:after="0" w:line="128" w:lineRule="exact"/>
        <w:rPr>
          <w:rFonts w:ascii="Arial" w:cs="Arial" w:eastAsia="Arial" w:hAnsi="Arial"/>
          <w:sz w:val="16"/>
          <w:szCs w:val="16"/>
          <w:color w:val="auto"/>
        </w:rPr>
      </w:pPr>
    </w:p>
    <w:p>
      <w:pPr>
        <w:ind w:right="60" w:firstLine="921"/>
        <w:spacing w:after="0" w:line="254"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shall notify the Company in writing of any claim by the Internal Revenue Service that, if successful, would require the payment by the Company of the Gross-Up Payment. Such notification shall be given as soon as practicable but no later than ten business days after Executive is informed in writing of such claim and shall apprise the Company of the nature of such claim and the date on which such claim is requested to be paid. Executive shall not pay such claim prior to the expiration of the 30-day period following the date on which it gives such notice to the Company (or such shorter period ending on the date that any payment of taxes with respect to such claim is due). If the Company notifies Executive in writing prior to the expiration of such period that it desires to contest such claim, Executive shall:</w:t>
      </w:r>
    </w:p>
    <w:p>
      <w:pPr>
        <w:spacing w:after="0" w:line="130" w:lineRule="exact"/>
        <w:rPr>
          <w:rFonts w:ascii="Arial" w:cs="Arial" w:eastAsia="Arial" w:hAnsi="Arial"/>
          <w:sz w:val="18"/>
          <w:szCs w:val="18"/>
          <w:color w:val="auto"/>
        </w:rPr>
      </w:pPr>
    </w:p>
    <w:p>
      <w:pPr>
        <w:ind w:left="5620" w:hanging="93"/>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80" w:right="239" w:bottom="1440" w:gutter="0" w:footer="0" w:header="0"/>
        </w:sectPr>
      </w:pPr>
    </w:p>
    <w:bookmarkStart w:id="98" w:name="page99"/>
    <w:bookmarkEnd w:id="98"/>
    <w:p>
      <w:pPr>
        <w:ind w:left="1700" w:hanging="208"/>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the Company any information reasonably requested by the Company relating to such claim,</w:t>
      </w:r>
    </w:p>
    <w:p>
      <w:pPr>
        <w:spacing w:after="0" w:line="171" w:lineRule="exact"/>
        <w:rPr>
          <w:rFonts w:ascii="Arial" w:cs="Arial" w:eastAsia="Arial" w:hAnsi="Arial"/>
          <w:sz w:val="18"/>
          <w:szCs w:val="18"/>
          <w:color w:val="auto"/>
        </w:rPr>
      </w:pPr>
    </w:p>
    <w:p>
      <w:pPr>
        <w:ind w:right="660" w:firstLine="1492"/>
        <w:spacing w:after="0" w:line="332" w:lineRule="auto"/>
        <w:tabs>
          <w:tab w:leader="none" w:pos="174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85" w:lineRule="exact"/>
        <w:rPr>
          <w:rFonts w:ascii="Arial" w:cs="Arial" w:eastAsia="Arial" w:hAnsi="Arial"/>
          <w:sz w:val="16"/>
          <w:szCs w:val="16"/>
          <w:color w:val="auto"/>
        </w:rPr>
      </w:pPr>
    </w:p>
    <w:p>
      <w:pPr>
        <w:ind w:left="1800" w:hanging="308"/>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171"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provided, however, that the Company shall bear and pay directly all costs and expenses (including additional interest and penalties) incurred in connection with such contest and shall indemnify and hold Executive harmless, on an after-tax basis, for any Excise Tax or income tax (including interest and penalties with respect thereto) imposed as a result of such representation and payment of costs and expenses. Without limitation of the foregoing provisions of this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11(c),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provided, however, that if the Company directs Executive to pay such claim and sue for a refund, the Company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21" w:lineRule="exact"/>
        <w:rPr>
          <w:sz w:val="20"/>
          <w:szCs w:val="20"/>
          <w:color w:val="auto"/>
        </w:rPr>
      </w:pPr>
    </w:p>
    <w:p>
      <w:pPr>
        <w:ind w:right="20" w:firstLine="921"/>
        <w:spacing w:after="0" w:line="256"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after the receipt by Executive of an amount advanced by the Company pursuant to Section 11(c), Executive becomes entitled to receive any refund with respect to such claim, Executive shall (subject to the Company’s complying with the requirements of Section 11(c)) promptly pay to the Company the amount of such refund (together with any interest paid or credited thereon after taxes applicable thereto). If, after the receipt by Executive of an amount advanced by the Company pursuant to</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80" w:right="239" w:bottom="1440" w:gutter="0" w:footer="0" w:header="0"/>
        </w:sectPr>
      </w:pPr>
    </w:p>
    <w:bookmarkStart w:id="99" w:name="page100"/>
    <w:bookmarkEnd w:id="99"/>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11(c), a determination is made that Executive shall not be entitled to any refund with respect to such claim and the Company does not notify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07"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20" w:firstLine="921"/>
        <w:spacing w:after="0" w:line="332" w:lineRule="auto"/>
        <w:tabs>
          <w:tab w:leader="none" w:pos="1152"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This Agreement is personal to Executive and without the prior written consent of the Company shall not be assignable by Executive otherwise than by will or the laws of descent and distribution. This Agreement shall inure to the benefit of and be enforceable by Executive’s legal representatives.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171" w:lineRule="exact"/>
        <w:rPr>
          <w:rFonts w:ascii="Arial" w:cs="Arial" w:eastAsia="Arial" w:hAnsi="Arial"/>
          <w:sz w:val="18"/>
          <w:szCs w:val="18"/>
          <w:color w:val="auto"/>
        </w:rPr>
      </w:pPr>
    </w:p>
    <w:p>
      <w:pPr>
        <w:jc w:val="both"/>
        <w:ind w:firstLine="921"/>
        <w:spacing w:after="0" w:line="323" w:lineRule="auto"/>
        <w:tabs>
          <w:tab w:leader="none" w:pos="1152" w:val="left"/>
        </w:tabs>
        <w:numPr>
          <w:ilvl w:val="1"/>
          <w:numId w:val="56"/>
        </w:numPr>
        <w:rPr>
          <w:rFonts w:ascii="Arial" w:cs="Arial" w:eastAsia="Arial" w:hAnsi="Arial"/>
          <w:sz w:val="15"/>
          <w:szCs w:val="15"/>
          <w:color w:val="auto"/>
        </w:rPr>
      </w:pPr>
      <w:r>
        <w:rPr>
          <w:rFonts w:ascii="Arial" w:cs="Arial" w:eastAsia="Arial" w:hAnsi="Arial"/>
          <w:sz w:val="15"/>
          <w:szCs w:val="15"/>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97" w:lineRule="exact"/>
        <w:rPr>
          <w:rFonts w:ascii="Arial" w:cs="Arial" w:eastAsia="Arial" w:hAnsi="Arial"/>
          <w:sz w:val="15"/>
          <w:szCs w:val="15"/>
          <w:color w:val="auto"/>
        </w:rPr>
      </w:pPr>
    </w:p>
    <w:p>
      <w:pPr>
        <w:jc w:val="both"/>
        <w:ind w:right="120" w:firstLine="464"/>
        <w:spacing w:after="0" w:line="298"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Notwithstanding anything in this Agreement to the contrary, if any amount or benefit that would constitute non-exempt “deferred compensation” for purposes of Section 409A of the Code would otherwise be payable or distributable under this Agreement by reason of Executive’s separation from service during a period in which he is a Specified Employee (as defined below), then, subject to any permissible acceleration of payment by the Company under Treas. Reg. Section 1.409A-3(j)(4)(ii) (domestic relations order), (j)(4)(iii) (conflicts of interest), or (j)(4)(vi) (payment of employment taxes):</w:t>
      </w:r>
    </w:p>
    <w:p>
      <w:pPr>
        <w:spacing w:after="0" w:line="112" w:lineRule="exact"/>
        <w:rPr>
          <w:rFonts w:ascii="Arial" w:cs="Arial" w:eastAsia="Arial" w:hAnsi="Arial"/>
          <w:sz w:val="16"/>
          <w:szCs w:val="16"/>
          <w:color w:val="auto"/>
        </w:rPr>
      </w:pPr>
    </w:p>
    <w:p>
      <w:pPr>
        <w:ind w:right="460" w:firstLine="921"/>
        <w:spacing w:after="0" w:line="332" w:lineRule="auto"/>
        <w:tabs>
          <w:tab w:leader="none" w:pos="1152"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payment or distribution is payable in a lump sum, Executive’s right to receive payment or distribution of such non-exempt deferred compensation will be delayed until the earlier of Executive’s death or the first day of the seventh month following Executive’s separation from service; and</w:t>
      </w:r>
    </w:p>
    <w:p>
      <w:pPr>
        <w:spacing w:after="0" w:line="85" w:lineRule="exact"/>
        <w:rPr>
          <w:rFonts w:ascii="Arial" w:cs="Arial" w:eastAsia="Arial" w:hAnsi="Arial"/>
          <w:sz w:val="16"/>
          <w:szCs w:val="16"/>
          <w:color w:val="auto"/>
        </w:rPr>
      </w:pPr>
    </w:p>
    <w:p>
      <w:pPr>
        <w:ind w:right="420" w:firstLine="921"/>
        <w:spacing w:after="0" w:line="306" w:lineRule="auto"/>
        <w:tabs>
          <w:tab w:leader="none" w:pos="1162"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payment of distribution is payable over time, the amount of such non-exempt deferred compensation that would otherwise be payable during the six-month period immediately following Executive’s separation from service will be accumulated and Executive’s right to receive payment or distribution of such accumulated amount will be delayed until the earlier of Executive’s death or the first day</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80"/>
          </w:cols>
          <w:pgMar w:left="240" w:top="280" w:right="279" w:bottom="1440" w:gutter="0" w:footer="0" w:header="0"/>
        </w:sectPr>
      </w:pPr>
    </w:p>
    <w:bookmarkStart w:id="100" w:name="page101"/>
    <w:bookmarkEnd w:id="10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seventh month following Executive’s separation from service, whereupon the accumulated amount will be paid or distributed to Executive and the normal payment or distribution schedule for any remaining payments or distributions will resume.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For purposes of this Agreement, the term “Specified Employee” has the meaning given such term in Code Section 409A and the final regulations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as permitted in such final regulations, the Company’s Specified Employees and its application of the six-month delay rule of Code Section 409A(a)(2)(B)(i) shall be determined in accordance with rules adopted by the Board, which shall be applied consistently with respect to all nonqualified deferred compensation arrangements of the Company, including this Agreement.</w:t>
      </w:r>
    </w:p>
    <w:p>
      <w:pPr>
        <w:spacing w:after="0" w:line="143" w:lineRule="exact"/>
        <w:rPr>
          <w:sz w:val="20"/>
          <w:szCs w:val="20"/>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68" w:lineRule="auto"/>
        <w:tabs>
          <w:tab w:leader="none" w:pos="115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reference to principles of conflict of laws.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this Agreement are not part of the provisions hereof and shall have no force or effect.</w:t>
      </w:r>
    </w:p>
    <w:p>
      <w:pPr>
        <w:spacing w:after="0" w:line="171" w:lineRule="exact"/>
        <w:rPr>
          <w:rFonts w:ascii="Arial" w:cs="Arial" w:eastAsia="Arial" w:hAnsi="Arial"/>
          <w:sz w:val="18"/>
          <w:szCs w:val="18"/>
          <w:color w:val="auto"/>
        </w:rPr>
      </w:pPr>
    </w:p>
    <w:p>
      <w:pPr>
        <w:ind w:right="200" w:firstLine="921"/>
        <w:spacing w:after="0" w:line="268" w:lineRule="auto"/>
        <w:tabs>
          <w:tab w:leader="none" w:pos="115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or modified otherwise than by a written agreement executed by the parties hereto or their respective successors and legal representatives.</w:t>
      </w:r>
    </w:p>
    <w:p>
      <w:pPr>
        <w:spacing w:after="0" w:line="131" w:lineRule="exact"/>
        <w:rPr>
          <w:rFonts w:ascii="Arial" w:cs="Arial" w:eastAsia="Arial" w:hAnsi="Arial"/>
          <w:sz w:val="18"/>
          <w:szCs w:val="18"/>
          <w:color w:val="auto"/>
        </w:rPr>
      </w:pPr>
    </w:p>
    <w:p>
      <w:pPr>
        <w:ind w:right="600" w:firstLine="921"/>
        <w:spacing w:after="0" w:line="268" w:lineRule="auto"/>
        <w:tabs>
          <w:tab w:leader="none" w:pos="116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Arial" w:cs="Arial" w:eastAsia="Arial" w:hAnsi="Arial"/>
                <w:sz w:val="18"/>
                <w:szCs w:val="18"/>
                <w:color w:val="auto"/>
              </w:rPr>
              <w:t>If to Executive:</w:t>
            </w:r>
          </w:p>
        </w:tc>
        <w:tc>
          <w:tcPr>
            <w:tcW w:w="2260" w:type="dxa"/>
            <w:vAlign w:val="bottom"/>
          </w:tcPr>
          <w:p>
            <w:pPr>
              <w:ind w:left="200"/>
              <w:spacing w:after="0"/>
              <w:rPr>
                <w:sz w:val="20"/>
                <w:szCs w:val="20"/>
                <w:color w:val="auto"/>
              </w:rPr>
            </w:pPr>
            <w:r>
              <w:rPr>
                <w:rFonts w:ascii="Arial" w:cs="Arial" w:eastAsia="Arial" w:hAnsi="Arial"/>
                <w:sz w:val="18"/>
                <w:szCs w:val="18"/>
                <w:color w:val="auto"/>
                <w:w w:val="94"/>
              </w:rPr>
              <w:t>the address set forth below</w:t>
            </w:r>
          </w:p>
        </w:tc>
      </w:tr>
      <w:tr>
        <w:trPr>
          <w:trHeight w:val="235"/>
        </w:trPr>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w w:val="92"/>
              </w:rPr>
              <w:t>under Executive’s signature</w:t>
            </w:r>
          </w:p>
        </w:tc>
      </w:tr>
      <w:tr>
        <w:trPr>
          <w:trHeight w:val="299"/>
        </w:trPr>
        <w:tc>
          <w:tcPr>
            <w:tcW w:w="1520" w:type="dxa"/>
            <w:vAlign w:val="bottom"/>
            <w:gridSpan w:val="3"/>
          </w:tcPr>
          <w:p>
            <w:pPr>
              <w:spacing w:after="0"/>
              <w:rPr>
                <w:sz w:val="20"/>
                <w:szCs w:val="20"/>
                <w:color w:val="auto"/>
              </w:rPr>
            </w:pPr>
            <w:r>
              <w:rPr>
                <w:rFonts w:ascii="Arial" w:cs="Arial" w:eastAsia="Arial" w:hAnsi="Arial"/>
                <w:sz w:val="18"/>
                <w:szCs w:val="18"/>
                <w:color w:val="auto"/>
              </w:rPr>
              <w:t>If to the Company:</w:t>
            </w:r>
          </w:p>
        </w:tc>
        <w:tc>
          <w:tcPr>
            <w:tcW w:w="2260" w:type="dxa"/>
            <w:vAlign w:val="bottom"/>
          </w:tcPr>
          <w:p>
            <w:pPr>
              <w:ind w:left="200"/>
              <w:spacing w:after="0"/>
              <w:rPr>
                <w:sz w:val="20"/>
                <w:szCs w:val="20"/>
                <w:color w:val="auto"/>
              </w:rPr>
            </w:pPr>
            <w:r>
              <w:rPr>
                <w:rFonts w:ascii="Arial" w:cs="Arial" w:eastAsia="Arial" w:hAnsi="Arial"/>
                <w:sz w:val="18"/>
                <w:szCs w:val="18"/>
                <w:color w:val="auto"/>
              </w:rPr>
              <w:t>CheckFree Corporation</w:t>
            </w:r>
          </w:p>
        </w:tc>
      </w:tr>
      <w:tr>
        <w:trPr>
          <w:trHeight w:val="228"/>
        </w:trPr>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w w:val="85"/>
              </w:rPr>
              <w:t>4411 East Jones Bridge Road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Norcross, Georgia 30092</w:t>
            </w:r>
          </w:p>
        </w:tc>
      </w:tr>
      <w:tr>
        <w:trPr>
          <w:trHeight w:val="222"/>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w w:val="94"/>
              </w:rPr>
              <w:t>Attention: General Counsel</w:t>
            </w:r>
          </w:p>
        </w:tc>
      </w:tr>
    </w:tbl>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shall be effective when actually received by the addressee.</w:t>
      </w:r>
    </w:p>
    <w:p>
      <w:pPr>
        <w:spacing w:after="0" w:line="132" w:lineRule="exact"/>
        <w:rPr>
          <w:sz w:val="20"/>
          <w:szCs w:val="20"/>
          <w:color w:val="auto"/>
        </w:rPr>
      </w:pPr>
    </w:p>
    <w:p>
      <w:pPr>
        <w:ind w:right="320" w:firstLine="921"/>
        <w:spacing w:after="0" w:line="332"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the Agreement shall be construed in all respects as if the invalid or unenforceable provision were omitted.</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20"/>
          </w:cols>
          <w:pgMar w:left="240" w:top="280" w:right="339" w:bottom="1440" w:gutter="0" w:footer="0" w:header="0"/>
        </w:sectPr>
      </w:pPr>
    </w:p>
    <w:bookmarkStart w:id="101" w:name="page102"/>
    <w:bookmarkEnd w:id="101"/>
    <w:p>
      <w:pPr>
        <w:ind w:left="-921" w:right="160" w:firstLine="921"/>
        <w:spacing w:after="0" w:line="268" w:lineRule="auto"/>
        <w:tabs>
          <w:tab w:leader="none" w:pos="21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w:t>
      </w:r>
      <w:r>
        <w:rPr>
          <w:rFonts w:ascii="Arial" w:cs="Arial" w:eastAsia="Arial" w:hAnsi="Arial"/>
          <w:sz w:val="18"/>
          <w:szCs w:val="18"/>
          <w:color w:val="auto"/>
        </w:rPr>
        <w:t>. The Company may withhold from any amounts payable under this Agreement such federal, state, local or foreign taxes as shall be required to be withheld pursuant to any applicable law or regulation.</w:t>
      </w:r>
    </w:p>
    <w:p>
      <w:pPr>
        <w:spacing w:after="0" w:line="131" w:lineRule="exact"/>
        <w:rPr>
          <w:rFonts w:ascii="Arial" w:cs="Arial" w:eastAsia="Arial" w:hAnsi="Arial"/>
          <w:sz w:val="18"/>
          <w:szCs w:val="18"/>
          <w:color w:val="auto"/>
        </w:rPr>
      </w:pPr>
    </w:p>
    <w:p>
      <w:pPr>
        <w:ind w:left="-921" w:right="180" w:firstLine="921"/>
        <w:spacing w:after="0" w:line="259" w:lineRule="auto"/>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Executive’s or the Company’s failure to insist upon strict compliance with any provision of this Agreement or the failure to assert any right Executive or the Company may have hereunder,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921" w:right="20" w:firstLine="921"/>
        <w:spacing w:after="0" w:line="294" w:lineRule="auto"/>
        <w:tabs>
          <w:tab w:leader="none" w:pos="24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Status Before and After Change in Control Date</w:t>
      </w:r>
      <w:r>
        <w:rPr>
          <w:rFonts w:ascii="Arial" w:cs="Arial" w:eastAsia="Arial" w:hAnsi="Arial"/>
          <w:sz w:val="16"/>
          <w:szCs w:val="16"/>
          <w:color w:val="auto"/>
        </w:rPr>
        <w:t>. Executive and the Company acknowledge that, except as may otherwise be provided under any other written agreement between Executive and the Company, the employment of Executive by the Company is “at will” and, subject to Section 1(a) hereof, Executive’s employment and/or this Agreement may be terminated by either Executive or the Company at any time prior to the Change in Control Date, in which case Executive shall have no further rights under this Agreement. From and after the Change in Control Date this Agreement shall supersede any other agreement between the parties with respect to the subject matter hereof, except as otherwise provided in Section 14(j) hereof.</w:t>
      </w:r>
    </w:p>
    <w:p>
      <w:pPr>
        <w:spacing w:after="0" w:line="115" w:lineRule="exact"/>
        <w:rPr>
          <w:rFonts w:ascii="Arial" w:cs="Arial" w:eastAsia="Arial" w:hAnsi="Arial"/>
          <w:sz w:val="16"/>
          <w:szCs w:val="16"/>
          <w:color w:val="auto"/>
        </w:rPr>
      </w:pPr>
    </w:p>
    <w:p>
      <w:pPr>
        <w:ind w:left="-921" w:firstLine="921"/>
        <w:spacing w:after="0" w:line="255" w:lineRule="auto"/>
        <w:tabs>
          <w:tab w:leader="none" w:pos="20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Executive shall be entitled to the benefits of the indemnity provided by the Company’s certificate of incorporation and bylaws, by agreement, or otherwise immediately prior to Change in Control Date, or any greater rights to indemnification thereafter provided to executive officers of the Company, and any subsequent changes to the certificate of incorporation, bylaws, agreement, or otherwise reducing the indemnity granted to such Executive shall not affect the rights granted hereunder. The Company may not reduce these indemnity benefits confirmed to Executive hereunder without the written consent of Executive.</w:t>
      </w:r>
    </w:p>
    <w:p>
      <w:pPr>
        <w:spacing w:after="0" w:line="142" w:lineRule="exact"/>
        <w:rPr>
          <w:rFonts w:ascii="Arial" w:cs="Arial" w:eastAsia="Arial" w:hAnsi="Arial"/>
          <w:sz w:val="18"/>
          <w:szCs w:val="18"/>
          <w:color w:val="auto"/>
        </w:rPr>
      </w:pPr>
    </w:p>
    <w:p>
      <w:pPr>
        <w:ind w:left="-921" w:right="200" w:firstLine="921"/>
        <w:spacing w:after="0" w:line="289" w:lineRule="auto"/>
        <w:tabs>
          <w:tab w:leader="none" w:pos="20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Related Agreements</w:t>
      </w:r>
      <w:r>
        <w:rPr>
          <w:rFonts w:ascii="Arial" w:cs="Arial" w:eastAsia="Arial" w:hAnsi="Arial"/>
          <w:sz w:val="16"/>
          <w:szCs w:val="16"/>
          <w:color w:val="auto"/>
        </w:rPr>
        <w:t>. During the Protection Period, this Agreement supersedes all prior written or unwritten severance pay plans, practices or programs offered or established by the Company or the Employer except for rights to severance compensation and severance benefits under individual agreements between the Company and Executive (the “Other Agreements”), which rights shall be deemed to have been satisfied only to the extent that comparable benefits are provided under this Agreement. This Section 14(j) is intended to avoid duplication of payments and benefits under this Agreement and under the Other Agreements, and this Section shall be interpreted as being intended to ensure that, in circumstances in which the Executive is entitled to severance pay and other benefits under this Agreement and under the Other Agreements, the total severance amounts and value of benefits received by the Executive will be equal to the total amounts and benefits provided under the agreement that provides for the greatest aggregate amounts and benefits, but the Executive shall not be entitled to duplication of such amounts and benefits.</w:t>
      </w:r>
    </w:p>
    <w:p>
      <w:pPr>
        <w:spacing w:after="0" w:line="104" w:lineRule="exact"/>
        <w:rPr>
          <w:rFonts w:ascii="Arial" w:cs="Arial" w:eastAsia="Arial" w:hAnsi="Arial"/>
          <w:sz w:val="16"/>
          <w:szCs w:val="16"/>
          <w:color w:val="auto"/>
        </w:rPr>
      </w:pPr>
    </w:p>
    <w:p>
      <w:pPr>
        <w:ind w:left="4699" w:hanging="96"/>
        <w:spacing w:after="0"/>
        <w:tabs>
          <w:tab w:leader="none" w:pos="46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479"/>
          </w:cols>
          <w:pgMar w:left="1161" w:top="280" w:right="259" w:bottom="1440" w:gutter="0" w:footer="0" w:header="0"/>
        </w:sectPr>
      </w:pPr>
    </w:p>
    <w:bookmarkStart w:id="102" w:name="page103"/>
    <w:bookmarkEnd w:id="102"/>
    <w:p>
      <w:pPr>
        <w:ind w:right="40" w:firstLine="921"/>
        <w:spacing w:after="0" w:line="256" w:lineRule="auto"/>
        <w:tabs>
          <w:tab w:leader="none" w:pos="116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by the Company or the Board</w:t>
      </w:r>
      <w:r>
        <w:rPr>
          <w:rFonts w:ascii="Arial" w:cs="Arial" w:eastAsia="Arial" w:hAnsi="Arial"/>
          <w:sz w:val="18"/>
          <w:szCs w:val="18"/>
          <w:color w:val="auto"/>
        </w:rPr>
        <w:t>. Whenever this Agreement calls for action to be taken by the Company, such action may be taken by the Board or by the Compensation Committee of the Board. Whenever this Agreement calls for action to be taken by the Board, or if the Board takes action on behalf of the Company for purposes of this Agreement, such action shall be taken by a majority vote of the members of the Board, excluding Executive if Executive is then a member of the Board.</w:t>
      </w:r>
    </w:p>
    <w:p>
      <w:pPr>
        <w:spacing w:after="0" w:line="143" w:lineRule="exact"/>
        <w:rPr>
          <w:sz w:val="20"/>
          <w:szCs w:val="20"/>
          <w:color w:val="auto"/>
        </w:rPr>
      </w:pPr>
    </w:p>
    <w:p>
      <w:pPr>
        <w:ind w:right="60" w:firstLine="921"/>
        <w:spacing w:after="0" w:line="268" w:lineRule="auto"/>
        <w:tabs>
          <w:tab w:leader="none" w:pos="116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WITNESS WHEREOF, Executive has hereunto set Executive’s hand and, pursuant to the authorization from its Board of Directors, the Company has caused these presents to be executed in its name on its behalf,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P. Gianoni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CHECKFREE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Kight</w:t>
            </w:r>
          </w:p>
        </w:tc>
      </w:tr>
      <w:tr>
        <w:trPr>
          <w:trHeight w:val="22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J. Kight</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10.39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RETENTION AGREEMENT</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This AMENDMENT TO RETENTION AGREEMENT (the “Amendment”) is dated as of August 2, 2007, between CheckFree Corporation, a Delaware corporation (the “Company”), and Michael P. Giannoni (“Executive”) to be effective upon the Effective Time (the “Effective Date”) of the transactions contemplated by the Agreement and Plan of Merger (the “Merger Agreement”), dated as of August 2, 2007, among Fiserv, Inc., a Wisconsin corporation (the “Parent”), Merger Sub (as defined in the Merger Agreement) and the Company. If the Effective Time does not occur, this Amendment shall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further force and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Executive and the Company have previously entered into that certain Retention Agreement dated as of July 27, 2007 (the “Agreement”); and</w:t>
      </w:r>
    </w:p>
    <w:p>
      <w:pPr>
        <w:spacing w:after="0" w:line="19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WHEREAS, the parties desire to enter into this Amendment to revise the terms of the Agreement to clarify the circumstances under which Executive may terminate employment for “Good Reason” (as defined in the Agreement) pursuant to Section 6(c)(iii) of the Agreement and to modify the terms of certain equity compensation awards;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the mutual covenants and agreements of the parties contained herein and other good and valuable consideration, the receipt of which is hereby acknowledged, the parties hereto agree as follows: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The following sentences shall be added to the end of Section 3:</w:t>
      </w:r>
    </w:p>
    <w:p>
      <w:pPr>
        <w:spacing w:after="0" w:line="90"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 xml:space="preserve">Executive hereby consents to the treatment of his Company Restricted Shares and Company Stock Options (as defined in the Agreement and Plan of Merger, dated as of August 2, 2007 (the “Merger Agreement”), among Fiserv, Inc., a Wisconsin corporation (“Parent”), Merger Sub (as defined in the Merger Agreement) and the Company), in each case, that were granted to Executive in 2007 and are unvested (after taking into account the immediately following sentence) immediately prior to the Effective Time (as defined in the Merger Agreement) as set forth in Section 2.3(a)(i) and Section 2.3(b)(i) of the Merger Agreement, as applicable. Notwithstanding any provision of any of the Company’s incentive plans, applicable award agreements or this Agreement to the contrary, Executive’s Company Stock Options and Company Restricted Shares shall not vest as a result of the transactions contemplated by the Merger Agreement and shall instead vest in full on the earlier to occur of (i) the time that such Company Stock Options or Company Restricted Shares, as applicable, would vest in accordance with their terms (excluding for this purpose any “change in control” provisions of such Company Stock Options and Company Restricted Shares) and (ii) subject to Executive’s continued employment through the first anniversary of the Effective Time, the first anniversary of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in the event that, following the Effective Time, there is a Change in Control of Parent (as defined in the Parent’s Stock Option and Restricted Stock Plan (as amended and restated as of February 16, 2005) as in effect on the date hereof) or Executive’s employment terminates for any reason other than (A) a termination by the Company for Cause or</w:t>
      </w:r>
    </w:p>
    <w:p>
      <w:pPr>
        <w:sectPr>
          <w:pgSz w:w="11900" w:h="16838" w:orient="portrait"/>
          <w:cols w:equalWidth="0" w:num="1">
            <w:col w:w="11420"/>
          </w:cols>
          <w:pgMar w:left="240" w:top="125" w:right="239" w:bottom="1440" w:gutter="0" w:footer="0" w:header="0"/>
        </w:sectPr>
      </w:pPr>
    </w:p>
    <w:bookmarkStart w:id="104" w:name="page105"/>
    <w:bookmarkEnd w:id="104"/>
    <w:p>
      <w:pPr>
        <w:ind w:right="220" w:firstLine="4"/>
        <w:spacing w:after="0" w:line="332" w:lineRule="auto"/>
        <w:tabs>
          <w:tab w:leader="none" w:pos="278"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Executive without Good Reason, Executive’s Company Stock Options and Company Restricted Shares shall, to the extent not then vested, vest in full (and Executive’s Company Stock Options agreements shall be amended prior to the Effective Time to reflect the foregoing).</w:t>
      </w:r>
    </w:p>
    <w:p>
      <w:pPr>
        <w:spacing w:after="0" w:line="4" w:lineRule="exact"/>
        <w:rPr>
          <w:rFonts w:ascii="Arial" w:cs="Arial" w:eastAsia="Arial" w:hAnsi="Arial"/>
          <w:sz w:val="16"/>
          <w:szCs w:val="16"/>
          <w:color w:val="auto"/>
        </w:rPr>
      </w:pPr>
    </w:p>
    <w:p>
      <w:pPr>
        <w:ind w:left="620" w:hanging="177"/>
        <w:spacing w:after="0"/>
        <w:tabs>
          <w:tab w:leader="none" w:pos="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first sentence of Section 6(c) shall be amended in its entirety to read as follows:</w:t>
      </w:r>
    </w:p>
    <w:p>
      <w:pPr>
        <w:spacing w:after="0" w:line="90"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Executive’s employment may be terminated by Executive during the Employment Period for Good Reason; provided, however, that in the event the Change in Control Date occurs by reason of the Effective Time (as defined in the Merger Agreement), Executive’s employment may be terminated for Good Reason during the eighteen (18) month period following the Effective Time, in respect of clauses (i), (ii), (iv), (v) and (vi) below, and during the thirty (30) month period following the Effective Time, in respect of clause (iii) below, and, in each case, be entitled to the benefits under Section 7(a), notwithstanding any earlier termination of the Employment Period.</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The following sentence shall be added to the end of the flush paragraph of Section 6(c):</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Notwithstanding the provisions of Section 6(c)(iii) to the contrary, Executive shall only have the right to resign pursuant to such Section 6(c)(iii) during the one-year period following the Effective Time if such resignation is due to the occurrence of a material diminution in Executive’s authorities, duties or responsibilities as in effect immediately prior to the Change in Control Date, it being agreed that Executive no longer having authorities, duties or responsibilities related to the Company being publicly-traded shall not by itself constitute such a material diminution. Notwithstanding the provisions of the third sentence of this paragraph and the sentence immediately preceding this sentence, if an event or circumstance described in Section 6(c)(iii) (disregarding the sentence immediately preceding this sentence) occurs during the one-year period following the Effective Time (it being understood that existence of a diminution shall be determined by comparing authorities, duties or responsibilities immediately prior to the Effective Time with any of those after the Effective Time), Executive shall have the right to resign for such event or circumstance during the 90-day period following the first anniversary of the Effective Time and Executive’s failure to provide the Employer notice within 90 days of the event giving rise to Good Reason shall not (A) preclude Executive from resigning for Good Reason following such one-year period by reason of such change and (B) without limiting the generality of the provisions of Section 14(g), otherwise constitute a waiver of Executive’s right to resign for Good Reason by reason of such event or circumstance. No provision of this paragraph shall modify Executive’s right to resign for Good Reason by virtue of any of the events or circumstances described in Sections 6(c)(i), (ii), (iv), (v) or (vi) or, following the first anniversary of the Effective Time, to resign for Good Reason by virtue of any of the events or circumstances described in Section 6(c)(iii) (disregarding the provisions of this paragraph).</w:t>
      </w:r>
    </w:p>
    <w:p>
      <w:pPr>
        <w:sectPr>
          <w:pgSz w:w="11900" w:h="16838" w:orient="portrait"/>
          <w:cols w:equalWidth="0" w:num="1">
            <w:col w:w="10960"/>
          </w:cols>
          <w:pgMar w:left="700" w:top="280" w:right="239" w:bottom="1440" w:gutter="0" w:footer="0" w:header="0"/>
        </w:sectPr>
      </w:pPr>
    </w:p>
    <w:bookmarkStart w:id="105" w:name="page106"/>
    <w:bookmarkEnd w:id="105"/>
    <w:p>
      <w:pPr>
        <w:ind w:left="616" w:hanging="177"/>
        <w:spacing w:after="0"/>
        <w:tabs>
          <w:tab w:leader="none" w:pos="616"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new Section 13(c) of the Agreement is hereby added immediately following Section 13(b):</w:t>
      </w:r>
    </w:p>
    <w:p>
      <w:pPr>
        <w:spacing w:after="0" w:line="90" w:lineRule="exact"/>
        <w:rPr>
          <w:rFonts w:ascii="Arial" w:cs="Arial" w:eastAsia="Arial" w:hAnsi="Arial"/>
          <w:sz w:val="18"/>
          <w:szCs w:val="18"/>
          <w:color w:val="auto"/>
        </w:rPr>
      </w:pPr>
    </w:p>
    <w:p>
      <w:pPr>
        <w:ind w:left="-4" w:firstLine="4"/>
        <w:spacing w:after="0" w:line="268" w:lineRule="auto"/>
        <w:tabs>
          <w:tab w:leader="none" w:pos="2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payments or amounts delayed pursuant to Sections 13(a) or (b), shall be paid with interest at the applicable federal rate provided for in Section 7872(f)(2)(A) of the Code at the times set forth in Sections 13(a) or (b), as applicable.</w:t>
      </w:r>
    </w:p>
    <w:p>
      <w:pPr>
        <w:spacing w:after="0" w:line="50" w:lineRule="exact"/>
        <w:rPr>
          <w:rFonts w:ascii="Arial" w:cs="Arial" w:eastAsia="Arial" w:hAnsi="Arial"/>
          <w:sz w:val="18"/>
          <w:szCs w:val="18"/>
          <w:color w:val="auto"/>
        </w:rPr>
      </w:pPr>
    </w:p>
    <w:p>
      <w:pPr>
        <w:ind w:left="616" w:hanging="177"/>
        <w:spacing w:after="0"/>
        <w:tabs>
          <w:tab w:leader="none" w:pos="616" w:val="left"/>
        </w:tabs>
        <w:numPr>
          <w:ilvl w:val="1"/>
          <w:numId w:val="64"/>
        </w:numPr>
        <w:rPr>
          <w:rFonts w:ascii="Arial" w:cs="Arial" w:eastAsia="Arial" w:hAnsi="Arial"/>
          <w:sz w:val="16"/>
          <w:szCs w:val="16"/>
          <w:color w:val="auto"/>
        </w:rPr>
      </w:pPr>
      <w:r>
        <w:rPr>
          <w:rFonts w:ascii="Arial" w:cs="Arial" w:eastAsia="Arial" w:hAnsi="Arial"/>
          <w:sz w:val="16"/>
          <w:szCs w:val="16"/>
          <w:color w:val="auto"/>
        </w:rPr>
        <w:t>Except as otherwise provided herein, the Agreement shall remain in full force and effect in accordance with its original terms.</w:t>
      </w:r>
    </w:p>
    <w:p>
      <w:pPr>
        <w:sectPr>
          <w:pgSz w:w="11900" w:h="16838" w:orient="portrait"/>
          <w:cols w:equalWidth="0" w:num="1">
            <w:col w:w="10016"/>
          </w:cols>
          <w:pgMar w:left="704" w:top="280" w:right="1179" w:bottom="1440" w:gutter="0" w:footer="0" w:header="0"/>
        </w:sectPr>
      </w:pPr>
    </w:p>
    <w:bookmarkStart w:id="106" w:name="page107"/>
    <w:bookmarkEnd w:id="106"/>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and delivered this Amendment, or have caused this Amendment to be executed and delivered, to be effective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8060" w:type="dxa"/>
            <w:vAlign w:val="bottom"/>
            <w:gridSpan w:val="2"/>
          </w:tcPr>
          <w:p>
            <w:pPr>
              <w:ind w:left="2460"/>
              <w:spacing w:after="0"/>
              <w:rPr>
                <w:sz w:val="20"/>
                <w:szCs w:val="20"/>
                <w:color w:val="auto"/>
              </w:rPr>
            </w:pPr>
            <w:r>
              <w:rPr>
                <w:rFonts w:ascii="Arial" w:cs="Arial" w:eastAsia="Arial" w:hAnsi="Arial"/>
                <w:sz w:val="18"/>
                <w:szCs w:val="18"/>
                <w:b w:val="1"/>
                <w:bCs w:val="1"/>
                <w:color w:val="auto"/>
              </w:rPr>
              <w:t>CHECKFREE CORPORATION</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Date: 8/1/07</w:t>
            </w:r>
          </w:p>
        </w:tc>
        <w:tc>
          <w:tcPr>
            <w:tcW w:w="8060" w:type="dxa"/>
            <w:vAlign w:val="bottom"/>
            <w:gridSpan w:val="2"/>
          </w:tcPr>
          <w:p>
            <w:pPr>
              <w:ind w:left="2460"/>
              <w:spacing w:after="0"/>
              <w:rPr>
                <w:sz w:val="20"/>
                <w:szCs w:val="20"/>
                <w:color w:val="auto"/>
              </w:rPr>
            </w:pPr>
            <w:r>
              <w:rPr>
                <w:rFonts w:ascii="Arial" w:cs="Arial" w:eastAsia="Arial" w:hAnsi="Arial"/>
                <w:sz w:val="18"/>
                <w:szCs w:val="18"/>
                <w:color w:val="auto"/>
              </w:rPr>
              <w:t>By: /S/ David E. Mangum</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3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Name: David E. Mangum</w:t>
            </w:r>
          </w:p>
        </w:tc>
      </w:tr>
      <w:tr>
        <w:trPr>
          <w:trHeight w:val="222"/>
        </w:trPr>
        <w:tc>
          <w:tcPr>
            <w:tcW w:w="3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Title:  EVP &amp; CFO</w:t>
            </w:r>
          </w:p>
        </w:tc>
      </w:tr>
      <w:tr>
        <w:trPr>
          <w:trHeight w:val="432"/>
        </w:trPr>
        <w:tc>
          <w:tcPr>
            <w:tcW w:w="3360" w:type="dxa"/>
            <w:vAlign w:val="bottom"/>
          </w:tcPr>
          <w:p>
            <w:pPr>
              <w:spacing w:after="0"/>
              <w:rPr>
                <w:sz w:val="24"/>
                <w:szCs w:val="24"/>
                <w:color w:val="auto"/>
              </w:rPr>
            </w:pPr>
          </w:p>
        </w:tc>
        <w:tc>
          <w:tcPr>
            <w:tcW w:w="8060" w:type="dxa"/>
            <w:vAlign w:val="bottom"/>
            <w:gridSpan w:val="2"/>
          </w:tcPr>
          <w:p>
            <w:pPr>
              <w:ind w:left="2460"/>
              <w:spacing w:after="0"/>
              <w:rPr>
                <w:sz w:val="20"/>
                <w:szCs w:val="20"/>
                <w:color w:val="auto"/>
              </w:rPr>
            </w:pPr>
            <w:r>
              <w:rPr>
                <w:rFonts w:ascii="Arial" w:cs="Arial" w:eastAsia="Arial" w:hAnsi="Arial"/>
                <w:sz w:val="18"/>
                <w:szCs w:val="18"/>
                <w:b w:val="1"/>
                <w:bCs w:val="1"/>
                <w:color w:val="auto"/>
              </w:rPr>
              <w:t>EXECUTIVE</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Date: 8/1/07</w:t>
            </w:r>
          </w:p>
        </w:tc>
        <w:tc>
          <w:tcPr>
            <w:tcW w:w="8060" w:type="dxa"/>
            <w:vAlign w:val="bottom"/>
            <w:gridSpan w:val="2"/>
          </w:tcPr>
          <w:p>
            <w:pPr>
              <w:ind w:left="2460"/>
              <w:spacing w:after="0"/>
              <w:rPr>
                <w:sz w:val="20"/>
                <w:szCs w:val="20"/>
                <w:color w:val="auto"/>
              </w:rPr>
            </w:pPr>
            <w:r>
              <w:rPr>
                <w:rFonts w:ascii="Arial" w:cs="Arial" w:eastAsia="Arial" w:hAnsi="Arial"/>
                <w:sz w:val="18"/>
                <w:szCs w:val="18"/>
                <w:color w:val="auto"/>
              </w:rPr>
              <w:t>By: /S/ Michael P. Gianoni</w:t>
            </w:r>
          </w:p>
        </w:tc>
      </w:tr>
      <w:tr>
        <w:trPr>
          <w:trHeight w:val="217"/>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Michael P. Gianoni</w:t>
            </w:r>
          </w:p>
        </w:tc>
      </w:tr>
    </w:tbl>
    <w:p>
      <w:pPr>
        <w:sectPr>
          <w:pgSz w:w="11900" w:h="16838" w:orient="portrait"/>
          <w:cols w:equalWidth="0" w:num="1">
            <w:col w:w="11420"/>
          </w:cols>
          <w:pgMar w:left="240" w:top="2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RETENTION AGREEMENT</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SECOND AMENDMENT TO RETENTION AGREEMENT (the “Second Amendment”) is dated as of December 22, 2008 between CheckFree Corporation, a Delaware corporation (the “Company”) and Michael Gianoni (“Employee”).</w:t>
      </w:r>
    </w:p>
    <w:p>
      <w:pPr>
        <w:spacing w:after="0" w:line="126"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Company have previously entered into that certain Retention Agreement dated as of July 27, 2007, and amended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 2007 (the “Agreement”); and</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enter into this Second Amendment to revise the terms of the Agreement to comply with Section 409A of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Code of 1986, as amended, and guidance promulgated thereunder (“Section 409A”);</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the mutual covenants and agreements of the parties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of which is hereby acknowledged, the parties hereto agree as follows:</w:t>
      </w:r>
    </w:p>
    <w:p>
      <w:pPr>
        <w:spacing w:after="0" w:line="126"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11(b) is hereby amended in its entirety to read as follows:</w:t>
      </w:r>
    </w:p>
    <w:p>
      <w:pPr>
        <w:spacing w:after="0" w:line="171" w:lineRule="exact"/>
        <w:rPr>
          <w:rFonts w:ascii="Arial" w:cs="Arial" w:eastAsia="Arial" w:hAnsi="Arial"/>
          <w:sz w:val="18"/>
          <w:szCs w:val="18"/>
          <w:color w:val="auto"/>
        </w:rPr>
      </w:pPr>
    </w:p>
    <w:p>
      <w:pPr>
        <w:ind w:right="40" w:firstLine="921"/>
        <w:spacing w:after="0" w:line="301" w:lineRule="auto"/>
        <w:tabs>
          <w:tab w:leader="none" w:pos="1162" w:val="left"/>
        </w:tabs>
        <w:numPr>
          <w:ilvl w:val="1"/>
          <w:numId w:val="65"/>
        </w:numPr>
        <w:rPr>
          <w:rFonts w:ascii="Arial" w:cs="Arial" w:eastAsia="Arial" w:hAnsi="Arial"/>
          <w:sz w:val="15"/>
          <w:szCs w:val="15"/>
          <w:color w:val="auto"/>
        </w:rPr>
      </w:pPr>
      <w:r>
        <w:rPr>
          <w:rFonts w:ascii="Arial" w:cs="Arial" w:eastAsia="Arial" w:hAnsi="Arial"/>
          <w:sz w:val="15"/>
          <w:szCs w:val="15"/>
          <w:color w:val="auto"/>
        </w:rPr>
        <w:t>Subject to the provisions of Section 11(c), all determinations required to be made under this Section 11, including whether and when a Gross-Up Payment is required and the amount of such Gross-Up Payment and the assumptions to be used in arriving at such determination, shall be made by a nationally recognized accounting firm selected by the Company and reasonably acceptable to the Employee (the “Accounting Firm”) which shall provide detailed supporting calculations both to the Company and Employee within 15 business days of the receipt of notice from Employee that there has been a Payment, or such earlier time as is requested by the Company. In the event that the Accounting Firm is serving as accountant or auditor for the individual, entity or group effecting the Change in Control, Employee shall appoint another nationally recognized accounting firm to make the determinations required hereunder (which accounting firm shall then be referred to as the Accounting Firm hereunder). All fees and expenses of the Accounting Firm shall be borne solely by the Company.</w:t>
      </w:r>
    </w:p>
    <w:p>
      <w:pPr>
        <w:spacing w:after="0" w:line="4" w:lineRule="exact"/>
        <w:rPr>
          <w:rFonts w:ascii="Arial" w:cs="Arial" w:eastAsia="Arial" w:hAnsi="Arial"/>
          <w:sz w:val="15"/>
          <w:szCs w:val="15"/>
          <w:color w:val="auto"/>
        </w:rPr>
      </w:pPr>
    </w:p>
    <w:p>
      <w:pPr>
        <w:ind w:right="20"/>
        <w:spacing w:after="0" w:line="287" w:lineRule="auto"/>
        <w:rPr>
          <w:rFonts w:ascii="Arial" w:cs="Arial" w:eastAsia="Arial" w:hAnsi="Arial"/>
          <w:sz w:val="15"/>
          <w:szCs w:val="15"/>
          <w:color w:val="auto"/>
        </w:rPr>
      </w:pPr>
      <w:r>
        <w:rPr>
          <w:rFonts w:ascii="Arial" w:cs="Arial" w:eastAsia="Arial" w:hAnsi="Arial"/>
          <w:sz w:val="16"/>
          <w:szCs w:val="16"/>
          <w:b w:val="1"/>
          <w:bCs w:val="1"/>
          <w:color w:val="auto"/>
        </w:rPr>
        <w:t xml:space="preserve">Any Gross-Up Payment, as determined pursuant to this Section 11, shall be paid by the Company to Employee at the same time as the Company pays to the Employee the Severance Payment, </w:t>
      </w:r>
      <w:r>
        <w:rPr>
          <w:rFonts w:ascii="Arial" w:cs="Arial" w:eastAsia="Arial" w:hAnsi="Arial"/>
          <w:sz w:val="16"/>
          <w:szCs w:val="16"/>
          <w:b w:val="1"/>
          <w:bCs w:val="1"/>
          <w:i w:val="1"/>
          <w:iCs w:val="1"/>
          <w:color w:val="auto"/>
        </w:rPr>
        <w:t>provided, however,</w:t>
      </w:r>
      <w:r>
        <w:rPr>
          <w:rFonts w:ascii="Arial" w:cs="Arial" w:eastAsia="Arial" w:hAnsi="Arial"/>
          <w:sz w:val="16"/>
          <w:szCs w:val="16"/>
          <w:b w:val="1"/>
          <w:bCs w:val="1"/>
          <w:color w:val="auto"/>
        </w:rPr>
        <w:t xml:space="preserve"> if prior to such date the Employee is required to remit the Excise Tax to the Internal Revenue Service, then upon written notice by the Employee to the Company, the Company shall promptly reimburse the Employee for the Gross-Up Payment attributable to such Excise Tax payment (but based upon Employee’s actual rate of taxation), but no later than December 31 of the year after the year in which Employee remits the Excise Tax. </w:t>
      </w:r>
      <w:r>
        <w:rPr>
          <w:rFonts w:ascii="Arial" w:cs="Arial" w:eastAsia="Arial" w:hAnsi="Arial"/>
          <w:sz w:val="16"/>
          <w:szCs w:val="16"/>
          <w:color w:val="auto"/>
        </w:rPr>
        <w:t>Any determination by the Accounting Firm shall be binding upon the Company and Employee. As a result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11(c) and Employee thereafter is required to remit any Excise Tax to the Internal Revenue Service, the Accounting</w:t>
      </w:r>
    </w:p>
    <w:p>
      <w:pPr>
        <w:sectPr>
          <w:pgSz w:w="11900" w:h="16838" w:orient="portrait"/>
          <w:cols w:equalWidth="0" w:num="1">
            <w:col w:w="11420"/>
          </w:cols>
          <w:pgMar w:left="240" w:top="125" w:right="239" w:bottom="1440" w:gutter="0" w:footer="0" w:header="0"/>
        </w:sectPr>
      </w:pPr>
    </w:p>
    <w:bookmarkStart w:id="108" w:name="page109"/>
    <w:bookmarkEnd w:id="108"/>
    <w:p>
      <w:pPr>
        <w:ind w:right="300"/>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Firm shall determine the amount of the Underpayment that has occurred and any such Underpayment </w:t>
      </w:r>
      <w:r>
        <w:rPr>
          <w:rFonts w:ascii="Arial" w:cs="Arial" w:eastAsia="Arial" w:hAnsi="Arial"/>
          <w:sz w:val="16"/>
          <w:szCs w:val="16"/>
          <w:b w:val="1"/>
          <w:bCs w:val="1"/>
          <w:color w:val="auto"/>
        </w:rPr>
        <w:t>shall be promptly paid by the Company to or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benefit of Employee, but no later than December 31 of the year after the year in which Employee remits the Excise Tax.</w:t>
      </w:r>
    </w:p>
    <w:p>
      <w:pPr>
        <w:spacing w:after="0" w:line="80"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Section 11(c) is hereby amended in its entirety to read as follows:</w:t>
      </w:r>
    </w:p>
    <w:p>
      <w:pPr>
        <w:spacing w:after="0" w:line="171" w:lineRule="exact"/>
        <w:rPr>
          <w:rFonts w:ascii="Arial" w:cs="Arial" w:eastAsia="Arial" w:hAnsi="Arial"/>
          <w:sz w:val="18"/>
          <w:szCs w:val="18"/>
          <w:color w:val="auto"/>
        </w:rPr>
      </w:pPr>
    </w:p>
    <w:p>
      <w:pPr>
        <w:ind w:firstLine="921"/>
        <w:spacing w:after="0" w:line="254" w:lineRule="auto"/>
        <w:tabs>
          <w:tab w:leader="none" w:pos="1152" w:val="left"/>
        </w:tabs>
        <w:numPr>
          <w:ilvl w:val="1"/>
          <w:numId w:val="66"/>
        </w:numPr>
        <w:rPr>
          <w:rFonts w:ascii="Arial" w:cs="Arial" w:eastAsia="Arial" w:hAnsi="Arial"/>
          <w:sz w:val="18"/>
          <w:szCs w:val="18"/>
          <w:color w:val="auto"/>
        </w:rPr>
      </w:pPr>
      <w:r>
        <w:rPr>
          <w:rFonts w:ascii="Arial" w:cs="Arial" w:eastAsia="Arial" w:hAnsi="Arial"/>
          <w:sz w:val="18"/>
          <w:szCs w:val="18"/>
          <w:color w:val="auto"/>
        </w:rPr>
        <w:t>Employee shall notify the Company in writing of any claim by the Internal Revenue Service that, if successful, would require the payment by the Company of the Gross-Up Payment. Such notification shall be given as soon as practicable but no later than ten business days after Employee is informed in writing of such claim and shall apprise the Company of the nature of such claim and the date on which such claim is requested to be paid. Employee shall not pay such claim prior to the expiration of the 30-day period following the date on which it gives such notice to the Company (or such shorter period ending on the date that any payment of taxes with respect to such claim is due). If the Company notifies Employee in writing prior to the expiration of such period that it desires to contest such claim, Employee shall:</w:t>
      </w:r>
    </w:p>
    <w:p>
      <w:pPr>
        <w:spacing w:after="0" w:line="63" w:lineRule="exact"/>
        <w:rPr>
          <w:rFonts w:ascii="Arial" w:cs="Arial" w:eastAsia="Arial" w:hAnsi="Arial"/>
          <w:sz w:val="18"/>
          <w:szCs w:val="18"/>
          <w:color w:val="auto"/>
        </w:rPr>
      </w:pPr>
    </w:p>
    <w:p>
      <w:pPr>
        <w:ind w:left="1560" w:hanging="219"/>
        <w:spacing w:after="0"/>
        <w:tabs>
          <w:tab w:leader="none" w:pos="15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90" w:lineRule="exact"/>
        <w:rPr>
          <w:rFonts w:ascii="Arial" w:cs="Arial" w:eastAsia="Arial" w:hAnsi="Arial"/>
          <w:sz w:val="18"/>
          <w:szCs w:val="18"/>
          <w:color w:val="auto"/>
        </w:rPr>
      </w:pPr>
    </w:p>
    <w:p>
      <w:pPr>
        <w:ind w:left="920" w:right="20" w:firstLine="421"/>
        <w:spacing w:after="0" w:line="332" w:lineRule="auto"/>
        <w:tabs>
          <w:tab w:leader="none" w:pos="1598" w:val="left"/>
        </w:tabs>
        <w:numPr>
          <w:ilvl w:val="2"/>
          <w:numId w:val="66"/>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171"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such contest and shall indemnify and hold Employee harmless, on an after-tax basis, for any Excise Tax or income tax (including interest and penalties with respect thereto) imposed as a result of such representation and payment of costs and expenses. Without limitation of the foregoing provisions of this</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Section 11(c),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the Company directs Employee to pay such claim and sue for a refund,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the Company shall promptly reimburse the amount of such payment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to Employee within 10 business days after delivery of the Employee’s written notice to the Company that he has made such payment accompanied with such evidence of payment as the Company may reasonably require, but no later than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9" w:name="page110"/>
    <w:bookmarkEnd w:id="109"/>
    <w:p>
      <w:pPr>
        <w:ind w:right="2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December 31 of the year after the year in which Employee makes such payment, </w:t>
      </w:r>
      <w:r>
        <w:rPr>
          <w:rFonts w:ascii="Arial" w:cs="Arial" w:eastAsia="Arial" w:hAnsi="Arial"/>
          <w:sz w:val="16"/>
          <w:szCs w:val="16"/>
          <w:color w:val="auto"/>
        </w:rPr>
        <w:t xml:space="preserve">and the Company shall indemnify and hold Employee harmless, on an after-tax basis, from any Excise Tax or income tax (including interest or penalties with respect thereto) imposed with respect to such reimbursement or with respect to any imputed income with respect to such reimbursement;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any extension of the statute of limitations relating to payment of taxes for the taxable year of Employee with respect to which such contested amount is claimed to be due is limited solely to such contested amount. Furthermore, the Company’s control of the contest shall be limited to issues with respect to which a Gross-Up Payment would be payable hereunder and Employee shall be entitled to settle or contest, as the case may be, any other issue raised by the Internal Revenue Service or any other taxing authority.</w:t>
      </w:r>
    </w:p>
    <w:p>
      <w:pPr>
        <w:spacing w:after="0" w:line="117"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11(d) is hereby amended in its entirety to read as follows:</w:t>
      </w:r>
    </w:p>
    <w:p>
      <w:pPr>
        <w:spacing w:after="0" w:line="171" w:lineRule="exact"/>
        <w:rPr>
          <w:rFonts w:ascii="Arial" w:cs="Arial" w:eastAsia="Arial" w:hAnsi="Arial"/>
          <w:sz w:val="18"/>
          <w:szCs w:val="18"/>
          <w:color w:val="auto"/>
        </w:rPr>
      </w:pPr>
    </w:p>
    <w:p>
      <w:pPr>
        <w:ind w:firstLine="921"/>
        <w:spacing w:after="0" w:line="289" w:lineRule="auto"/>
        <w:tabs>
          <w:tab w:leader="none" w:pos="116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after the receipt by Employee of a reimbursement by the Company with respect to payment of any claim made by the Employee at the direction of the Company pursuant to Section 11(c), Employee becomes entitled to receive any refund with respect to such claim, Employee shall (subject to the Company’s complying with the requirements of Section 11(c)) promptly pay to the Company the amount of such refund (together with any interest paid or credited thereon after taxes applicable thereto). If, after the receipt by Employee of a reimbursement by the Company with respect to payment of any claim made by the Employee at the direction of the Company pursuant to Section 11(c), a determination is made that Employee shall not be entitled to any refund with respect to such claim and the Company does not notify Employee in writing of its intent to contest such denial of refund prior to the expiration of 30 days after such determination, then such reimbursement shall not be required to be repaid and the amount of such reimbursement shall offset, to the extent thereof, the amount of Gross-Up Payment required to be paid.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otherwise provided herein, the Agreement shall remain in full force and effect.</w:t>
      </w:r>
    </w:p>
    <w:p>
      <w:pPr>
        <w:spacing w:after="0" w:line="16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and delivered this Second Amendment, or have caused this Second Amendment to be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be effective as of the date first written above.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CHECKFREE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Thomas J. Hirsch</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CFO</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non-employee director compensation is provided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Board Retainer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Chairman’s Retainer</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Meeting Fees</w:t>
            </w:r>
          </w:p>
        </w:tc>
        <w:tc>
          <w:tcPr>
            <w:tcW w:w="184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5"/>
              </w:rPr>
              <w:t>No separate fees for board or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committee meetings</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Committee Retainer</w:t>
            </w: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Compensation</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Committee Chair Retainer</w:t>
            </w: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Compensation</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2"/>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Equity Awards</w:t>
            </w:r>
          </w:p>
        </w:tc>
        <w:tc>
          <w:tcPr>
            <w:tcW w:w="1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60,000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Chairman’s retainer includes, and is not in addition to, the standard board retainer.</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being elected or continuing as a director, each non-employee director will receive such number of restricted stock units as is determined by dividing $60,000 by the closing price of our common stock on the grant date.</w:t>
      </w:r>
    </w:p>
    <w:p>
      <w:pPr>
        <w:spacing w:after="0" w:line="50"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being elected or continuing as a director, each non-employee director will receive a stock option having $60,000 in value. The number of shares for which the option may be exercised will be determined by dividing $60,000 by a binomial valuation of an option of one share of our common stock on the grant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Stock options and restricted stock units will vest 100% on the earlier of (i) the first anniversary of the grant date or (ii) immediately prior to the first annual meeting of shareholders following the grant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Compensation Plan</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a non-employee director deferred compensation plan. This plan allows directors to defer all or a part of their cash retainers until after their service on the board has ended. Funds in deferred accounts are invested in hypothetical shares of our common stock.</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Restricted stock units are hypothetical shares of our common stock that are converted into actual shares upon settlement. Under the deferred compensation plan, directors may defer receipt of shares issuable pursuant to the restricted stock units until after their service on the board has ended.</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20" w:type="dxa"/>
            <w:vAlign w:val="bottom"/>
            <w:gridSpan w:val="3"/>
          </w:tcPr>
          <w:p>
            <w:pPr>
              <w:ind w:left="800"/>
              <w:spacing w:after="0"/>
              <w:rPr>
                <w:sz w:val="20"/>
                <w:szCs w:val="20"/>
                <w:color w:val="auto"/>
              </w:rPr>
            </w:pPr>
            <w:r>
              <w:rPr>
                <w:rFonts w:ascii="Arial" w:cs="Arial" w:eastAsia="Arial" w:hAnsi="Arial"/>
                <w:sz w:val="18"/>
                <w:szCs w:val="18"/>
                <w:b w:val="1"/>
                <w:bCs w:val="1"/>
                <w:color w:val="auto"/>
              </w:rPr>
              <w:t>SUBSIDIARIES OF FISERV, INC.</w:t>
            </w:r>
          </w:p>
        </w:tc>
      </w:tr>
      <w:tr>
        <w:trPr>
          <w:trHeight w:val="366"/>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State (Country) of Incorporation or Organization</w:t>
            </w:r>
          </w:p>
        </w:tc>
      </w:tr>
      <w:tr>
        <w:trPr>
          <w:trHeight w:val="201"/>
        </w:trPr>
        <w:tc>
          <w:tcPr>
            <w:tcW w:w="3600" w:type="dxa"/>
            <w:vAlign w:val="bottom"/>
          </w:tcPr>
          <w:p>
            <w:pPr>
              <w:ind w:left="440"/>
              <w:spacing w:after="0" w:line="201" w:lineRule="exact"/>
              <w:rPr>
                <w:sz w:val="20"/>
                <w:szCs w:val="20"/>
                <w:color w:val="auto"/>
              </w:rPr>
            </w:pPr>
            <w:r>
              <w:rPr>
                <w:rFonts w:ascii="Arial" w:cs="Arial" w:eastAsia="Arial" w:hAnsi="Arial"/>
                <w:sz w:val="18"/>
                <w:szCs w:val="18"/>
                <w:color w:val="auto"/>
              </w:rPr>
              <w:t>BillMatrix Corporation</w:t>
            </w: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ind w:left="440"/>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Carreker Corporation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CheckFree Corporation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CheckFree Services Corporation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CheckFree Solutions Limited</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United Kingdom</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CheckFreePay Corporation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Connecticut</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Data-Link Systems, LLC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Wisconsin</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Fiserv Automotive Solutions,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Fiserv (Europe) Limited</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United Kingdom</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Fiserv CIR,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Fiserv PAR,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Wisconsin</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Fiserv Solutions,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Wisconsin</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Information Technology,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Nebraska</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ITI of Nebraska,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Nebraska</w:t>
            </w: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i-Tech Corporation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Montana</w:t>
            </w:r>
          </w:p>
        </w:tc>
      </w:tr>
      <w:tr>
        <w:trPr>
          <w:trHeight w:val="222"/>
        </w:trPr>
        <w:tc>
          <w:tcPr>
            <w:tcW w:w="3600" w:type="dxa"/>
            <w:vAlign w:val="bottom"/>
          </w:tcPr>
          <w:p>
            <w:pPr>
              <w:ind w:left="440"/>
              <w:spacing w:after="0"/>
              <w:rPr>
                <w:sz w:val="20"/>
                <w:szCs w:val="20"/>
                <w:color w:val="auto"/>
              </w:rPr>
            </w:pPr>
            <w:r>
              <w:rPr>
                <w:rFonts w:ascii="Arial" w:cs="Arial" w:eastAsia="Arial" w:hAnsi="Arial"/>
                <w:sz w:val="18"/>
                <w:szCs w:val="18"/>
                <w:color w:val="auto"/>
              </w:rPr>
              <w:t>USERS Incorporated</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ind w:left="440"/>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consent to the incorporation by reference in Registration Statements Nos. 333-120359, 333-64353, 333-04417, 333-28121, 333-34310, 333-34396, 333-145599, 333-143191, 333-147827, 333-89957, and 333-163636 on Form S-8 and Registration Statement Nos. 333-147309, 333-104270, and 033-58709 on Form S-3 of our reports dated February 26, 2010, relating to the consolidated financial statements and consolidated financial statement schedule of Fiserv, Inc., and the effectiveness of Fiserv, Inc.’s internal control over financial reporting, appearing in this Annual Report on Form 10-K of Fiserv, Inc. for the year ended December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520" w:hanging="446"/>
        <w:spacing w:after="0" w:line="332" w:lineRule="auto"/>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180" w:val="left"/>
          <w:tab w:leader="none" w:pos="7640" w:val="left"/>
          <w:tab w:leader="none" w:pos="798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EFFERY</w:t>
      </w:r>
      <w:r>
        <w:rPr>
          <w:rFonts w:ascii="Arial" w:cs="Arial" w:eastAsia="Arial" w:hAnsi="Arial"/>
          <w:sz w:val="16"/>
          <w:szCs w:val="16"/>
          <w:color w:val="auto"/>
        </w:rPr>
        <w:t xml:space="preserve"> W. Y</w:t>
      </w:r>
      <w:r>
        <w:rPr>
          <w:rFonts w:ascii="Arial" w:cs="Arial" w:eastAsia="Arial" w:hAnsi="Arial"/>
          <w:sz w:val="13"/>
          <w:szCs w:val="13"/>
          <w:color w:val="auto"/>
        </w:rPr>
        <w:t>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Jeffery W. Yabuki</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Thomas J. Hirsch, certify that:</w:t>
      </w:r>
    </w:p>
    <w:p>
      <w:pPr>
        <w:spacing w:after="0" w:line="9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520" w:hanging="446"/>
        <w:spacing w:after="0" w:line="33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33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540" w:val="left"/>
          <w:tab w:leader="none" w:pos="7980" w:val="left"/>
          <w:tab w:leader="none" w:pos="832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H</w:t>
      </w:r>
      <w:r>
        <w:rPr>
          <w:rFonts w:ascii="Arial" w:cs="Arial" w:eastAsia="Arial" w:hAnsi="Arial"/>
          <w:sz w:val="13"/>
          <w:szCs w:val="13"/>
          <w:color w:val="auto"/>
        </w:rPr>
        <w:t>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10795</wp:posOffset>
            </wp:positionV>
            <wp:extent cx="21697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Thomas J. Hirsch</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 Treasurer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and Assistant Secretary</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connection with the Annual Report on Form 10-K of Fiserv, Inc. (the “Company”) for the year ended December 31, 2009 as filed with the Securities and Exchange Commission on the date hereof (the “Report”), Jeffery W. Yabuki, as President and Chief Executive Officer of the Company, and Thomas J. Hirsch, as Executive Vice President, Chief Financial Officer, Treasurer and Assistant Secretary of the Company, each hereby certify, pursuant to 18 U.S.C. § 1350, as adopted pursuant to § 906 of the Sarbanes-Oxley Act of 2002, that to the best of his knowledge:</w:t>
      </w:r>
    </w:p>
    <w:p>
      <w:pPr>
        <w:spacing w:after="0" w:line="32"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EFFERY</w:t>
      </w:r>
      <w:r>
        <w:rPr>
          <w:rFonts w:ascii="Arial" w:cs="Arial" w:eastAsia="Arial" w:hAnsi="Arial"/>
          <w:sz w:val="16"/>
          <w:szCs w:val="16"/>
          <w:color w:val="auto"/>
        </w:rPr>
        <w:t xml:space="preserve"> W. Y</w:t>
      </w:r>
      <w:r>
        <w:rPr>
          <w:rFonts w:ascii="Arial" w:cs="Arial" w:eastAsia="Arial" w:hAnsi="Arial"/>
          <w:sz w:val="13"/>
          <w:szCs w:val="13"/>
          <w:color w:val="auto"/>
        </w:rPr>
        <w:t>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Jeffery W. Yabuki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February 26, 2010</w:t>
      </w:r>
    </w:p>
    <w:p>
      <w:pPr>
        <w:spacing w:after="0" w:line="219"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H</w:t>
      </w:r>
      <w:r>
        <w:rPr>
          <w:rFonts w:ascii="Arial" w:cs="Arial" w:eastAsia="Arial" w:hAnsi="Arial"/>
          <w:sz w:val="13"/>
          <w:szCs w:val="13"/>
          <w:color w:val="auto"/>
        </w:rPr>
        <w:t>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J. Hirsch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 Treasurer and Assistant Secretary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February 26,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7"/>
    </w:lvl>
  </w:abstractNum>
  <w:abstractNum w:abstractNumId="11">
    <w:nsid w:val="3855585C"/>
    <w:multiLevelType w:val="hybridMultilevel"/>
    <w:lvl w:ilvl="0">
      <w:lvlJc w:val="left"/>
      <w:lvlText w:val="%1."/>
      <w:numFmt w:val="decimal"/>
      <w:start w:val="8"/>
    </w:lvl>
  </w:abstractNum>
  <w:abstractNum w:abstractNumId="12">
    <w:nsid w:val="70A64E2A"/>
    <w:multiLevelType w:val="hybridMultilevel"/>
    <w:lvl w:ilvl="0">
      <w:lvlJc w:val="left"/>
      <w:lvlText w:val="(%1)"/>
      <w:numFmt w:val="lowerLetter"/>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2"/>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3"/>
    </w:lvl>
  </w:abstractNum>
  <w:abstractNum w:abstractNumId="20">
    <w:nsid w:val="4B588F54"/>
    <w:multiLevelType w:val="hybridMultilevel"/>
    <w:lvl w:ilvl="0">
      <w:lvlJc w:val="left"/>
      <w:lvlText w:val="(%1)"/>
      <w:numFmt w:val="lowerLetter"/>
      <w:start w:val="1"/>
    </w:lvl>
    <w:lvl w:ilvl="1">
      <w:lvlJc w:val="left"/>
      <w:lvlText w:val="(%2)"/>
      <w:numFmt w:val="lowerRoman"/>
      <w:start w:val="1"/>
    </w:lvl>
  </w:abstractNum>
  <w:abstractNum w:abstractNumId="21">
    <w:nsid w:val="542289EC"/>
    <w:multiLevelType w:val="hybridMultilevel"/>
    <w:lvl w:ilvl="0">
      <w:lvlJc w:val="left"/>
      <w:lvlText w:val="(%1)"/>
      <w:numFmt w:val="lowerRoman"/>
      <w:start w:val="3"/>
    </w:lvl>
  </w:abstractNum>
  <w:abstractNum w:abstractNumId="22">
    <w:nsid w:val="6DE91B18"/>
    <w:multiLevelType w:val="hybridMultilevel"/>
    <w:lvl w:ilvl="0">
      <w:lvlJc w:val="left"/>
      <w:lvlText w:val="(%1)"/>
      <w:numFmt w:val="lowerLetter"/>
      <w:start w:val="5"/>
    </w:lvl>
  </w:abstractNum>
  <w:abstractNum w:abstractNumId="23">
    <w:nsid w:val="38437FDB"/>
    <w:multiLevelType w:val="hybridMultilevel"/>
    <w:lvl w:ilvl="0">
      <w:lvlJc w:val="left"/>
      <w:lvlText w:val="(%1)"/>
      <w:numFmt w:val="lowerLetter"/>
      <w:start w:val="6"/>
    </w:lvl>
  </w:abstractNum>
  <w:abstractNum w:abstractNumId="24">
    <w:nsid w:val="7644A45C"/>
    <w:multiLevelType w:val="hybridMultilevel"/>
    <w:lvl w:ilvl="0">
      <w:lvlJc w:val="left"/>
      <w:lvlText w:val="(%1)"/>
      <w:numFmt w:val="lowerLetter"/>
      <w:start w:val="1"/>
    </w:lvl>
    <w:lvl w:ilvl="1">
      <w:lvlJc w:val="left"/>
      <w:lvlText w:val="(%2)"/>
      <w:numFmt w:val="lowerRoman"/>
      <w:start w:val="1"/>
    </w:lvl>
  </w:abstractNum>
  <w:abstractNum w:abstractNumId="25">
    <w:nsid w:val="32FFF90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6">
    <w:nsid w:val="684A481A"/>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7">
    <w:nsid w:val="579478F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
    <w:nsid w:val="749ABB43"/>
    <w:multiLevelType w:val="hybridMultilevel"/>
    <w:lvl w:ilvl="0">
      <w:lvlJc w:val="left"/>
      <w:lvlText w:val="%1."/>
      <w:numFmt w:val="decimal"/>
      <w:start w:val="9"/>
    </w:lvl>
  </w:abstractNum>
  <w:abstractNum w:abstractNumId="29">
    <w:nsid w:val="3DC240FB"/>
    <w:multiLevelType w:val="hybridMultilevel"/>
    <w:lvl w:ilvl="0">
      <w:lvlJc w:val="left"/>
      <w:lvlText w:val="(%1)"/>
      <w:numFmt w:val="lowerLetter"/>
      <w:start w:val="1"/>
    </w:lvl>
    <w:lvl w:ilvl="1">
      <w:lvlJc w:val="left"/>
      <w:lvlText w:val="(%2)"/>
      <w:numFmt w:val="lowerRoman"/>
      <w:start w:val="1"/>
    </w:lvl>
  </w:abstractNum>
  <w:abstractNum w:abstractNumId="30">
    <w:nsid w:val="1BA026F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79A1DEAA"/>
    <w:multiLevelType w:val="hybridMultilevel"/>
    <w:lvl w:ilvl="0">
      <w:lvlJc w:val="left"/>
      <w:lvlText w:val="(%1)"/>
      <w:numFmt w:val="lowerLetter"/>
      <w:start w:val="3"/>
    </w:lvl>
    <w:lvl w:ilvl="1">
      <w:lvlJc w:val="left"/>
      <w:lvlText w:val="%2."/>
      <w:numFmt w:val="decimal"/>
      <w:start w:val="10"/>
    </w:lvl>
    <w:lvl w:ilvl="2">
      <w:lvlJc w:val="left"/>
      <w:lvlText w:val="(%3)"/>
      <w:numFmt w:val="lowerRoman"/>
      <w:start w:val="1"/>
    </w:lvl>
  </w:abstractNum>
  <w:abstractNum w:abstractNumId="32">
    <w:nsid w:val="75C6C33A"/>
    <w:multiLevelType w:val="hybridMultilevel"/>
    <w:lvl w:ilvl="0">
      <w:lvlJc w:val="left"/>
      <w:lvlText w:val="%1."/>
      <w:numFmt w:val="decimal"/>
      <w:start w:val="12"/>
    </w:lvl>
  </w:abstractNum>
  <w:abstractNum w:abstractNumId="33">
    <w:nsid w:val="12E685FB"/>
    <w:multiLevelType w:val="hybridMultilevel"/>
    <w:lvl w:ilvl="0">
      <w:lvlJc w:val="left"/>
      <w:lvlText w:val="%1."/>
      <w:numFmt w:val="decimal"/>
      <w:start w:val="17"/>
    </w:lvl>
  </w:abstractNum>
  <w:abstractNum w:abstractNumId="34">
    <w:nsid w:val="70C6A529"/>
    <w:multiLevelType w:val="hybridMultilevel"/>
    <w:lvl w:ilvl="0">
      <w:lvlJc w:val="left"/>
      <w:lvlText w:val="%1."/>
      <w:numFmt w:val="decimal"/>
      <w:start w:val="2"/>
    </w:lvl>
  </w:abstractNum>
  <w:abstractNum w:abstractNumId="35">
    <w:nsid w:val="520EEDD1"/>
    <w:multiLevelType w:val="hybridMultilevel"/>
    <w:lvl w:ilvl="0">
      <w:lvlJc w:val="left"/>
      <w:lvlText w:val="%1."/>
      <w:numFmt w:val="decimal"/>
      <w:start w:val="1"/>
    </w:lvl>
    <w:lvl w:ilvl="1">
      <w:lvlJc w:val="left"/>
      <w:lvlText w:val="(%2)"/>
      <w:numFmt w:val="lowerLetter"/>
      <w:start w:val="1"/>
    </w:lvl>
  </w:abstractNum>
  <w:abstractNum w:abstractNumId="36">
    <w:nsid w:val="374A3FE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7">
    <w:nsid w:val="4F4EF005"/>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8">
    <w:nsid w:val="23F9C1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9">
    <w:nsid w:val="649BB77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0">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41">
    <w:nsid w:val="393865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2">
    <w:nsid w:val="1CF10FD8"/>
    <w:multiLevelType w:val="hybridMultilevel"/>
    <w:lvl w:ilvl="0">
      <w:lvlJc w:val="left"/>
      <w:lvlText w:val="(%1)"/>
      <w:numFmt w:val="lowerLetter"/>
      <w:start w:val="2"/>
    </w:lvl>
    <w:lvl w:ilvl="1">
      <w:lvlJc w:val="left"/>
      <w:lvlText w:val="(%2)"/>
      <w:numFmt w:val="lowerRoman"/>
      <w:start w:val="1"/>
    </w:lvl>
  </w:abstractNum>
  <w:abstractNum w:abstractNumId="43">
    <w:nsid w:val="180115BE"/>
    <w:multiLevelType w:val="hybridMultilevel"/>
    <w:lvl w:ilvl="0">
      <w:lvlJc w:val="left"/>
      <w:lvlText w:val="(%1)"/>
      <w:numFmt w:val="lowerLetter"/>
      <w:start w:val="26"/>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4">
    <w:nsid w:val="235BA861"/>
    <w:multiLevelType w:val="hybridMultilevel"/>
    <w:lvl w:ilvl="0">
      <w:lvlJc w:val="left"/>
      <w:lvlText w:val="(%1)"/>
      <w:numFmt w:val="lowerRoman"/>
      <w:start w:val="3"/>
    </w:lvl>
  </w:abstractNum>
  <w:abstractNum w:abstractNumId="45">
    <w:nsid w:val="47398C89"/>
    <w:multiLevelType w:val="hybridMultilevel"/>
    <w:lvl w:ilvl="0">
      <w:lvlJc w:val="left"/>
      <w:lvlText w:val="(%1)"/>
      <w:numFmt w:val="lowerLetter"/>
      <w:start w:val="4"/>
    </w:lvl>
    <w:lvl w:ilvl="1">
      <w:lvlJc w:val="left"/>
      <w:lvlText w:val="-"/>
      <w:numFmt w:val="bullet"/>
      <w:start w:val="1"/>
    </w:lvl>
  </w:abstractNum>
  <w:abstractNum w:abstractNumId="46">
    <w:nsid w:val="354FE9F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7">
    <w:nsid w:val="15B5AF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8">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49">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50">
    <w:nsid w:val="10233C9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51">
    <w:nsid w:val="3F6AB60F"/>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2">
    <w:nsid w:val="61574095"/>
    <w:multiLevelType w:val="hybridMultilevel"/>
    <w:lvl w:ilvl="0">
      <w:lvlJc w:val="left"/>
      <w:lvlText w:val="(%1)"/>
      <w:numFmt w:val="lowerLetter"/>
      <w:start w:val="2"/>
    </w:lvl>
    <w:lvl w:ilvl="1">
      <w:lvlJc w:val="left"/>
      <w:lvlText w:val="-"/>
      <w:numFmt w:val="bullet"/>
      <w:start w:val="1"/>
    </w:lvl>
  </w:abstractNum>
  <w:abstractNum w:abstractNumId="53">
    <w:nsid w:val="7E0C57B1"/>
    <w:multiLevelType w:val="hybridMultilevel"/>
    <w:lvl w:ilvl="0">
      <w:lvlJc w:val="left"/>
      <w:lvlText w:val="(%1)"/>
      <w:numFmt w:val="lowerRoman"/>
      <w:start w:val="1"/>
    </w:lvl>
  </w:abstractNum>
  <w:abstractNum w:abstractNumId="54">
    <w:nsid w:val="77AE35EB"/>
    <w:multiLevelType w:val="hybridMultilevel"/>
    <w:lvl w:ilvl="0">
      <w:lvlJc w:val="left"/>
      <w:lvlText w:val="(%1)"/>
      <w:numFmt w:val="lowerLetter"/>
      <w:start w:val="4"/>
    </w:lvl>
    <w:lvl w:ilvl="1">
      <w:lvlJc w:val="left"/>
      <w:lvlText w:val="-"/>
      <w:numFmt w:val="bullet"/>
      <w:start w:val="1"/>
    </w:lvl>
  </w:abstractNum>
  <w:abstractNum w:abstractNumId="55">
    <w:nsid w:val="579BE4F1"/>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56">
    <w:nsid w:val="310C50B3"/>
    <w:multiLevelType w:val="hybridMultilevel"/>
    <w:lvl w:ilvl="0">
      <w:lvlJc w:val="left"/>
      <w:lvlText w:val="%1."/>
      <w:numFmt w:val="decimal"/>
      <w:start w:val="14"/>
    </w:lvl>
    <w:lvl w:ilvl="1">
      <w:lvlJc w:val="left"/>
      <w:lvlText w:val="(%2)"/>
      <w:numFmt w:val="lowerLetter"/>
      <w:start w:val="1"/>
    </w:lvl>
  </w:abstractNum>
  <w:abstractNum w:abstractNumId="57">
    <w:nsid w:val="5FF87E05"/>
    <w:multiLevelType w:val="hybridMultilevel"/>
    <w:lvl w:ilvl="0">
      <w:lvlJc w:val="left"/>
      <w:lvlText w:val="(%1)"/>
      <w:numFmt w:val="lowerLetter"/>
      <w:start w:val="5"/>
    </w:lvl>
    <w:lvl w:ilvl="1">
      <w:lvlJc w:val="left"/>
      <w:lvlText w:val="-"/>
      <w:numFmt w:val="bullet"/>
      <w:start w:val="1"/>
    </w:lvl>
  </w:abstractNum>
  <w:abstractNum w:abstractNumId="58">
    <w:nsid w:val="2F305DEF"/>
    <w:multiLevelType w:val="hybridMultilevel"/>
    <w:lvl w:ilvl="0">
      <w:lvlJc w:val="left"/>
      <w:lvlText w:val="(%1)"/>
      <w:numFmt w:val="lowerLetter"/>
      <w:start w:val="6"/>
    </w:lvl>
    <w:lvl w:ilvl="1">
      <w:lvlJc w:val="left"/>
      <w:lvlText w:val="-"/>
      <w:numFmt w:val="bullet"/>
      <w:start w:val="1"/>
    </w:lvl>
  </w:abstractNum>
  <w:abstractNum w:abstractNumId="59">
    <w:nsid w:val="25A70BF7"/>
    <w:multiLevelType w:val="hybridMultilevel"/>
    <w:lvl w:ilvl="0">
      <w:lvlJc w:val="left"/>
      <w:lvlText w:val="(%1)"/>
      <w:numFmt w:val="lowerLetter"/>
      <w:start w:val="1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upperLetter"/>
      <w:start w:val="2"/>
    </w:lvl>
    <w:lvl w:ilvl="1">
      <w:lvlJc w:val="left"/>
      <w:lvlText w:val="%2."/>
      <w:numFmt w:val="decimal"/>
      <w:start w:val="2"/>
    </w:lvl>
  </w:abstractNum>
  <w:abstractNum w:abstractNumId="62">
    <w:nsid w:val="1F48EAA1"/>
    <w:multiLevelType w:val="hybridMultilevel"/>
    <w:lvl w:ilvl="0">
      <w:lvlJc w:val="left"/>
      <w:lvlText w:val="%1"/>
      <w:numFmt w:val="lowerLetter"/>
      <w:start w:val="1"/>
    </w:lvl>
    <w:lvl w:ilvl="1">
      <w:lvlJc w:val="left"/>
      <w:lvlText w:val="%2."/>
      <w:numFmt w:val="decimal"/>
      <w:start w:val="4"/>
    </w:lvl>
  </w:abstractNum>
  <w:abstractNum w:abstractNumId="63">
    <w:nsid w:val="1381823A"/>
    <w:multiLevelType w:val="hybridMultilevel"/>
    <w:lvl w:ilvl="0">
      <w:lvlJc w:val="left"/>
      <w:lvlText w:val="(%1)"/>
      <w:numFmt w:val="lowerLetter"/>
      <w:start w:val="3"/>
    </w:lvl>
    <w:lvl w:ilvl="1">
      <w:lvlJc w:val="left"/>
      <w:lvlText w:val="%2."/>
      <w:numFmt w:val="decimal"/>
      <w:start w:val="5"/>
    </w:lvl>
  </w:abstractNum>
  <w:abstractNum w:abstractNumId="64">
    <w:nsid w:val="5DB70AE5"/>
    <w:multiLevelType w:val="hybridMultilevel"/>
    <w:lvl w:ilvl="0">
      <w:lvlJc w:val="left"/>
      <w:lvlText w:val="%1."/>
      <w:numFmt w:val="decimal"/>
      <w:start w:val="1"/>
    </w:lvl>
    <w:lvl w:ilvl="1">
      <w:lvlJc w:val="left"/>
      <w:lvlText w:val="(%2)"/>
      <w:numFmt w:val="lowerLetter"/>
      <w:start w:val="2"/>
    </w:lvl>
  </w:abstractNum>
  <w:abstractNum w:abstractNumId="65">
    <w:nsid w:val="100F8FCA"/>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66">
    <w:nsid w:val="6590700B"/>
    <w:multiLevelType w:val="hybridMultilevel"/>
    <w:lvl w:ilvl="0">
      <w:lvlJc w:val="left"/>
      <w:lvlText w:val="%1."/>
      <w:numFmt w:val="decimal"/>
      <w:start w:val="3"/>
    </w:lvl>
    <w:lvl w:ilvl="1">
      <w:lvlJc w:val="left"/>
      <w:lvlText w:val="(%2)"/>
      <w:numFmt w:val="lowerLetter"/>
      <w:start w:val="4"/>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2019-12-10T06:46:26Z</dcterms:created>
  <dcterms:modified xsi:type="dcterms:W3CDTF">2019-12-10T06:46:26Z</dcterms:modified>
</cp:coreProperties>
</file>