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36" w:lineRule="exact"/>
        <w:rPr>
          <w:sz w:val="24"/>
          <w:szCs w:val="24"/>
          <w:color w:val="auto"/>
        </w:rPr>
      </w:pPr>
    </w:p>
    <w:p>
      <w:pPr>
        <w:ind w:right="1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304165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329565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7"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18, 2024, there were 568,918,735 shares of common stock, $0.01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20" w:type="dxa"/>
            <w:vAlign w:val="bottom"/>
            <w:tcBorders>
              <w:top w:val="single" w:sz="8" w:color="0000FF"/>
            </w:tcBorders>
          </w:tcPr>
          <w:p>
            <w:pPr>
              <w:spacing w:after="0"/>
              <w:rPr>
                <w:sz w:val="24"/>
                <w:szCs w:val="24"/>
                <w:color w:val="auto"/>
              </w:rPr>
            </w:pPr>
          </w:p>
        </w:tc>
        <w:tc>
          <w:tcPr>
            <w:tcW w:w="76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10"/>
          </w:tcPr>
          <w:p>
            <w:pPr>
              <w:spacing w:after="0"/>
              <w:rPr>
                <w:sz w:val="18"/>
                <w:szCs w:val="18"/>
                <w:color w:val="auto"/>
              </w:rPr>
            </w:pPr>
          </w:p>
        </w:tc>
        <w:tc>
          <w:tcPr>
            <w:tcW w:w="502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2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4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15,205</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gain on sale of businesses and other assets</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10,994</w:t>
            </w:r>
          </w:p>
        </w:tc>
        <w:tc>
          <w:tcPr>
            <w:tcW w:w="8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 from investments in unconsolidated affiliates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162"/>
        </w:trPr>
        <w:tc>
          <w:tcPr>
            <w:tcW w:w="5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31"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$35 million and $45 million for the three months ended September 30, 2024 and 2023, respectively, and $111 million and $136 million for the nine months ended September 30, 2024 and 2023, respectively (see Note 19).</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26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4"/>
        </w:trPr>
        <w:tc>
          <w:tcPr>
            <w:tcW w:w="5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(gains) losses on cash flow</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cost of processing and services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net interest expense</w:t>
            </w: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gain on defined benefit pension plans (see Note 1)</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defined benefit pension plans</w:t>
            </w:r>
          </w:p>
        </w:tc>
        <w:tc>
          <w:tcPr>
            <w:tcW w:w="8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5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accumulated foreign currency translation</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impacts from the sale of foreign entities included in net gain on sale of</w:t>
            </w:r>
          </w:p>
        </w:tc>
        <w:tc>
          <w:tcPr>
            <w:tcW w:w="84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businesses and other assets</w:t>
            </w:r>
          </w:p>
        </w:tc>
        <w:tc>
          <w:tcPr>
            <w:tcW w:w="8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impacts of foreign currency translation</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184"/>
        </w:trPr>
        <w:tc>
          <w:tcPr>
            <w:tcW w:w="55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interests</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2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27,681</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34,811</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7,075</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37,205</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costs,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90,890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2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27,681</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33,552</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22,363</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21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60,221</w:t>
            </w:r>
          </w:p>
        </w:tc>
      </w:tr>
      <w:tr>
        <w:trPr>
          <w:trHeight w:val="19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18)</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23,103</w:t>
            </w:r>
          </w:p>
        </w:tc>
      </w:tr>
      <w:tr>
        <w:trPr>
          <w:trHeight w:val="213"/>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20,444</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at cost, 214 million and 190 million shares, respectively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(12,915)</w:t>
            </w:r>
          </w:p>
        </w:tc>
      </w:tr>
      <w:tr>
        <w:trPr>
          <w:trHeight w:val="212"/>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29,857</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30,508</w:t>
            </w:r>
          </w:p>
        </w:tc>
      </w:tr>
      <w:tr>
        <w:trPr>
          <w:trHeight w:val="207"/>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90,890</w:t>
            </w:r>
          </w:p>
        </w:tc>
      </w:tr>
      <w:tr>
        <w:trPr>
          <w:trHeight w:val="23"/>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8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sale of businesses and other assets</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 and dispositions: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 of businesses and other assets</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cash advances, net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 from (repayments of) commercial paper and short-term borrowings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financing costs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to acquire noncontrolling interest of consolidated subsidiary</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w:t>
            </w: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and nine months ended September 30, 2024 and 2023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Realignment</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in the first quarter of 2024, the Company realigned its reportable segments to correspond with changes in its business designed to further enhance operational performance in the delivery of its integrated portfolio of products and solutions to its financial institution clients (the “Segment Realignment”). The Company’s new reportable segments are the Merchant Solutions (“Merchant”) segment and the Financial Solutions (“Financial”) segment. Segment results for the three and nine months ended September 30, 2023 have been recast to reflect the Segment Realignment. See Note 20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are restricted from use due to regulatory or other requirements are included in other long-term assets in the consolidated balance sheets.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7"/>
                <w:szCs w:val="17"/>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91"/>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311"/>
        </w:trPr>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20" w:type="dxa"/>
            <w:vAlign w:val="bottom"/>
          </w:tcPr>
          <w:p>
            <w:pPr>
              <w:spacing w:after="0"/>
              <w:rPr>
                <w:sz w:val="17"/>
                <w:szCs w:val="17"/>
                <w:color w:val="auto"/>
              </w:rPr>
            </w:pPr>
          </w:p>
        </w:tc>
        <w:tc>
          <w:tcPr>
            <w:tcW w:w="51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$72 million and $86 million at September 30, 2024 and December 31, 2023,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Capital cash advances,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advance cash payments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64"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15).</w:t>
      </w:r>
    </w:p>
    <w:p>
      <w:pPr>
        <w:spacing w:after="0" w:line="13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offers merchants advance access to capital through its Clover Capital program. Under this program, merchants sell fixed amounts of their future credit card receivables to the Company in exchange for an up-front purchase price payment. Future credit card receivables purchased by the Company under the Clover Capital program were $326 million and $281 million at September 30, 2024 and December 31, 2023, respectively. The Company maintained a reserve of $13 million and $12 million at September 30, 2024 and December 31, 2023, respectively, based on an estimate of uncollectible amounts.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by providing them the opportunity to receive settlement cash payments in advance in exchange for their receivables from card issuers, including when the cardholders have elected to pay over time in installments. The Company maintains various short-term lines of credit with foreign banks and alliance partners to fund such anticipated settlement activity (see Note 10). These local currency denominated arrangements are primarily associated with the Company’s operations in Latin America, the most significant of which are denominated in Argentine Peso and Brazilian Real. The changes in the Clover Capital and settlement advance cash programs are included in merchant cash advances, net within cash flows from investing activities in the consolidated statements of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$24 million and $25 million for the three months ended September 30, 2024 and 2023, respectively, and $77 million and $62 million for the nine months ended September 30, 2024 and 2023, respectively.</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amount of merchant collateral available to the Company was $666 million and $690 million at September 30, 2024 and December 31, 2023, respectively. The allowance includes estimated losses from anticipated chargebacks and fraud events that have been incurred on merchants’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$38 million and $36 million at September 30, 2024 and December 31, 2023,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The Company’s most recent annual impairment assessment of its reporting units in the fourth quarter of 2023 determined that its goodwill was not impaired as the estimated fair values exceeded the carrying values.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could have a future material impact on one or more of the estimates and assumptions used to evaluate goodwill impairment. Additionally, a significant change in a merchant alliance business relationship or operating performance could result in a material goodwill impairment charge.</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Segment Realignment, the Company performed an interim goodwill impairment assessment in the first quarter of 2024 for the impacted reporting units, and determined that its goodwill was not impaired based on an assessment of various qualitative factors. Examples of qualitative factors that the Company assesses include its share price, its financial performance, market and competitive factors in its industry and other events specific to its reporting units. There is no accumulated goodwill impairment for the Company through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differs from the U.S. dollar, assets and liabilities are translated into U.S. dollars at the exchange rates 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losses of $22 million and $38 million for the three months ended September 30, 2024 and 2023, respectively, and $75 million and $88 million for the nine months ended September 30, 2024 and 2023, respectively, which is included within other expense, net in the consolidated statements of income.</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7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 maintains frozen noncontributory defined benefit pension plans covering certain employees in Europe and the U.S. Effective September 30, 2023, the Company terminated its United Kingdom (“U.K.”) and U.S. defined benefit pension plans. In March 2024, the Company entered into a group annuity insurance contract to provide for the administration of future payments to eligible plan participants of the terminated U.K. plan. In connection with the buy-in of this insurance policy, the plan’s projected benefit obligation was remeasured to the value of the group annuity insurance contract, resulting in an unrecognized loss, net of tax, of approximately $63 million recorded in accumulated other comprehensive loss within the consolidated balance sheet.</w:t>
      </w:r>
    </w:p>
    <w:p>
      <w:pPr>
        <w:spacing w:after="0" w:line="11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Upon the settlement of the terminated plans, which is expected to be completed in the fourth quarter of 2024, the Company will fund an estimated plan termination liability shortfall for the U.S. defined benefit pension plans of $20 million and expects to recognize a net non-cash pre-tax pension settlement charge for the terminated U.S. and U.K. plans of approximately $140 million, which also includes the recognition of remaining net actuarial unrecognized losses recorded within accumulated other comprehensive loss. The amount of accrued vested benefits to be received by participants will not be impacted.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8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310"/>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2022, the Financial Accounting Standards Board (“FASB”) issued Accounting Standards Update (“ASU”) No. 2022-03, </w:t>
      </w:r>
      <w:r>
        <w:rPr>
          <w:rFonts w:ascii="Times New Roman" w:cs="Times New Roman" w:eastAsia="Times New Roman" w:hAnsi="Times New Roman"/>
          <w:sz w:val="18"/>
          <w:szCs w:val="18"/>
          <w:i w:val="1"/>
          <w:iCs w:val="1"/>
          <w:color w:val="auto"/>
        </w:rPr>
        <w:t>Fair Value Measurement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 of Equity Securities Subject to Contractual Sale Restrictions </w:t>
      </w:r>
      <w:r>
        <w:rPr>
          <w:rFonts w:ascii="Times New Roman" w:cs="Times New Roman" w:eastAsia="Times New Roman" w:hAnsi="Times New Roman"/>
          <w:sz w:val="18"/>
          <w:szCs w:val="18"/>
          <w:color w:val="auto"/>
        </w:rPr>
        <w:t>(“ASU 2022-03”), which clarifies the guidance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adopted ASU 2022-03 effective January 1, 2024, and the adoption did not have a material impact on the Company’s consolidated financial statements or disclosures for the nine months ended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(“ASU 2023-07”), which enhances and expands the current annual and interim requirements on segment information disclosures. Under the new disclosure requirements, entities will be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 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are effective for fiscal years beginning after December 15, 2023, and for interim periods of fiscal years beginning after December 15, 2024. The Company is currently assessing its annual financial statement segment information disclosures in connection with the adoption of ASU 2023-07, effective for the year ending December 31, 2024.</w:t>
      </w:r>
    </w:p>
    <w:p>
      <w:pPr>
        <w:spacing w:after="0" w:line="13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In 2023, the FASB issued ASU No. 2023-09</w:t>
      </w:r>
      <w:r>
        <w:rPr>
          <w:rFonts w:ascii="Times New Roman" w:cs="Times New Roman" w:eastAsia="Times New Roman" w:hAnsi="Times New Roman"/>
          <w:sz w:val="17"/>
          <w:szCs w:val="17"/>
          <w:i w:val="1"/>
          <w:iCs w:val="1"/>
          <w:color w:val="auto"/>
        </w:rPr>
        <w:t>, Income Taxes (Topic 740) - Improvement to Income Tax Disclosures</w:t>
      </w:r>
      <w:r>
        <w:rPr>
          <w:rFonts w:ascii="Times New Roman" w:cs="Times New Roman" w:eastAsia="Times New Roman" w:hAnsi="Times New Roman"/>
          <w:sz w:val="17"/>
          <w:szCs w:val="17"/>
          <w:color w:val="auto"/>
        </w:rPr>
        <w:t xml:space="preserve"> (“ASU 2023-09”</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 December 15, 2025. The Company is currently assessing the impact the adoption of ASU 2023-09 will have on its consolidated financial statement disclosures.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operations are comprised of the Merchant and the Financial reportable segments. Additional information regarding the Company’s business segments is included in Note 20. The table below presents the Company’s revenue disaggregated by business line, including a reconciliation with its reportable segments. The Company’s disaggregation of revenue for the three and nine months ended September 30, 2023 has been recast to reflect the Segment Realignment. The Company serves its global client base by working among its geographic teams across various regions, including the U.S. and Canada; Europe, Middle East and Africa (“EMEA”); Latin America (“LATAM”); and Asia Pacific (“APAC”). The majority of the Company’s revenue is earned domestically, with revenue generated within its EMEA, LATAM and APAC regions comprising approximately 15% of total revenue for each of the three months ended September 30, 2024 and 2023, and 15% and 14% of total revenue for the nine months ended September 30, 2024 and 2023,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4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17"/>
                <w:szCs w:val="17"/>
                <w:color w:val="auto"/>
              </w:rPr>
            </w:pPr>
          </w:p>
        </w:tc>
        <w:tc>
          <w:tcPr>
            <w:tcW w:w="31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Enterprise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Merchant segment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Issuing</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Financial segment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18"/>
                <w:szCs w:val="18"/>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bl>
    <w:p>
      <w:pPr>
        <w:spacing w:after="0" w:line="2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$659 million of revenue during the nine months ended September 30, 2024 that was included in the contract liabilities balance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September 30,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bl>
    <w:p>
      <w:pPr>
        <w:spacing w:after="0" w:line="2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the optional exemption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October 9, 2023, the Company acquired Skytef Solucões em Captura de Transações Ltda (“Skytef”), a distributor for independent software vendor partners and merchants of the Company’s Electronic Funds Transfer payments software. Skytef is included within the Merchant segment and expands the Company’s distribution network and point-of-sale applications. On November 1, 2023, the Company acquired Sled S.A. (“Sled”), a provider of instant payment solutions. Sled is included within the Merchant segment and expands the Company’s direct payment service capabilities. The Company acquired these businesses in Latin America for an aggregate purchase price, including hold-backs, of $17 million. The purchase price allocations for the Skytef and Sled acquisitions were finalized in the first quarter of 2024, and measurement period adjustments did not have a material impact on the Company’s consolidated statement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25, 2023, the Company sold its financial reconciliation business, which was reported within the Financial segment, for cash proceeds of</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$232 million. The Company recognized a pre-tax gain of $177 million on the sale, recorded within net gain on sale of businesses and other assets, with a related tax expense of $49 million recorded within the income tax provision, in the consolidated statement of income during the three months ended September 30, 2023. The pre-tax gain was comprised of the difference between the consideration received and the net carrying amount of the business, including $38 million of allocated goodwill and $13 million of other net assets, primarily consisting of trade accounts receivable and capitalized software.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$566 million and $579 million for the three months ended September 30, 2024 and 2023, respectively, and $1.7 billion and $1.8 billion for the nine months ended September 30,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significant changes in business relationships with merchant alliances. A decline in value of an equity method investment determined to be other-than-temporary is recorded as a current-period impairment charge within loss from investments in unconsolidated affiliates in the consolidated statements of income. The estimated fair values of the Company’s investments in unconsolidated merchant alliances assume a continuation beyond the existing contractual term. A renewal of certain of the merchant alliance agreements beyond the current contractual term is not solely within the Company’s control.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 (see Note 19).</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maintains a 40% ownership interest in the Wells Fargo Merchant Services merchant alliance (“WFMS”), which is accounted for as an equity method investment. The Company acquired its ownership, at fair value, in WFMS through its 2019 acquisition of First Data Corporation. In the third quarter of 2024, Wells Fargo Bank, National Association (“Wells Fargo”) provided the Company a notice of non-renewal for WFMS. Upon expiration of the merchant alliance, effective April 1, 2025, the Company expects to receive a cash payment or assets equal to the fair value of its share of WFMS, as determined in accordance with an agreed upon contractual valuation and separation process.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recorded a $570 million non-cash impairment as a result of an other-than-temporary decline in the carrying value of its equity method investment in WFMS within loss from investments in unconsolidated affiliates and the related tax benefit within the income tax provision in the consolidated statement of income in the third quarter of 2024. The impairment was based on the Company’s estimate of the fair value of its portion of WFMS, and is subject to further adjustments upon completion of the valuation process agreed to by the Company and Wells Fargo and additional information received throughout the final valuation process. The Company’s estimated fair value of WFMS was determined using an income valuation approach, which required estimates of the discount and tax rates; future expected net cash flows, including customer growth and attrition rates, and indirect expenses of WFMS; and other future events that are judgmental in nature, reflecting the risks inherent in future cash flows. The fair value measurements were primarily based on significant inputs that were not observable in the market and thus represented a Level 3 measurement of the fair value hierarchy as defined in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investment in its merchant alliances was $1.3 billion and $1.9 billion at September 30, 2024 and December 31, 2023, respectively, and is reported within investments in unconsolidated affiliates in the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$137 million and $156 million at September 30, 2024 and December 31, 2023,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net gains from sales of equity securities were $2 million and $29 million during the three and nine months ended September 30, 2024, respectively, and were not significant during the three and nine months ended September 30,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Instruments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$451 million and $443 million at September 30, 2024 and December 31, 2023, respectively. Based on the amounts recorded in accumulated other comprehensive loss at September 30, 2024, the Company estimates that it will recognize gains of approximately $1 million in cost of processing and services during the next twelve months as foreign exchange forward contracts settle.</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The unamortized balance recorded in accumulated other comprehensive loss related to the Treasury Locks was $105 million and $116 million at September 30, 2024 and December 31, 2023, respectively. Based on the amounts recorded in accumulated other comprehensive loss at September 30, 2024, the Company estimates that it will recognize approximately $13 million in net interest expense during the next twelve months related to settled interest rate hedge contracts.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gridSpan w:val="3"/>
          </w:tcPr>
          <w:p>
            <w:pPr>
              <w:jc w:val="right"/>
              <w:ind w:right="8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30"/>
              <w:spacing w:after="0" w:line="185" w:lineRule="exact"/>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(33)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(17)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$56 million and $(42) million during the three months ended September 30, 2024 and 2023, respectively, and $17 million and $(2) million during the nine months ended September 30, 2024 and 2023, respectively, in other comprehensive income (loss) from the translation of foreign currency-denominated senior notes, Euro commercial paper notes and cross-currency rate swap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maintains fixed-to-fixed cross-currency rate swap contracts, designated as fair value hedges, to mitigate the spot foreign exchange rate risk on the principal amount of its British Pound-denominated 2.250% senior notes due in July 2025, as well as on the principal amount of a Euro-denominated intercompany note.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Pounds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changes in the fair value of the cross-currency rate swaps ($33 million for both the three and nine months ended September 30, 2024), along with the offsetting changes in the fair value of the hedged notes, attributable to fluctuations in the respective foreign currency spot rates are recognized in other expense, net within the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foreign currency spot rates and forwards quoted by banks and foreign currency dealers and are marked to market each period. Contingent consideration related to certain of the Company’s acquisitions is estimated using the present value of a probability-weighted assessment approach based on the likelihood of achieving the earn-out criteria. The Company’s obligation to purchase a redeemable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noncontrolling interest in one of its existing merchant alliance joint ventures (see Note 11) is measured at the estimated fair value of the minority interest. This obligation will be settled at a future date through the distribution of certain merchant contracts to the minority partner.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208"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Fair Value</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320" w:type="dxa"/>
            <w:vAlign w:val="bottom"/>
          </w:tcPr>
          <w:p>
            <w:pPr>
              <w:spacing w:after="0"/>
              <w:rPr>
                <w:sz w:val="17"/>
                <w:szCs w:val="17"/>
                <w:color w:val="auto"/>
              </w:rPr>
            </w:pPr>
          </w:p>
        </w:tc>
        <w:tc>
          <w:tcPr>
            <w:tcW w:w="35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exchange contracts designated as</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6"/>
                <w:szCs w:val="16"/>
                <w:color w:val="auto"/>
              </w:rPr>
              <w:t>cash flow hedges</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Cross-currency rate swap contract</w:t>
            </w: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designated as fair value hedge</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Cross-currency rate swap contract</w:t>
            </w: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designated as fair value hedge</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designated as fair value hedges</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designated as fair value hedges</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Obligation to purchase redeemable</w:t>
            </w: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473"/>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-3007995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7132320"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2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53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616" w:lineRule="exact"/>
        <w:rPr>
          <w:sz w:val="20"/>
          <w:szCs w:val="20"/>
          <w:color w:val="auto"/>
        </w:rPr>
      </w:pPr>
    </w:p>
    <w:p>
      <w:pPr>
        <w:sectPr>
          <w:pgSz w:w="11900" w:h="16838" w:orient="portrait"/>
          <w:cols w:equalWidth="0" w:num="2">
            <w:col w:w="6780" w:space="80"/>
            <w:col w:w="4380"/>
          </w:cols>
          <w:pgMar w:left="320" w:top="121" w:right="33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$24.1 billion and $21.6 billion at September 30, 2024 and December 31, 2023, respectively, and the carrying value was $24.3 billion and $22.2 billion at September 30, 2024 and December 31,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and defi SOLUTIONS Group, LLC (collectively the “Lending Joint Ventures”), which are accounted for under the equity method. The Lending Joint Ventures maintain variable-rate term loan facilities with aggregate outstanding borrowings of $426 million in senior unsecured debt at September 30, 2024 and variable-rate revolving credit facilities with an aggregate borrowing capacity of $83 million with a syndicate of banks, which mature in April 2027. There were $20 million of aggregate outstanding borrowings on the revolving credit facilities at September 30, 2024. The Company has guaranteed the debt of the Lending Joint Ventures.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which are reported within other long-term liabilities in the consolidated balance sheets. The Company has provided aggregate guarantees of $509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$24 million and $31 million approximates the fair value at September 30, 2024 and December 31, 2023,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$4 million and $2 million during the three months ended September 30, 2024 and 2023, respectively, and $13 million and $7 million during the nine months ended September 30, 2024 and 2023, respectively, within other expense,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 (see Note 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Other Current Liabilities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Transferable federal tax credits (see Note 15)</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 to purchase redeemable noncontrolling interest (see Note 11)</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nine months ended September 30,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August 12, 2024, the Company completed the public offering and issuance of $1.75 billion of senior notes, comprised of $850 million aggregate principal amount of 4.750% senior notes due in March 2030 and $900 million aggregate principal amount of 5.150% senior notes due in August 2034. Interest on these senior notes is paid semi-annually. The Company used the net proceeds from this senior notes offering for general corporate purposes, including the repayment of a portion of the Company’s commercial paper notes and for share repurchases.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March 4,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2034. Interest on these senior notes is paid semi-annually. The Company used the net proceeds from this senior notes offering for general corporate purposes, including the repayment of a portion of the Company’s commercial paper notes and for share repurchases, and in July 2024, the repayment of a portion of its 2.750% senior notes.</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September 30, 2024, the 3.850% senior notes due in June 2025 and 2.250% senior notes due in July 2025 were classified in the consolidated balance sheet as long-term, as the Company has the intent to refinance this debt on a long-term basis, and the ability to do so under its revolving credit facility.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indentures governing these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these senior notes, in whole or in part, at any time and from time to time at the applicable redemption price.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$317 million and $418 million at September 30, 2024 and December 31, 2023, respectively, with weighted average interest rates of 4.933% and 5.454%, respectively. Outstanding borrowings under the Euro program were $1.3 billion at both September 30, 2024 and December 31, 2023, with weighted average interest rates of 3.629% and 4.029%,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the Company’s long-term debt rating. Outstanding borrowings under the revolving credit facility were $70 million and $74 million at September 30, 2024 and December 31, 2023, respectively, with corresponding interest rates of 5.970% and</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6.450%, respectively.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merchant settlement advances associated with operations in Latin America, including an annually renewable term loan facility to fund settlement advance cash payments in Brazil. This term loan has a notional value of 514 million Brazilian real ($95 million USD equivalent) at September 30, 2024 and bears interest at a variable Certificado de Depósito Interbancário (CDI) Rate, plus a specified margin per annum. In February 2024, this term loan facility was amended, which amendment extended its maturity date to April 2025 and decreased the specified margin to 1.25% per annum.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outstanding borrowings and weighted average interest rates of the Company’s foreign lines of credit and other borrowing arrangements by country: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80" w:type="dxa"/>
            <w:vAlign w:val="bottom"/>
          </w:tcPr>
          <w:p>
            <w:pPr>
              <w:spacing w:after="0"/>
              <w:rPr>
                <w:sz w:val="20"/>
                <w:szCs w:val="20"/>
                <w:color w:val="auto"/>
              </w:rPr>
            </w:pPr>
          </w:p>
        </w:tc>
        <w:tc>
          <w:tcPr>
            <w:tcW w:w="46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19"/>
                <w:szCs w:val="19"/>
                <w:color w:val="auto"/>
              </w:rPr>
            </w:pP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121.581 %</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11.663 %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13.500 %</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11.125 %</w:t>
            </w:r>
          </w:p>
        </w:tc>
      </w:tr>
      <w:tr>
        <w:trPr>
          <w:trHeight w:val="23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5.061 %</w:t>
            </w:r>
          </w:p>
        </w:tc>
        <w:tc>
          <w:tcPr>
            <w:tcW w:w="1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4.912 %</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34.503 %</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63.060 %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Noncontrolling Interest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minority partner in one of the Company’s existing merchant alliance joint ventures maintained a redeemable 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is not solely within the Company’s control.</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redeemable noncontrolling interest was adjusted to reflect the estimated redemption value, with a corresponding adjustment recorded to additional paid-in capital (see Notes 8 and 12). Additionally, as the redeemable noncontrolling interest is now mandatorily redeemable, the Company’s obligation to satisfy the purchase of the interest has been reclassified as a current liability in the accompanying consolidated balance sheet (see Note 9). The Company maintains an ongoing relationship with the former minority partner to provide processing and other support services following the termination of the joint venture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 activity during the nine months ended September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8"/>
                <w:szCs w:val="18"/>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estimated redemption value of redeemable noncontrolling interest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to current liability</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and nine months ended September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0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20" w:type="dxa"/>
            <w:vAlign w:val="bottom"/>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28,778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28,403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gridSpan w:val="5"/>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7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48"/>
              <w:spacing w:after="0" w:line="14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2023</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Acquisition of noncontrolling interest</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xml:space="preserve">of consolidated subsidiary </w:t>
            </w:r>
            <w:r>
              <w:rPr>
                <w:rFonts w:ascii="Times New Roman" w:cs="Times New Roman" w:eastAsia="Times New Roman" w:hAnsi="Times New Roman"/>
                <w:sz w:val="9"/>
                <w:szCs w:val="9"/>
                <w:color w:val="auto"/>
              </w:rPr>
              <w:t>(3)</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60" w:hanging="328"/>
        <w:spacing w:after="0" w:line="232"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September 30, 2023 is different than the amount presented in the consolidated statement of income due to the net income attributable to redeemable noncontrolling interest of $6 million not included in equity.</w:t>
      </w:r>
    </w:p>
    <w:p>
      <w:pPr>
        <w:spacing w:after="0" w:line="142" w:lineRule="exact"/>
        <w:rPr>
          <w:rFonts w:ascii="Times New Roman" w:cs="Times New Roman" w:eastAsia="Times New Roman" w:hAnsi="Times New Roman"/>
          <w:sz w:val="21"/>
          <w:szCs w:val="21"/>
          <w:color w:val="auto"/>
          <w:vertAlign w:val="superscript"/>
        </w:rPr>
      </w:pPr>
    </w:p>
    <w:p>
      <w:pPr>
        <w:ind w:left="660" w:right="160" w:hanging="328"/>
        <w:spacing w:after="0" w:line="225"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September 30, 2023 excludes $6 million in distributions paid to redeemable noncontrolling interest not included in equity.</w:t>
      </w:r>
    </w:p>
    <w:p>
      <w:pPr>
        <w:spacing w:after="0" w:line="154" w:lineRule="exact"/>
        <w:rPr>
          <w:rFonts w:ascii="Times New Roman" w:cs="Times New Roman" w:eastAsia="Times New Roman" w:hAnsi="Times New Roman"/>
          <w:sz w:val="21"/>
          <w:szCs w:val="21"/>
          <w:color w:val="auto"/>
          <w:vertAlign w:val="superscript"/>
        </w:rPr>
      </w:pPr>
    </w:p>
    <w:p>
      <w:pPr>
        <w:ind w:left="660" w:right="20" w:hanging="328"/>
        <w:spacing w:after="0" w:line="225"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49% ownership interest in European Merchant Services B.V., a Netherlands-based merchant acceptance business, during the three months ended September 30, 2023. The Company previously held a majority controlling financial interest in this consolidated subsidiary.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60" w:right="460"/>
        <w:spacing w:after="0" w:line="283" w:lineRule="auto"/>
        <w:rPr>
          <w:sz w:val="20"/>
          <w:szCs w:val="20"/>
          <w:color w:val="auto"/>
        </w:rPr>
      </w:pPr>
      <w:r>
        <w:rPr>
          <w:rFonts w:ascii="Times New Roman" w:cs="Times New Roman" w:eastAsia="Times New Roman" w:hAnsi="Times New Roman"/>
          <w:sz w:val="14"/>
          <w:szCs w:val="14"/>
          <w:color w:val="auto"/>
        </w:rPr>
        <w:t xml:space="preserve">Balance at December 31, 2023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220" w:right="16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60"/>
        <w:spacing w:after="0" w:line="221" w:lineRule="auto"/>
        <w:rPr>
          <w:sz w:val="20"/>
          <w:szCs w:val="20"/>
          <w:color w:val="auto"/>
        </w:rPr>
      </w:pPr>
      <w:r>
        <w:rPr>
          <w:rFonts w:ascii="Times New Roman" w:cs="Times New Roman" w:eastAsia="Times New Roman" w:hAnsi="Times New Roman"/>
          <w:sz w:val="14"/>
          <w:szCs w:val="14"/>
          <w:color w:val="auto"/>
        </w:rPr>
        <w:t>Change in estimated redemption value</w:t>
      </w:r>
    </w:p>
    <w:p>
      <w:pPr>
        <w:ind w:left="220" w:right="360"/>
        <w:spacing w:after="0" w:line="229" w:lineRule="auto"/>
        <w:rPr>
          <w:sz w:val="20"/>
          <w:szCs w:val="20"/>
          <w:color w:val="auto"/>
        </w:rPr>
      </w:pPr>
      <w:r>
        <w:rPr>
          <w:rFonts w:ascii="Times New Roman" w:cs="Times New Roman" w:eastAsia="Times New Roman" w:hAnsi="Times New Roman"/>
          <w:sz w:val="14"/>
          <w:szCs w:val="14"/>
          <w:color w:val="auto"/>
        </w:rPr>
        <w:t>of redeemable noncontrolling interest (see Note 11)</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Other comprehensive (loss) income</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Balance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2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30,508</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51"/>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23,003</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28,403</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-1473835</wp:posOffset>
            </wp:positionV>
            <wp:extent cx="708914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-1207770</wp:posOffset>
            </wp:positionV>
            <wp:extent cx="708914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21463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-685165</wp:posOffset>
            </wp:positionV>
            <wp:extent cx="708914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-427990</wp:posOffset>
            </wp:positionV>
            <wp:extent cx="708914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-170815</wp:posOffset>
            </wp:positionV>
            <wp:extent cx="708914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80"/>
            <w:col w:w="8860"/>
          </w:cols>
          <w:pgMar w:left="320" w:top="121" w:right="359" w:bottom="1440" w:gutter="0" w:footer="0" w:header="0"/>
          <w:type w:val="continuous"/>
        </w:sectPr>
      </w:pPr>
    </w:p>
    <w:p>
      <w:pPr>
        <w:spacing w:after="0" w:line="43" w:lineRule="exact"/>
        <w:rPr>
          <w:sz w:val="20"/>
          <w:szCs w:val="20"/>
          <w:color w:val="auto"/>
        </w:rPr>
      </w:pPr>
    </w:p>
    <w:p>
      <w:pPr>
        <w:ind w:left="660" w:right="300" w:hanging="328"/>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nine months ended September 30, 2024 is different than the amount presented in the consolidated statement of income due to the net income attributable to redeemable noncontrolling interest of $13 million not included in equity.</w:t>
      </w:r>
    </w:p>
    <w:p>
      <w:pPr>
        <w:spacing w:after="0" w:line="141" w:lineRule="exact"/>
        <w:rPr>
          <w:rFonts w:ascii="Times New Roman" w:cs="Times New Roman" w:eastAsia="Times New Roman" w:hAnsi="Times New Roman"/>
          <w:sz w:val="21"/>
          <w:szCs w:val="21"/>
          <w:color w:val="auto"/>
          <w:vertAlign w:val="superscript"/>
        </w:rPr>
      </w:pPr>
    </w:p>
    <w:p>
      <w:pPr>
        <w:ind w:left="660" w:right="120" w:hanging="328"/>
        <w:spacing w:after="0" w:line="232"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nine months ended September 30, 2024 excludes $13 million in distributions paid to redeemable noncontrolling interest not included in equity.</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December 31, 2022</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240" w:right="100" w:hanging="161"/>
        <w:spacing w:after="0" w:line="23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240" w:hanging="161"/>
        <w:spacing w:after="0" w:line="220" w:lineRule="auto"/>
        <w:rPr>
          <w:sz w:val="20"/>
          <w:szCs w:val="20"/>
          <w:color w:val="auto"/>
        </w:rPr>
      </w:pPr>
      <w:r>
        <w:rPr>
          <w:rFonts w:ascii="Times New Roman" w:cs="Times New Roman" w:eastAsia="Times New Roman" w:hAnsi="Times New Roman"/>
          <w:sz w:val="14"/>
          <w:szCs w:val="14"/>
          <w:color w:val="auto"/>
        </w:rPr>
        <w:t xml:space="preserve">Acquisition of noncontrolling interest of consolidated subsidiary </w:t>
      </w:r>
      <w:r>
        <w:rPr>
          <w:rFonts w:ascii="Times New Roman" w:cs="Times New Roman" w:eastAsia="Times New Roman" w:hAnsi="Times New Roman"/>
          <w:sz w:val="18"/>
          <w:szCs w:val="18"/>
          <w:color w:val="auto"/>
          <w:vertAlign w:val="superscript"/>
        </w:rPr>
        <w:t>(3)</w:t>
      </w:r>
    </w:p>
    <w:p>
      <w:pPr>
        <w:ind w:left="80" w:right="120"/>
        <w:spacing w:after="0" w:line="311" w:lineRule="auto"/>
        <w:rPr>
          <w:sz w:val="20"/>
          <w:szCs w:val="20"/>
          <w:color w:val="auto"/>
        </w:rPr>
      </w:pPr>
      <w:r>
        <w:rPr>
          <w:rFonts w:ascii="Times New Roman" w:cs="Times New Roman" w:eastAsia="Times New Roman" w:hAnsi="Times New Roman"/>
          <w:sz w:val="14"/>
          <w:szCs w:val="14"/>
          <w:color w:val="auto"/>
        </w:rPr>
        <w:t>Other comprehensive income (loss) Share-based compensation Shares issued under stock plans Purchases of treasury stock Balance at September 30, 2023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31,527</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2,221</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30,225</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-1379220</wp:posOffset>
            </wp:positionV>
            <wp:extent cx="707199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-1113790</wp:posOffset>
            </wp:positionV>
            <wp:extent cx="707199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-685165</wp:posOffset>
            </wp:positionV>
            <wp:extent cx="707199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-427990</wp:posOffset>
            </wp:positionV>
            <wp:extent cx="707199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-170815</wp:posOffset>
            </wp:positionV>
            <wp:extent cx="707199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120"/>
            <w:col w:w="8860"/>
          </w:cols>
          <w:pgMar w:left="320" w:top="121" w:right="359" w:bottom="1440" w:gutter="0" w:footer="0" w:header="0"/>
          <w:type w:val="continuous"/>
        </w:sectPr>
      </w:pPr>
    </w:p>
    <w:p>
      <w:pPr>
        <w:spacing w:after="0" w:line="43" w:lineRule="exact"/>
        <w:rPr>
          <w:sz w:val="20"/>
          <w:szCs w:val="20"/>
          <w:color w:val="auto"/>
        </w:rPr>
      </w:pPr>
    </w:p>
    <w:p>
      <w:pPr>
        <w:ind w:left="660" w:right="30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nine months ended September 30, 2023 is different than the amount presented in the consolidated statement of income due to the net income attributable to redeemable noncontrolling interest of $19 million not included in equity.</w:t>
      </w:r>
    </w:p>
    <w:p>
      <w:pPr>
        <w:spacing w:after="0" w:line="154" w:lineRule="exact"/>
        <w:rPr>
          <w:rFonts w:ascii="Times New Roman" w:cs="Times New Roman" w:eastAsia="Times New Roman" w:hAnsi="Times New Roman"/>
          <w:sz w:val="21"/>
          <w:szCs w:val="21"/>
          <w:color w:val="auto"/>
          <w:vertAlign w:val="superscript"/>
        </w:rPr>
      </w:pPr>
    </w:p>
    <w:p>
      <w:pPr>
        <w:ind w:left="660" w:right="12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nine months ended September 30, 2023 excludes $19 million in distributions paid to redeemable noncontrolling interest not included in equity.</w:t>
      </w:r>
    </w:p>
    <w:p>
      <w:pPr>
        <w:spacing w:after="0" w:line="141" w:lineRule="exact"/>
        <w:rPr>
          <w:rFonts w:ascii="Times New Roman" w:cs="Times New Roman" w:eastAsia="Times New Roman" w:hAnsi="Times New Roman"/>
          <w:sz w:val="21"/>
          <w:szCs w:val="21"/>
          <w:color w:val="auto"/>
          <w:vertAlign w:val="superscript"/>
        </w:rPr>
      </w:pPr>
    </w:p>
    <w:p>
      <w:pPr>
        <w:ind w:left="660" w:right="20" w:hanging="328"/>
        <w:spacing w:after="0" w:line="232"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49% ownership interest in European Merchant Services B.V., a Netherlands-based merchant acceptance business, during the nine months ended September 30, 2023. The Company previously held a majority controlling financial interest in this consolidated subsidiary.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520" w:type="dxa"/>
            <w:vAlign w:val="bottom"/>
            <w:gridSpan w:val="2"/>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June 30, 2023</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180" w:right="168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(91)</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760" w:type="dxa"/>
            <w:vAlign w:val="bottom"/>
          </w:tcPr>
          <w:p>
            <w:pPr>
              <w:spacing w:after="0"/>
              <w:rPr>
                <w:sz w:val="20"/>
                <w:szCs w:val="20"/>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-496570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31"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2023</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80" w:right="660" w:hanging="161"/>
        <w:spacing w:after="0" w:line="234" w:lineRule="auto"/>
        <w:rPr>
          <w:sz w:val="20"/>
          <w:szCs w:val="20"/>
          <w:color w:val="auto"/>
        </w:rPr>
      </w:pPr>
      <w:r>
        <w:rPr>
          <w:rFonts w:ascii="Times New Roman" w:cs="Times New Roman" w:eastAsia="Times New Roman" w:hAnsi="Times New Roman"/>
          <w:sz w:val="18"/>
          <w:szCs w:val="18"/>
          <w:color w:val="auto"/>
        </w:rPr>
        <w:t>Other comprehensive loss before reclassifications (see Note 1)</w:t>
      </w:r>
    </w:p>
    <w:p>
      <w:pPr>
        <w:spacing w:after="0" w:line="10" w:lineRule="exact"/>
        <w:rPr>
          <w:sz w:val="20"/>
          <w:szCs w:val="20"/>
          <w:color w:val="auto"/>
        </w:rPr>
      </w:pPr>
    </w:p>
    <w:p>
      <w:pPr>
        <w:ind w:left="180" w:right="1680" w:hanging="161"/>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(78)</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32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tcPr>
          <w:p>
            <w:pPr>
              <w:spacing w:after="0"/>
              <w:rPr>
                <w:sz w:val="24"/>
                <w:szCs w:val="24"/>
                <w:color w:val="auto"/>
              </w:rPr>
            </w:pP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(79)</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418"/>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-762000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-471170</wp:posOffset>
            </wp:positionV>
            <wp:extent cx="7132320" cy="266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2022</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180" w:right="158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4"/>
        </w:trPr>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-496570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132320" cy="266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recognized $88 million and $76 million of share-based compensation expense during the three months ended September 30, 2024 and 2023, respectively, and $273 million and $275 million of share-based compensation expense during the nine months ended September 30, 2024 and 2023, respectively. The Company’s share-based compensation awards are typically granted in the first quarter of the year, and may also occur throughout the year in conjunction with acquisitions of businesses. At September 30, 2024, the total remaining unrecognized compensation cost for restricted stock units and awards, performance share units, and unvested stock options, net of estimated forfeitures, of $412 million is expected to be recognized over a weighted-average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nine months ended September 30, 2024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September 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nine months ended September 30, 2024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 (In millions)</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September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exercisable - September 30,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89.69</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7"/>
                <w:szCs w:val="17"/>
                <w:color w:val="auto"/>
              </w:rPr>
            </w:pPr>
          </w:p>
        </w:tc>
        <w:tc>
          <w:tcPr>
            <w:tcW w:w="6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31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0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544</w:t>
            </w:r>
          </w:p>
        </w:tc>
      </w:tr>
      <w:tr>
        <w:trPr>
          <w:trHeight w:val="234"/>
        </w:trPr>
        <w:tc>
          <w:tcPr>
            <w:tcW w:w="2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r>
    </w:tbl>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from investments in unconsolidated affiliates was 5.8% and 19.8% for the three months ended September 30, 2024 and 2023, respectively, and 13.5% and 19.5% for the nine months ended September 30, 2024 and 2023, respectively. The effective income tax rate as a percentage of income before income taxes and loss from investments in unconsolidated affiliates for the three and nine months ended September 30, 2024 included a deferred tax benefit of $142 million recorded within the income tax provision associated with a non-cash impairment charge of $570 million recorded within loss from investments in unconsolidated affiliates.</w:t>
      </w:r>
    </w:p>
    <w:p>
      <w:pPr>
        <w:spacing w:after="0" w:line="1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Pursuant to provisions under the Inflation Reduction Act, the Company has purchased transferable federal tax credits from various counterparties. Such federal tax credits were purchased at negotiated discounts, resulting in an income tax benefit.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 at September 30, 2024 and December 31, 2023.</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$88 million at September 30, 2024. The Company believes it is reasonably possible that the liability for unrecognized tax benefits may decrease by up to $5 million over the next twelve months as a result of possible closure of tax audits, audit settlements, and the lapse of the statutes of limitations in various jurisdictions.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U.S. federal income tax return for 2023, and tax returns in certain states and foreign jurisdictions for 2017 through 2023, remain subject to examination by taxing authorities.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4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5"/>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Borders>
              <w:top w:val="single" w:sz="8" w:color="auto"/>
            </w:tcBorders>
          </w:tcPr>
          <w:p>
            <w:pPr>
              <w:ind w:left="38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8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-7620</wp:posOffset>
            </wp:positionV>
            <wp:extent cx="705485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4850" cy="2654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40" w:hanging="161"/>
        <w:spacing w:after="0" w:line="226"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 per share - basic</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5485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54850" cy="265430"/>
                    </a:xfrm>
                    <a:prstGeom prst="rect">
                      <a:avLst/>
                    </a:prstGeom>
                    <a:noFill/>
                  </pic:spPr>
                </pic:pic>
              </a:graphicData>
            </a:graphic>
          </wp:anchor>
        </w:drawing>
      </w:r>
    </w:p>
    <w:p>
      <w:pPr>
        <w:spacing w:after="0" w:line="7" w:lineRule="exact"/>
        <w:rPr>
          <w:sz w:val="20"/>
          <w:szCs w:val="20"/>
          <w:color w:val="auto"/>
        </w:rPr>
      </w:pPr>
    </w:p>
    <w:p>
      <w:pPr>
        <w:ind w:left="240" w:hanging="161"/>
        <w:spacing w:after="0" w:line="234"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 per share - diluted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r>
      <w:tr>
        <w:trPr>
          <w:trHeight w:val="234"/>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72"/>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160"/>
            <w:col w:w="4880"/>
          </w:cols>
          <w:pgMar w:left="320" w:top="121" w:right="339" w:bottom="1440" w:gutter="0" w:footer="0" w:header="0"/>
          <w:type w:val="continuous"/>
        </w:sectPr>
      </w:pPr>
    </w:p>
    <w:p>
      <w:pPr>
        <w:spacing w:after="0" w:line="3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stock options for 140,193 and 948,973 shares, respectively, were excluded from the calculation of weighted-average outstanding shares - diluted because their impact was anti-dilutive. For both the three and nine months ended September 30, 2024, stock options excluded from the calculation of weighted-average outstanding shares - diluted were not significant.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tcBorders>
              <w:bottom w:val="single" w:sz="8" w:color="auto"/>
            </w:tcBorders>
          </w:tcPr>
          <w:p>
            <w:pPr>
              <w:spacing w:after="0"/>
              <w:rPr>
                <w:sz w:val="20"/>
                <w:szCs w:val="20"/>
                <w:color w:val="auto"/>
              </w:rPr>
            </w:pPr>
          </w:p>
        </w:tc>
      </w:tr>
      <w:tr>
        <w:trPr>
          <w:trHeight w:val="185"/>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Legislative Matters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$29 million and $32 million at September 30, 2024 and December 31, 2023, respectively, related to its various legal proceedings, primarily associated with the Company’s merchant acquiring business and certain tax matters. The Company’s estimate of the possible range of exposure for various legal proceedings in excess of amounts accrued is $0 million to approximately $110 million. In the opinion of management, the liabilities, if any, which may ultimately result from such legal proceedings are not expected to have a material adverse effect on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$677 million and $3.5 billion at September 30, 2024 and December 31, 2023,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sold. Payments, net of recoveries, under such indemnification or warranty provisions were not material to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portion of the Company’s business is conducted through merchant alliances between the Company and financial institutions (see Note 6).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$36 million and $44 million for the three months ended September 30, 2024 and 2023, respectively, and $113 million and $135 million for the nine months ended September 30, 2024 and 2023,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$26 million and $38 million of amounts due from unconsolidated merchant alliances included within trade accounts receivable, net in the Company’s consolidated balance sheets at September 30, 2024 and December 31,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7, 2023, the Company entered into a stock purchase agreement with ValueAct Capital Master Fund, L.P., an affiliate of which employed a member of the Company’s board of directors, to repurchase 4.1 million shares of the Company’s common stock for $121.98 per share in a privately negotiated transaction for an aggregate purchase price of $500 million. The repurchase was effected pursuant to an existing repurchase authorization for up to 75.0 million shares of the Company’s common stock approved by the Company’s board of directors on February 22, 2023. The share repurchase was completed on August 8, 2023, and the fair value of the repurchased shares of Company common stock was recorded to treasury stock during the three months ended September 30,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Following the Segment Realignment (see Note 1), the Company’s operations are comprised of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businesses within the Merchant segment consist of the following:</w:t>
      </w:r>
    </w:p>
    <w:p>
      <w:pPr>
        <w:spacing w:after="0" w:line="122" w:lineRule="exact"/>
        <w:rPr>
          <w:sz w:val="20"/>
          <w:szCs w:val="20"/>
          <w:color w:val="auto"/>
        </w:rPr>
      </w:pPr>
    </w:p>
    <w:p>
      <w:pPr>
        <w:ind w:left="660" w:right="140" w:hanging="328"/>
        <w:spacing w:after="0" w:line="230"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point-of-sale integrated commerce operating system for small business clients</w:t>
      </w:r>
    </w:p>
    <w:p>
      <w:pPr>
        <w:spacing w:after="0" w:line="88" w:lineRule="exact"/>
        <w:rPr>
          <w:rFonts w:ascii="Times New Roman" w:cs="Times New Roman" w:eastAsia="Times New Roman" w:hAnsi="Times New Roman"/>
          <w:sz w:val="18"/>
          <w:szCs w:val="18"/>
          <w:i w:val="1"/>
          <w:iCs w:val="1"/>
          <w:color w:val="auto"/>
        </w:rPr>
      </w:pPr>
    </w:p>
    <w:p>
      <w:pPr>
        <w:ind w:left="660" w:right="420" w:hanging="328"/>
        <w:spacing w:after="0" w:line="230"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the Company's integrated commerce operating system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clients</w:t>
      </w:r>
    </w:p>
    <w:p>
      <w:pPr>
        <w:spacing w:after="0" w:line="8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businesses within the Financial segment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12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2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results for each segment were as follows: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0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 w:type="dxa"/>
            <w:vAlign w:val="bottom"/>
            <w:tcBorders>
              <w:right w:val="single" w:sz="8" w:color="CCEEFF"/>
            </w:tcBorders>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0" w:type="dxa"/>
            <w:vAlign w:val="bottom"/>
          </w:tcPr>
          <w:p>
            <w:pPr>
              <w:spacing w:after="0"/>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in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"Risk Factors” in our Annual Report on Form 10-K for the year ended December 31, 2023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0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560" w:hanging="328"/>
        <w:spacing w:after="0" w:line="315"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contains an analysis of our results of operations presented in the accompanying unaudited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income by comparing the results for the three and nine months ended September 30, 2024 to the comparable periods in 2023.</w:t>
      </w:r>
    </w:p>
    <w:p>
      <w:pPr>
        <w:spacing w:after="0" w:line="80" w:lineRule="exact"/>
        <w:rPr>
          <w:rFonts w:ascii="Times New Roman" w:cs="Times New Roman" w:eastAsia="Times New Roman" w:hAnsi="Times New Roman"/>
          <w:sz w:val="17"/>
          <w:szCs w:val="17"/>
          <w:color w:val="auto"/>
        </w:rPr>
      </w:pPr>
    </w:p>
    <w:p>
      <w:pPr>
        <w:ind w:left="660" w:right="36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corporate and public sector clients. We help clients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 Our long-term focus is to meet our financial commitments; continue to build high-quality revenue; deepen client relationships with an emphasis on digital solutions and value-added services; deliver innovation and integration enabling differentiated value for our clients; and generate integration value, including cost and revenue synergies from acquisitions.</w:t>
      </w:r>
    </w:p>
    <w:p>
      <w:pPr>
        <w:spacing w:after="0" w:line="133"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Effective in the first quarter of 2024, we realigned our reportable segments to correspond with changes in our business designed to further enhance operational performance in the delivery of our integrated portfolio of products and solutions to our financial institution clients (the “Segment Realignment”). Our new reportable segments are the Merchant Solutions (“Merchant”) segment and the Financial Solutions (“Financial”) segment. Segment results for the three and nine months ended September 30, 2023 have been recast to reflect the Segment Realignment.</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businesses within the Merchant segment consist of the following:</w:t>
      </w:r>
    </w:p>
    <w:p>
      <w:pPr>
        <w:spacing w:after="0" w:line="118" w:lineRule="exact"/>
        <w:rPr>
          <w:sz w:val="20"/>
          <w:szCs w:val="20"/>
          <w:color w:val="auto"/>
        </w:rPr>
      </w:pPr>
    </w:p>
    <w:p>
      <w:pPr>
        <w:ind w:left="660" w:right="480" w:hanging="328"/>
        <w:spacing w:after="0" w:line="230"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point-of-sale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commerce operating system for small business clients</w:t>
      </w:r>
    </w:p>
    <w:p>
      <w:pPr>
        <w:spacing w:after="0" w:line="88" w:lineRule="exact"/>
        <w:rPr>
          <w:rFonts w:ascii="Times New Roman" w:cs="Times New Roman" w:eastAsia="Times New Roman" w:hAnsi="Times New Roman"/>
          <w:sz w:val="18"/>
          <w:szCs w:val="18"/>
          <w:i w:val="1"/>
          <w:iCs w:val="1"/>
          <w:color w:val="auto"/>
        </w:rPr>
      </w:pPr>
    </w:p>
    <w:p>
      <w:pPr>
        <w:ind w:left="660" w:right="480" w:hanging="328"/>
        <w:spacing w:after="0" w:line="230"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our integrated commerce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8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the Merchant segment businesses through a variety of channels, including direct sales teams, strategic partnerships with agent sales forces, independent software vendors (“ISV”),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businesses within the Financial segment consist of the following:</w:t>
      </w:r>
    </w:p>
    <w:p>
      <w:pPr>
        <w:spacing w:after="0" w:line="66" w:lineRule="exact"/>
        <w:rPr>
          <w:sz w:val="20"/>
          <w:szCs w:val="20"/>
          <w:color w:val="auto"/>
        </w:rPr>
      </w:pPr>
    </w:p>
    <w:p>
      <w:pPr>
        <w:ind w:left="660" w:right="14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acquired and divested businesses are included in our consolidated results from the respective dates of acquisition and through the respective dates of disposition.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9, 2023, we acquired Skytef Solucões em Captura de Transações Ltda (“Skytef”), a distributor for ISV partners and merchants of our Electronic Funds Transfer payments software. Skytef is included within the Merchant segment and expands our distribution network and POS applications. On November 1, 2023, we acquired Sled S.A. (“Sled”), a provider of instant payment solutions. Sled is included within the Merchant segment and expands our direct payment service capabilities. We acquired these businesses in Latin America for an aggregate purchase price, including hold-backs, of $17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 of Businesses</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July 25, 2023, we sold our financial reconciliation business, which was reported within the Financial segment, for cash proceeds of $232 million, subject to final net working capital adjustments. We recognized a pre-tax gain of $177 million on the sale during the three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third quarter of 2024, Wells Fargo Bank, National Association (“Wells Fargo”) provided us a notice of non-renewal for the Wells Fargo Merchant Services merchant alliance (“WFMS”), which is accounted for as an equity method investment. Upon expiration of the merchant alliance, effective April 1, 2025, we expect to receive a cash payment or assets equal to the fair value of our 40% ownership interest of WFMS, as determined in accordance with an agreed upon contractual valuation and separation process. We recorded a $570 million non-cash impairment as a result of an other-than-temporary decline in the carrying value of our equity method investment in WFMS during the three months ended September 30, 2024. The impairment was based on our estimate of the fair value of WFMS and is subject to further adjustments upon completion of the final valuation process. In connection with the expiration of WFMS, we entered into a multi-year agreement with Wells Fargo to provide processing for current and future merchant clients as well as other services to Wells Fargo’s merchant business.</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25, 2023, we acquired the remaining 49% ownership interest in European Merchant Services B.V., a Netherlands-based merchant acceptance business, for $56 million. We previously held a majority controlling financial interest in this subsidiary, which continues to be consolidated and reported within the Merchant segment.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progress growing software and services, and our value-based pricing as we continue to invest in our operating systems, gives us a solid foundation for growth.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want.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We believe that our sizable and diverse client base, combined with our value-added software and services-led model, and our position as a leading provider of non-discretionary, recurring revenue-based products and services, gives us a solid foundation for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Market Conditions</w:t>
      </w:r>
    </w:p>
    <w:p>
      <w:pPr>
        <w:spacing w:after="0" w:line="17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changing interest rates, inflation, disruptions in the global supply chain, changes in consumer spending, the effects of international hostilities, political conditions, and regulations restricting trade or impacting our ability to offer products or services, could have a material adverse effect on our business, results of operations and financial condition. Personal consumption and consumer savings growth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exchange rates for currencies other than the U.S. dollar, including the Euro, British Pound Sterling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domestically, we actively monitor the foreign exchange rate environment and may enter into derivative instruments and utilize other non-derivative hedging instruments with creditworthy institutions in an effort to manage these risks.</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operations of our Argentina subsidiary are experiencing higher interest rates and inflation as compared to historical averages. The anticipated benefits of higher transitory revenue from above-average interest and inflation may be offset in whole or in part by, or may be less than, foreign currency exchange losses related to a significant devaluation of the Argentine Peso.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In our Annual Report on Form 10-K for the year ended December 31, 2023,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of businesses and may record purchase accounting adjustments during the measurement period, which may be up to one year from the acquisition date. Additionally, we review the carrying value of goodwill for impairment by comparing the estimated fair values of our reporting units to their carrying values. Determining the fair value of a reporting unit involves judgement and the use of significant estimates and assumptions, which include assumptions regarding the revenue growth rates and operating margins used to calculate estimated future cash flows, risk-adjusted discount rates, and future economic and market conditions.</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the critical accounting policies and estimates included as Item 7 of our Annual Report on Form 10-K for the year ended December 31, 2023 filed with the Securities and Exchange Commission on February 22, 2024, the following additional critical accounting policy and estimate has become material to us since the filing of our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review our investments in various affiliates that are accounted for as equity method investments for indications of an other- than-temporary decline in value whenever events or changes in circumstances may indicate that the carrying amount of the investment may not be recoverable. A series of operating losses of an investee or other factors, such as a shift in strategic initiatives or a significant change in a merchant alliance business relationship, may indicate that a decrease in value of the investment has occurred that is other-than-temporary. A decline in value of an equity method investment determined to be other-than-temporary is recorded as a current-period impairment charge. Measurement of an impairment loss is based upon a comparison of the carrying amount of the investment to its estimated fair value.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Determining the fair value of an equity method investment involves judgment and the use of significant estimates and assumptions, which include assumptions regarding customer growth and attrition rates and operating margins used to calculate estimated future cash flows; risk-adjusted discount rates; and other future economic and market conditions. During the third quarter of 2024, we determined that one of our equity method investments experienced an other-than-temporary decline in value and therefore recorded a pretax non-cash impairment charge of $570 million. Additional information regarding our equity method investments is included in Note 6 to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non-cash impairment charges, and foreign currency fluctuations. Segment results for the three and nine months ended September 30, 2023 have been recast to reflect the Segment Realignment.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9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183"/>
        </w:trPr>
        <w:tc>
          <w:tcPr>
            <w:tcW w:w="20" w:type="dxa"/>
            <w:vAlign w:val="bottom"/>
          </w:tcPr>
          <w:p>
            <w:pPr>
              <w:spacing w:after="0"/>
              <w:rPr>
                <w:sz w:val="15"/>
                <w:szCs w:val="15"/>
                <w:color w:val="auto"/>
              </w:rPr>
            </w:pPr>
          </w:p>
        </w:tc>
        <w:tc>
          <w:tcPr>
            <w:tcW w:w="40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5"/>
                <w:szCs w:val="15"/>
                <w:color w:val="auto"/>
              </w:rPr>
            </w:pPr>
          </w:p>
        </w:tc>
        <w:tc>
          <w:tcPr>
            <w:tcW w:w="78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18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9"/>
        </w:trPr>
        <w:tc>
          <w:tcPr>
            <w:tcW w:w="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20" w:type="dxa"/>
            <w:vAlign w:val="bottom"/>
          </w:tcPr>
          <w:p>
            <w:pPr>
              <w:spacing w:after="0"/>
              <w:rPr>
                <w:sz w:val="19"/>
                <w:szCs w:val="19"/>
                <w:color w:val="auto"/>
              </w:rPr>
            </w:pPr>
          </w:p>
        </w:tc>
        <w:tc>
          <w:tcPr>
            <w:tcW w:w="4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4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080" w:type="dxa"/>
            <w:vAlign w:val="bottom"/>
            <w:tcBorders>
              <w:top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8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w:t>
            </w: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76"/>
        </w:trPr>
        <w:tc>
          <w:tcPr>
            <w:tcW w:w="20" w:type="dxa"/>
            <w:vAlign w:val="bottom"/>
            <w:shd w:val="clear" w:color="auto" w:fill="CCEEFF"/>
          </w:tcPr>
          <w:p>
            <w:pPr>
              <w:spacing w:after="0"/>
              <w:rPr>
                <w:sz w:val="15"/>
                <w:szCs w:val="15"/>
                <w:color w:val="auto"/>
              </w:rPr>
            </w:pPr>
          </w:p>
        </w:tc>
        <w:tc>
          <w:tcPr>
            <w:tcW w:w="4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180" w:hanging="328"/>
        <w:spacing w:after="0" w:line="225"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8"/>
                <w:szCs w:val="18"/>
                <w:color w:val="auto"/>
              </w:rPr>
            </w:pPr>
          </w:p>
        </w:tc>
        <w:tc>
          <w:tcPr>
            <w:tcW w:w="204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w:t>
            </w: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300" w:hanging="328"/>
        <w:spacing w:after="0" w:line="232"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10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4,873</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bps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8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bps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bps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Total revenue increased $342 million, or 7%, in the third quarter of 2024 and increased $1,029 million, or 7%, in the first nine months of 2024 compared to 2023. The revenue increase was driven by higher processing revenue in both our Merchant and Financial segments, partially offset by a 8% and 9% decrease due to foreign currency exchange rate fluctuations in the third quarter and first nine months of 2024, respectively.</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in our Merchant segment increased $210 million, or 9%, in the third quarter of 2024 and increased $671 million, or 10%, in the first nine months of 2024 compared to 2023. In the third quarter and first nine months of 2024, Small Business contributed 6% and 8% to Merchant segment revenue growth, respectively, driven by an increase in payment volume, partially offset by foreign currency exchange rate fluctuations. Small Business revenue growth also includes contributions from our Clover operating system and the expansion of our merchant relationships through value-added services. Additionally, in the third quarter and first nine months of 2024, Enterprise contributed 4% and 2%, respectively, primarily driven by transaction growth.</w:t>
      </w:r>
    </w:p>
    <w:p>
      <w:pPr>
        <w:spacing w:after="0" w:line="12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Revenue in our Financial segment increased $110 million, or 5%, in the third quarter of 2024 and increased $306 million, or 5%, in the first nine months of 2024 compared to 2023. In the third quarter and first nine months of 2024, Digital Payments contributed 2% and 3% to Financial segment revenue growth, respectively, driven by an increase in transaction volume, including growth in Zelle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transactions. Issuing contributed 1% to Financial segment growth in both the third quarter and first nine months of 2024, primarily driven by an increase in active accounts due to strong demand across various verticals, including government and healthcare. Banking also contributed 1% in both the third quarter and first nine months of 2024.</w:t>
      </w:r>
    </w:p>
    <w:p>
      <w:pPr>
        <w:spacing w:after="0" w:line="14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$22 million, or 7%, in the third quarter of 2024 and increased $52 million, or 6%, in the first nine months of 2024 compared to 2023, due to increased postage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Total expenses increased $243 million, or 7%, in the third quarter of 2024 and $386 million, or 4%, in the first nine months of 2024 compared to 2023. Total expenses as a percentage of total revenue were relatively flat at 69.3% in the third quarter of 2024 and decreased 250 basis points to 72.3% in the first nine months of 2024 compared to 2023. Total expenses as a percentage of total revenue were favorably impacted by operating leverage across our various businesses, as well as a reduction in amortization of acquisition-related intangible assets of approximately 80 basis points and 110 basis points and a reduction in acquisition and integration related expenses of approximately 60 basis points and 40 basis points in the third quarter and first nine months of 2024, respectively. The third quarter and first nine months of 2023 included a $177 million pre-tax gain on the sale of our financial reconciliation business.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31.8% in the third quarter of 2024 compared to 32.7% in the third quarter of 2023 and decreased to 32.7% in the first nine months of 2024 compared to 35.0% in the first nine months of 2023. Cost of processing and services as a percentage of processing and services revenue was favorably impacted by strong operating leverage accompanying scalable revenue growth in the third quarter and first nine months of 2024.</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product as a percentage of product revenue increased to 67.6% in the third quarter of 2024 compared to 67.4% in the third quarter of 2023 and increased to 69.0% in the first nine months of 2024 compared to 68.5% in the first nine months of 2023. The cost of product as a percentage of product revenue in the third quarter and first nine months of 2024 was impacted by revenue mix, including an increase in hardware revenue, in the third quarter of 2024 compared to 2023.</w:t>
      </w:r>
    </w:p>
    <w:p>
      <w:pPr>
        <w:spacing w:after="0" w:line="12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30.8% in the third quarter of 2024 compared to 33.9% in the third quarter of 2023 and decreased to 32.9% in the first nine months of 2024 compared to 34.9% in the first nine months of 2023. Selling, general and administrative expenses as a percentage of total revenue was favorably impacted in both the third quarter and first nine months of 2024 by a reduction in amortization of acquisition-related intangible assets of approximately 80 basis points and a reduction in acquisition and integration related expenses of approximately 30 basis points, as well as expense management initiatives.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Total operating income increased $99 million, or 7%, in the third quarter of 2024 and increased $643 million, or 18%, in the first nine months of 2024 compared to 2023. Total operating margin decreased 10 basis points to 30.7% in the third quarter of 2024 and increased 250 basis points to 27.7% in the first nine months of 2024 compared to 2023. Total operating income and total operating margin benefited from scalable revenue growth, along with a $42 million and $160 million reduction in amortization of acquisition-related intangible assets and a $30 million and $61 million reduction in acquisition and integration related expenses in the third quarter and first nine months of 2024, respectively. Total operating income and total operating margin in the third quarter and first nine months of 2023 was favorably impacted by a $177 million pre-tax gain from the sale of our financial reconciliation business.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in our Merchant segment increased $145 million, or 18%, in the third quarter of 2024 and increased $459 million, or 22%, in the first nine months of 2024 compared to 2023. Operating margin increased 290 basis points to 37.7% in the third quarter of 2024 and increased 330 basis points to 36.2% in the first nine months of 2024 compared to 2023. Operating income and operating margin growth in our Merchant segment was primarily due to operating leverage and productivity.</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in our Financial segment increased $64 million, or 6%, in the third quarter of 2024 and increased $194 million, or 6%, in the first nine months of 2024 compared to 2023. Operating margin increased 50 basis points to 47.4% in the third quarter of 2024 and increased 70 basis points to 45.8% in the first nine months of 2024 compared to 2023. Operating income and operating margin growth in our Financial segment was primarily due to operating leverage and scalable revenue growth.</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operating loss in Corporate and Other increased $110 million in the third quarter of 2024 and increased $10 million in the first nine months of 2024 compared to 2023. The operating losses in the third quarter and first nine months of 2023 included a $177 million pre-tax gain on the sale of our financial reconciliation business. The operating losses in the third quarter and first nine months of 2024 were favorably impacted by a reduction of $42 million and $160 million, respectively, in amortization of acquisition-related intangible assets, as well as a reduction of $25 million and $45 million, respectively, in acquisition and integration related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expense, net increased $68 million, or 26%, in the third quarter of 2024 compared to 2023 and increased $180 million, or 26%, in the first nine months of 2024 compared to 2023 due to higher outstanding borrowings, including as a result of our public offering and issuance of $2.0 billion and $1.75 billion of senior notes in March 2024 and August 2024, respectively, as well as increased variable rate borrowings with our settlement advance cash program in Latin America compared to the prior year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expense, net decreased $30 million in the third quarter of 2024 and decreased $64 million in the first nine months of 2024 compared to 2023. Other expense, net includes foreign currency transaction gains and losses, gains or losses from a sale or change in fair value of investments in certain equity securities, and amounts related to debt guarantee arrangements of certain joint ventures. Other expense, net in the third quarter and first nine months of 2024 included $2 million and $29 million,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respectively, related to gains on the sale and remeasurement of certain equity securities. Net foreign currency transaction losses decreased $11 million and $12 million in the third quarter and first nine months of 2024 compared to the third quarter and first nine months of 2023,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from investments in unconsolidated affiliates was 5.8% and 19.8% for the three months ended September 30, 2024 and 2023, respectively, and 13.5% and 19.5% for the nine months ended September 30, 2024 and 2023, respectively. The effective income tax rate as a percentage of income before income taxes and loss from investments in unconsolidated affiliates for the three and nine months ended September 30, 2024 included a deferred tax benefit of $142 million recorded within the income tax provision associated with a non-cash impairment charge of $570 million recorded within loss from investments in unconsolidated affiliates, resulting in the lower effective income tax 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Investments in Unconsolidated Affiliates</w:t>
      </w:r>
    </w:p>
    <w:p>
      <w:pPr>
        <w:spacing w:after="0" w:line="17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Our share of net loss from unconsolidated affiliates accounted for using the equity method is reported as loss from investments in unconsolidated affiliates, and the related tax (provision) benefit is reported within the income tax provision in the consolidated statements of income. Loss from investments in unconsolidated affiliates, including acquired intangible asset amortization from valuations in purchase accounting, was $(626) million and $(2) million in the third quarter of 2024 and 2023, respectively, and $(642) million and $(11) million in the first nine months of 2024 and 2023, respectively. The third quarter and first nine months of 2024 included a $570 million non-cash impairment related to the Wells Fargo Merchant Services merchant alliance.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 relates to the minority partners’ share of the net income in our consolidated subsidiaries. Net income attributable to noncontrolling interests, including acquired intangible asset amortization from valuations in purchase accounting, was $7 million and $17 million in the third quarter of 2024 and 2023, respectively, and $39 million and $42 million in the first nine months of 2024 and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$0.98 and $1.56 in the third quarter of 2024 and 2023, respectively, and $3.74 and $3.54 in the first nine months of 2024 and 2023, respectively. In addition to the impacts to net income attributable to Fiserv, Inc. described above, our diluted weighted average outstanding shares were reduced by 5% and 6% in the third quarter and first nine months of 2024, respectively, compared to 2023, due to our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$1.2 billion, proceeds from the issuance of U.S. dollar and Euro commercial paper, and available capacity under our revolving credit facility of $2.7 billion (net of outstanding revolver borrowings and $3.3 billion of capacity designated for outstanding borrowings under our commercial paper programs, senior notes due within the next twelve months and letters of credit) at September 30, 2024.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60" w:type="dxa"/>
            <w:vAlign w:val="bottom"/>
          </w:tcPr>
          <w:p>
            <w:pPr>
              <w:spacing w:after="0"/>
              <w:rPr>
                <w:sz w:val="21"/>
                <w:szCs w:val="21"/>
                <w:color w:val="auto"/>
              </w:rPr>
            </w:pPr>
          </w:p>
        </w:tc>
        <w:tc>
          <w:tcPr>
            <w:tcW w:w="26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operating cash flow was $4.4 billion in the first nine months of 2024, an increase of 24% compared with $3.6 billion in the first nine months of 2023. This increase was primarily attributable to increased profitability, excluding non-cash impairments included within loss from investments in unconsolidated affiliates, and corresponding cash flows, along with favorable fluctuations in working capital, including the timing of vendor payments.</w:t>
      </w:r>
    </w:p>
    <w:p>
      <w:pPr>
        <w:spacing w:after="0" w:line="12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maintain investments in various affiliates that are accounted for as equity method investments. Total distributions from unconsolidated affiliates, including those classified as cash flows from investing activities, were $88 million and $152 million in the first nine months of 2024 and 2023, respectively.</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merchant cash advances, share repurchases, acquisitions and to repay debt rather than to pay dividends. Our capital expenditures were approximately 8% and 7% of our total revenue for the first nine months of 2024 and 2023,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repurchased $4.3 billion of our common stock during the first nine months of 2024. On August 8, 2023, we repurchased 4.1 million shares of our common stock for $121.98 per share in a privately negotiated transaction with ValueAct Capital Master Fund, L.P. for an aggregate purchase price of $500 million. Including this transaction, we repurchased $3.7 billion of our common stock during the first nine months of 2023.</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February 22, 2023, our board of directors approved a repurchase authorization for up to 75.0 million shares of our common stock. As of September 30, 2024, we had approximately 24.2 million shares remaining under our existing repurchase authorization. Shares repurchased are generally held for issuance in connection with our equity plans.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acquired Skytef in October 2023 and Sled in November 2023 for an aggregate purchase price, including hold-backs, of $17 million. We funded these acquisitions by utilizing available cash. The results of operations for these acquired businesses are included in our consolidated results from the respective dates of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 of Businesses</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sold our financial reconciliation business in July 2023 for cash proceeds of $232 million, subject to final net working capital adjustments. Net proceeds from the sale were primarily used to pay down indebtedness and repurchase shares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2023, we acquired the remaining 49% ownership interest in European Merchant Services B.V., in which we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previously held a majority controlling financial interest in this consolidated subsidiary, for $56 million. We funded this transaction by utilizing a combination of available cash and proceeds from the issuance of commercial paper.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Indebtedness</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78"/>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lines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 w:type="dxa"/>
            <w:vAlign w:val="bottom"/>
          </w:tcPr>
          <w:p>
            <w:pPr>
              <w:spacing w:after="0"/>
              <w:rPr>
                <w:sz w:val="19"/>
                <w:szCs w:val="19"/>
                <w:color w:val="auto"/>
              </w:rPr>
            </w:pPr>
          </w:p>
        </w:tc>
        <w:tc>
          <w:tcPr>
            <w:tcW w:w="6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20" w:type="dxa"/>
            <w:vAlign w:val="bottom"/>
          </w:tcPr>
          <w:p>
            <w:pPr>
              <w:spacing w:after="0"/>
              <w:rPr>
                <w:sz w:val="19"/>
                <w:szCs w:val="19"/>
                <w:color w:val="auto"/>
              </w:rPr>
            </w:pPr>
          </w:p>
        </w:tc>
        <w:tc>
          <w:tcPr>
            <w:tcW w:w="6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we completed the public offering and issuance of $1.75 billion of senior notes, comprised of $850 million aggregate principal amount of 4.750% senior notes due in March 2030 and $900 million aggregate principal amount of 5.150% senior notes due in August 2034. We used the net proceeds from this senior notes offering for general corporate purposes, including the repayment of a portion of our commercial paper notes and for share repurchases.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used the net proceeds from this senior notes offering for general corporate purposes, including the repayment of a portion of our commercial paper notes and for share repurchases, and in July 2024, the repayment of a portion of our 2.750% senior notes.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September 30, 2024, our debt consisted primarily of $21.9 billion of fixed-rate senior notes and $1.6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September 30, 2024, the 3.850% senior notes due in June 2025 and 2.250% senior notes due in July 2025 were classified in the consolidated balance sheet as long-term, as we have the intent to refinance this debt on a 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Variable Rate Debt</w:t>
            </w:r>
          </w:p>
        </w:tc>
        <w:tc>
          <w:tcPr>
            <w:tcW w:w="410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September 30, 2024:</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2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34.503%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4.933%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7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20" w:type="dxa"/>
            <w:vAlign w:val="bottom"/>
            <w:tcBorders>
              <w:bottom w:val="single" w:sz="8" w:color="CCEEFF"/>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5.970%</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14.224%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maintain various short-term lines of credit and other borrowing arrangements with foreign banks and alliance partners primarily to fund merchant settlement advances associated with operations in Latin America, including an annually renewable term loan facility to fund settlement advance cash payments in Brazil. This term loan has a notional value of 514 million Brazilian real ($95 million USD equivalent) at September 30, 2024 and bears interest at a variable Certificado de Depósito Interbancário (CDI) Rate, plus a specified margin per annum. In February 2024, this term loan facility was amended, which amendment extended its maturity date to April 2025 and decreased the specified margin to 1.25% per annum.</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outstanding borrowings and weighted average interest rates of our foreign lines of credit and other borrowing arrangements by country at September 30,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 Interest</w:t>
            </w:r>
          </w:p>
        </w:tc>
      </w:tr>
      <w:tr>
        <w:trPr>
          <w:trHeight w:val="241"/>
        </w:trPr>
        <w:tc>
          <w:tcPr>
            <w:tcW w:w="6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11.663 %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10.061 %</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5.061 %</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34.503 %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offer advanced funding of settlement activity associated with operations in Argentina by utilizing local operating cash and various short-term lines of credit to borrow in the Argentina overnight market. As we collect a portion of the corresponding receivables from card issuers over several months, in the event we are unable to continue to borrow in the Argentina overnight market, we may fund future advances with our consolidated cash and cash equivalents and available capacity under our revolving credit facility.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also maintain a senior unsecured multicurrency revolving credit facility, which matures in June 2027 and provides for a maximum aggregate principal amount of availability of $6.0 billion. Borrowings under the credit facility bear interest at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variable base rate, determined by the term and currency of the borrowing, plus a specified margin based on our long-term debt rating. Outstanding borrowings under the revolving credit facility were $70 million at September 30, 2024. We are required to pay a facility fee based on the aggregate commitments in effect under the credit agreement from time to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and Compliance</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2024,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variable-rate term loan facilities with aggregate outstanding borrowings of $426 million in senior unsecured debt at September 30, 2024 and variable-rate revolving credit facilities with an aggregate borrowing capacity of $83 million with a syndicate of banks, which mature in April 2027. There were $20 million of aggregate outstanding borrowings on the revolving credit facilities at September 30, 2024. We have guaranteed the debt of the Lending Joint Ventures. We maintained a liability of $24 million at September 30, 2024 for the estimated fair value of our non-contingent obligations to stand ready to perform over the term of the guarantee arrangements. Such guarantees will be amortized in future periods over the contractual term of the debt. In addition, we maintained a contingent liability of $17 million at September 30, 2024,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40" w:type="dxa"/>
            <w:vAlign w:val="bottom"/>
          </w:tcPr>
          <w:p>
            <w:pPr>
              <w:spacing w:after="0"/>
              <w:rPr>
                <w:sz w:val="19"/>
                <w:szCs w:val="19"/>
                <w:color w:val="auto"/>
              </w:rPr>
            </w:pPr>
          </w:p>
        </w:tc>
        <w:tc>
          <w:tcPr>
            <w:tcW w:w="69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420" w:hanging="328"/>
        <w:spacing w:after="0" w:line="225" w:lineRule="auto"/>
        <w:tabs>
          <w:tab w:leader="none" w:pos="64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arises from our international operations to the extent they are conducted in local currency. The major currencies to which our operations are exposed are the Argentine Peso, Brazilian Real, British Pound, Euro and Indian Rupee. Changes in the value of underlying monetary assets and liabilities of our non-U.S. dollar-denominated foreign investments and foreign currency transactions in highly inflationary economies, primarily Argentina, may result in foreign currency exchange losses. We also have exposure to risks related to currency devaluation in certain countries, including Argentina, which may negatively impact our international operating results if there is a prolonged devaluation of local currencies relative to the U.S. dollar or if the economic conditions in these countries decline.</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2023. There were no significant changes to our quantitative and qualitative analyses about market risk during the nine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September 30, 2024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September 30,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2,540,854</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29,235,069</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2,990,000</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26,245,069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2,087,444</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24,157,625</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7,618,298</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8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22, 2023, our board of directors authorized the purchase of up to 75.0 million shares of our common stock. This authorization does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500" w:firstLine="8"/>
        <w:spacing w:after="0" w:line="282"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none of the Company’s directors or Section 16 officers adopted or terminated a Rule 10b5-1 Trading Plan or “non-Rule 10b5-1 trading arrangement,” as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940" w:type="dxa"/>
            <w:vAlign w:val="bottom"/>
            <w:gridSpan w:val="8"/>
          </w:tcPr>
          <w:p>
            <w:pPr>
              <w:ind w:left="1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8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28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tcPr>
          <w:p>
            <w:pPr>
              <w:spacing w:after="0"/>
              <w:rPr>
                <w:sz w:val="22"/>
                <w:szCs w:val="22"/>
                <w:color w:val="auto"/>
              </w:rPr>
            </w:pPr>
          </w:p>
        </w:tc>
        <w:tc>
          <w:tcPr>
            <w:tcW w:w="9280" w:type="dxa"/>
            <w:vAlign w:val="bottom"/>
            <w:gridSpan w:val="10"/>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Thirty-Fifth Supplemental Indenture, dated as of August 12, 2024, between Fiserv, Inc. and U.S. Bank Trust Company, National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Association (including Form of 4.750% Senior Notes due 2030) (incorporated by reference to Exhibit 4.1 to the Current Report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on Form 8-K of Fiserv, Inc. filed August 12, 2024)</w:t>
              </w:r>
            </w:hyperlink>
          </w:p>
        </w:tc>
        <w:tc>
          <w:tcPr>
            <w:tcW w:w="550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tcPr>
          <w:p>
            <w:pPr>
              <w:spacing w:after="0"/>
              <w:rPr>
                <w:sz w:val="24"/>
                <w:szCs w:val="24"/>
                <w:color w:val="auto"/>
              </w:rPr>
            </w:pPr>
          </w:p>
        </w:tc>
        <w:tc>
          <w:tcPr>
            <w:tcW w:w="9280" w:type="dxa"/>
            <w:vAlign w:val="bottom"/>
            <w:gridSpan w:val="10"/>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Thirty-Sixth Supplemental Indenture, dated as of August 12, 2024, between Fiserv, Inc. and U.S. Bank Trust Company, National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Association (including Form of 5.150% Senior Notes due 2034) (incorporated by reference to Exhibit 4.2 to the Current Report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on Form 8-K of Fiserv, Inc. filed August 12, 2024)</w:t>
              </w:r>
            </w:hyperlink>
          </w:p>
        </w:tc>
        <w:tc>
          <w:tcPr>
            <w:tcW w:w="550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37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3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hanging="8"/>
        <w:spacing w:after="0" w:line="253" w:lineRule="auto"/>
        <w:tabs>
          <w:tab w:leader="none" w:pos="5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Income for the three and nine months ended September 30, 2024 and 2023, (ii) the Consolidated Statements of Comprehensive Income for the three and nine months ended September 30, 2024 and 2023, (iii) the Consolidated Balance Sheets at September 30, 2024 and December 31, 2023, (iv) the Consolidated Statements of Cash Flows for the nine months ended September 30, 2024 and 2023, (v) Notes to Consolidated Financial Statements, and (vi) the information included in Part II, Item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23, 2024</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23, 2024</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October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1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October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43180</wp:posOffset>
            </wp:positionV>
            <wp:extent cx="23317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September 30, 2024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2024</w:t>
            </w:r>
          </w:p>
        </w:tc>
      </w:tr>
      <w:tr>
        <w:trPr>
          <w:trHeight w:val="8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2024</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
      <w:numFmt w:val="bullet"/>
      <w:start w:val="1"/>
    </w:lvl>
    <w:lvl w:ilvl="1">
      <w:lvlJc w:val="left"/>
      <w:lvlText w:val="(%2)"/>
      <w:numFmt w:val="lowerRoman"/>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89" Type="http://schemas.openxmlformats.org/officeDocument/2006/relationships/hyperlink" Target="https://www.sec.gov/Archives/edgar/data/798354/000119312524198881/d811685dex41.htm" TargetMode="External"/><Relationship Id="rId90" Type="http://schemas.openxmlformats.org/officeDocument/2006/relationships/hyperlink" Target="https://www.sec.gov/Archives/edgar/data/798354/000119312524198881/d81168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2024-10-23T06:15:12Z</dcterms:created>
  <dcterms:modified xsi:type="dcterms:W3CDTF">2024-10-23T06:15:12Z</dcterms:modified>
</cp:coreProperties>
</file>