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7)*</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Fiserv,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337738108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Christopher Lee, Esq.</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Kohlberg Kravis Roberts &amp; Co. L.P.</w:t>
      </w:r>
    </w:p>
    <w:p>
      <w:pPr>
        <w:jc w:val="center"/>
        <w:ind w:right="-59"/>
        <w:spacing w:after="0" w:line="230" w:lineRule="auto"/>
        <w:rPr>
          <w:sz w:val="20"/>
          <w:szCs w:val="20"/>
          <w:color w:val="auto"/>
        </w:rPr>
      </w:pPr>
      <w:r>
        <w:rPr>
          <w:rFonts w:ascii="Arial" w:cs="Arial" w:eastAsia="Arial" w:hAnsi="Arial"/>
          <w:sz w:val="22"/>
          <w:szCs w:val="22"/>
          <w:b w:val="1"/>
          <w:bCs w:val="1"/>
          <w:color w:val="auto"/>
        </w:rPr>
        <w:t>30 Hudson Yards</w:t>
      </w:r>
    </w:p>
    <w:p>
      <w:pPr>
        <w:jc w:val="center"/>
        <w:ind w:right="-59"/>
        <w:spacing w:after="0" w:line="231" w:lineRule="auto"/>
        <w:rPr>
          <w:sz w:val="20"/>
          <w:szCs w:val="20"/>
          <w:color w:val="auto"/>
        </w:rPr>
      </w:pPr>
      <w:r>
        <w:rPr>
          <w:rFonts w:ascii="Arial" w:cs="Arial" w:eastAsia="Arial" w:hAnsi="Arial"/>
          <w:sz w:val="22"/>
          <w:szCs w:val="22"/>
          <w:b w:val="1"/>
          <w:bCs w:val="1"/>
          <w:color w:val="auto"/>
        </w:rPr>
        <w:t>New York, New York 10001</w:t>
      </w:r>
    </w:p>
    <w:p>
      <w:pPr>
        <w:jc w:val="center"/>
        <w:ind w:right="-59"/>
        <w:spacing w:after="0"/>
        <w:rPr>
          <w:sz w:val="20"/>
          <w:szCs w:val="20"/>
          <w:color w:val="auto"/>
        </w:rPr>
      </w:pPr>
      <w:r>
        <w:rPr>
          <w:rFonts w:ascii="Arial" w:cs="Arial" w:eastAsia="Arial" w:hAnsi="Arial"/>
          <w:sz w:val="22"/>
          <w:szCs w:val="22"/>
          <w:b w:val="1"/>
          <w:bCs w:val="1"/>
          <w:color w:val="auto"/>
        </w:rPr>
        <w:t>Telephone: (212) 750-8300</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with a copy to:</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Richard A. Fenyes</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Kathryn King Sudol</w:t>
      </w:r>
    </w:p>
    <w:p>
      <w:pPr>
        <w:jc w:val="center"/>
        <w:ind w:right="-59"/>
        <w:spacing w:after="0" w:line="230" w:lineRule="auto"/>
        <w:rPr>
          <w:sz w:val="20"/>
          <w:szCs w:val="20"/>
          <w:color w:val="auto"/>
        </w:rPr>
      </w:pPr>
      <w:r>
        <w:rPr>
          <w:rFonts w:ascii="Arial" w:cs="Arial" w:eastAsia="Arial" w:hAnsi="Arial"/>
          <w:sz w:val="22"/>
          <w:szCs w:val="22"/>
          <w:b w:val="1"/>
          <w:bCs w:val="1"/>
          <w:color w:val="auto"/>
        </w:rPr>
        <w:t>Simpson Thacher &amp; Bartlett LLP</w:t>
      </w:r>
    </w:p>
    <w:p>
      <w:pPr>
        <w:jc w:val="center"/>
        <w:ind w:right="-59"/>
        <w:spacing w:after="0" w:line="231" w:lineRule="auto"/>
        <w:rPr>
          <w:sz w:val="20"/>
          <w:szCs w:val="20"/>
          <w:color w:val="auto"/>
        </w:rPr>
      </w:pPr>
      <w:r>
        <w:rPr>
          <w:rFonts w:ascii="Arial" w:cs="Arial" w:eastAsia="Arial" w:hAnsi="Arial"/>
          <w:sz w:val="22"/>
          <w:szCs w:val="22"/>
          <w:b w:val="1"/>
          <w:bCs w:val="1"/>
          <w:color w:val="auto"/>
        </w:rPr>
        <w:t>425 Lexington Avenue</w:t>
      </w:r>
    </w:p>
    <w:p>
      <w:pPr>
        <w:jc w:val="center"/>
        <w:ind w:right="-59"/>
        <w:spacing w:after="0" w:line="230" w:lineRule="auto"/>
        <w:rPr>
          <w:sz w:val="20"/>
          <w:szCs w:val="20"/>
          <w:color w:val="auto"/>
        </w:rPr>
      </w:pPr>
      <w:r>
        <w:rPr>
          <w:rFonts w:ascii="Arial" w:cs="Arial" w:eastAsia="Arial" w:hAnsi="Arial"/>
          <w:sz w:val="22"/>
          <w:szCs w:val="22"/>
          <w:b w:val="1"/>
          <w:bCs w:val="1"/>
          <w:color w:val="auto"/>
        </w:rPr>
        <w:t>New York, New York 10017</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Telephone: (212) 455-2000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ind w:right="120"/>
        <w:spacing w:after="0" w:line="277"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that is the subject of this Schedule 13D, and is filing this schedule because §240.13d-1(e), 240.13d-1(f) or 240.13d-1(g) check the following box. </w:t>
      </w:r>
      <w:r>
        <w:rPr>
          <w:rFonts w:ascii="MS PGothic" w:cs="MS PGothic" w:eastAsia="MS PGothic" w:hAnsi="MS PGothic"/>
          <w:sz w:val="19"/>
          <w:szCs w:val="19"/>
          <w:color w:val="auto"/>
        </w:rPr>
        <w:t>☐</w:t>
      </w:r>
    </w:p>
    <w:p>
      <w:pPr>
        <w:spacing w:after="0" w:line="189" w:lineRule="exact"/>
        <w:rPr>
          <w:sz w:val="24"/>
          <w:szCs w:val="24"/>
          <w:color w:val="auto"/>
        </w:rPr>
      </w:pPr>
    </w:p>
    <w:p>
      <w:pPr>
        <w:ind w:right="220"/>
        <w:spacing w:after="0" w:line="250"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Rule 13d-7 for other parties to whom copies are to be sent.</w:t>
      </w:r>
    </w:p>
    <w:p>
      <w:pPr>
        <w:spacing w:after="0" w:line="202" w:lineRule="exact"/>
        <w:rPr>
          <w:sz w:val="24"/>
          <w:szCs w:val="24"/>
          <w:color w:val="auto"/>
        </w:rPr>
      </w:pPr>
    </w:p>
    <w:p>
      <w:pPr>
        <w:ind w:right="40" w:firstLine="8"/>
        <w:spacing w:after="0"/>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w:t>
      </w:r>
      <w:r>
        <w:rPr>
          <w:rFonts w:ascii="Arial" w:cs="Arial" w:eastAsia="Arial" w:hAnsi="Arial"/>
          <w:sz w:val="22"/>
          <w:szCs w:val="22"/>
          <w:u w:val="single" w:color="auto"/>
          <w:color w:val="auto"/>
        </w:rPr>
        <w:t>Act</w:t>
      </w:r>
      <w:r>
        <w:rPr>
          <w:rFonts w:ascii="Arial" w:cs="Arial" w:eastAsia="Arial" w:hAnsi="Arial"/>
          <w:sz w:val="22"/>
          <w:szCs w:val="22"/>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Pr>
          <w:p>
            <w:pPr>
              <w:spacing w:after="0"/>
              <w:rPr>
                <w:sz w:val="20"/>
                <w:szCs w:val="20"/>
                <w:color w:val="auto"/>
              </w:rPr>
            </w:pPr>
          </w:p>
        </w:tc>
        <w:tc>
          <w:tcPr>
            <w:tcW w:w="8000" w:type="dxa"/>
            <w:vAlign w:val="bottom"/>
          </w:tcPr>
          <w:p>
            <w:pPr>
              <w:ind w:left="276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New Omaha Holdings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49,408,278</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49,408,278</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49,408,278</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Pr>
          <w:p>
            <w:pPr>
              <w:spacing w:after="0"/>
              <w:rPr>
                <w:sz w:val="20"/>
                <w:szCs w:val="20"/>
                <w:color w:val="auto"/>
              </w:rPr>
            </w:pPr>
          </w:p>
        </w:tc>
        <w:tc>
          <w:tcPr>
            <w:tcW w:w="8000" w:type="dxa"/>
            <w:vAlign w:val="bottom"/>
          </w:tcPr>
          <w:p>
            <w:pPr>
              <w:ind w:left="276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New Omaha Holdings LLC</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49,408,278</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49,408,278</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49,408,278</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Pr>
          <w:p>
            <w:pPr>
              <w:spacing w:after="0"/>
              <w:rPr>
                <w:sz w:val="20"/>
                <w:szCs w:val="20"/>
                <w:color w:val="auto"/>
              </w:rPr>
            </w:pPr>
          </w:p>
        </w:tc>
        <w:tc>
          <w:tcPr>
            <w:tcW w:w="8000" w:type="dxa"/>
            <w:vAlign w:val="bottom"/>
          </w:tcPr>
          <w:p>
            <w:pPr>
              <w:ind w:left="276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KKR 2006 Fund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49,408,278</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49,408,278</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49,408,278</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Pr>
          <w:p>
            <w:pPr>
              <w:spacing w:after="0"/>
              <w:rPr>
                <w:sz w:val="20"/>
                <w:szCs w:val="20"/>
                <w:color w:val="auto"/>
              </w:rPr>
            </w:pPr>
          </w:p>
        </w:tc>
        <w:tc>
          <w:tcPr>
            <w:tcW w:w="8000" w:type="dxa"/>
            <w:vAlign w:val="bottom"/>
          </w:tcPr>
          <w:p>
            <w:pPr>
              <w:ind w:left="276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KKR Associates 2006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49,408,278</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49,408,278</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49,408,278</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Pr>
          <w:p>
            <w:pPr>
              <w:spacing w:after="0"/>
              <w:rPr>
                <w:sz w:val="20"/>
                <w:szCs w:val="20"/>
                <w:color w:val="auto"/>
              </w:rPr>
            </w:pPr>
          </w:p>
        </w:tc>
        <w:tc>
          <w:tcPr>
            <w:tcW w:w="8000" w:type="dxa"/>
            <w:vAlign w:val="bottom"/>
          </w:tcPr>
          <w:p>
            <w:pPr>
              <w:ind w:left="276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KKR 2006 GP LLC</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49,408,278</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49,408,278</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49,408,278</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CUSIP No. 337738108</w:t>
            </w:r>
          </w:p>
        </w:tc>
        <w:tc>
          <w:tcPr>
            <w:tcW w:w="680" w:type="dxa"/>
            <w:vAlign w:val="bottom"/>
          </w:tcPr>
          <w:p>
            <w:pPr>
              <w:spacing w:after="0"/>
              <w:rPr>
                <w:sz w:val="20"/>
                <w:szCs w:val="20"/>
                <w:color w:val="auto"/>
              </w:rPr>
            </w:pPr>
          </w:p>
        </w:tc>
        <w:tc>
          <w:tcPr>
            <w:tcW w:w="8000" w:type="dxa"/>
            <w:vAlign w:val="bottom"/>
          </w:tcPr>
          <w:p>
            <w:pPr>
              <w:ind w:left="276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3"/>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3"/>
          </w:tcPr>
          <w:p>
            <w:pPr>
              <w:ind w:left="40"/>
              <w:spacing w:after="0"/>
              <w:rPr>
                <w:sz w:val="20"/>
                <w:szCs w:val="20"/>
                <w:color w:val="auto"/>
              </w:rPr>
            </w:pPr>
            <w:r>
              <w:rPr>
                <w:rFonts w:ascii="Arial" w:cs="Arial" w:eastAsia="Arial" w:hAnsi="Arial"/>
                <w:sz w:val="18"/>
                <w:szCs w:val="18"/>
                <w:color w:val="auto"/>
              </w:rPr>
              <w:t>KKR Group Partnership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OO</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3"/>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w w:val="96"/>
              </w:rPr>
              <w:t>Cayman Islands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49,408,278</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49,408,278</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49,408,278</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7.5%</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PN</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Pr>
          <w:p>
            <w:pPr>
              <w:spacing w:after="0"/>
              <w:rPr>
                <w:sz w:val="20"/>
                <w:szCs w:val="20"/>
                <w:color w:val="auto"/>
              </w:rPr>
            </w:pPr>
          </w:p>
        </w:tc>
        <w:tc>
          <w:tcPr>
            <w:tcW w:w="8000" w:type="dxa"/>
            <w:vAlign w:val="bottom"/>
          </w:tcPr>
          <w:p>
            <w:pPr>
              <w:ind w:left="276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KKR Group Holdings Corp.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49,408,278</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49,408,278</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49,408,278</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Pr>
          <w:p>
            <w:pPr>
              <w:spacing w:after="0"/>
              <w:rPr>
                <w:sz w:val="20"/>
                <w:szCs w:val="20"/>
                <w:color w:val="auto"/>
              </w:rPr>
            </w:pPr>
          </w:p>
        </w:tc>
        <w:tc>
          <w:tcPr>
            <w:tcW w:w="8000" w:type="dxa"/>
            <w:vAlign w:val="bottom"/>
          </w:tcPr>
          <w:p>
            <w:pPr>
              <w:ind w:left="276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KKR &amp; Co. Inc.</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49,408,278</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49,408,278</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49,408,278</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9</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Pr>
          <w:p>
            <w:pPr>
              <w:spacing w:after="0"/>
              <w:rPr>
                <w:sz w:val="20"/>
                <w:szCs w:val="20"/>
                <w:color w:val="auto"/>
              </w:rPr>
            </w:pPr>
          </w:p>
        </w:tc>
        <w:tc>
          <w:tcPr>
            <w:tcW w:w="8000" w:type="dxa"/>
            <w:vAlign w:val="bottom"/>
          </w:tcPr>
          <w:p>
            <w:pPr>
              <w:ind w:left="276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KKR Management LLP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49,408,278</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49,408,278</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49,408,278</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40"/>
              <w:spacing w:after="0"/>
              <w:rPr>
                <w:sz w:val="20"/>
                <w:szCs w:val="20"/>
                <w:color w:val="auto"/>
              </w:rPr>
            </w:pPr>
            <w:r>
              <w:rPr>
                <w:rFonts w:ascii="Arial" w:cs="Arial" w:eastAsia="Arial" w:hAnsi="Arial"/>
                <w:sz w:val="14"/>
                <w:szCs w:val="14"/>
                <w:color w:val="auto"/>
              </w:rPr>
              <w:t>10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CUSIP No. 337738108</w:t>
            </w:r>
          </w:p>
        </w:tc>
        <w:tc>
          <w:tcPr>
            <w:tcW w:w="680" w:type="dxa"/>
            <w:vAlign w:val="bottom"/>
          </w:tcPr>
          <w:p>
            <w:pPr>
              <w:spacing w:after="0"/>
              <w:rPr>
                <w:sz w:val="20"/>
                <w:szCs w:val="20"/>
                <w:color w:val="auto"/>
              </w:rPr>
            </w:pPr>
          </w:p>
        </w:tc>
        <w:tc>
          <w:tcPr>
            <w:tcW w:w="8000" w:type="dxa"/>
            <w:vAlign w:val="bottom"/>
          </w:tcPr>
          <w:p>
            <w:pPr>
              <w:ind w:left="276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3"/>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w w:val="98"/>
              </w:rPr>
              <w:t>Henry R. Kravis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OO</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3"/>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49,408,278</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49,408,278</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49,408,278</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7.5%</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IN</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ind w:left="2840"/>
              <w:spacing w:after="0"/>
              <w:rPr>
                <w:sz w:val="20"/>
                <w:szCs w:val="20"/>
                <w:color w:val="auto"/>
              </w:rPr>
            </w:pPr>
            <w:r>
              <w:rPr>
                <w:rFonts w:ascii="Arial" w:cs="Arial" w:eastAsia="Arial" w:hAnsi="Arial"/>
                <w:sz w:val="14"/>
                <w:szCs w:val="14"/>
                <w:color w:val="auto"/>
              </w:rPr>
              <w:t>11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CUSIP No. 337738108</w:t>
            </w:r>
          </w:p>
        </w:tc>
        <w:tc>
          <w:tcPr>
            <w:tcW w:w="680" w:type="dxa"/>
            <w:vAlign w:val="bottom"/>
          </w:tcPr>
          <w:p>
            <w:pPr>
              <w:spacing w:after="0"/>
              <w:rPr>
                <w:sz w:val="20"/>
                <w:szCs w:val="20"/>
                <w:color w:val="auto"/>
              </w:rPr>
            </w:pPr>
          </w:p>
        </w:tc>
        <w:tc>
          <w:tcPr>
            <w:tcW w:w="8000" w:type="dxa"/>
            <w:vAlign w:val="bottom"/>
          </w:tcPr>
          <w:p>
            <w:pPr>
              <w:ind w:left="276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3"/>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3"/>
          </w:tcPr>
          <w:p>
            <w:pPr>
              <w:ind w:left="40"/>
              <w:spacing w:after="0"/>
              <w:rPr>
                <w:sz w:val="20"/>
                <w:szCs w:val="20"/>
                <w:color w:val="auto"/>
              </w:rPr>
            </w:pPr>
            <w:r>
              <w:rPr>
                <w:rFonts w:ascii="Arial" w:cs="Arial" w:eastAsia="Arial" w:hAnsi="Arial"/>
                <w:sz w:val="18"/>
                <w:szCs w:val="18"/>
                <w:color w:val="auto"/>
              </w:rPr>
              <w:t>George R. Roberts</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OO</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3"/>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49,408,278</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49,408,278</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49,408,278</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7.5%</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IN</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ind w:left="2840"/>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2"/>
          <w:szCs w:val="22"/>
          <w:color w:val="auto"/>
        </w:rPr>
        <w:t>Explanatory Note</w:t>
      </w:r>
    </w:p>
    <w:p>
      <w:pPr>
        <w:spacing w:after="0" w:line="234"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This Amendment No. 7 (“Amendment No. 7”) to Schedule 13D relates to the shares of common stock, par value $0.01 per share (the “Common Stock”), of Fiserv, Inc., a Wisconsin corporation (the “Issuer”), and amends the initial statement on Schedule 13D filed by the Reporting Persons on August 7, 2019, as amended by Amendment No. 1 to Schedule 13D filed on September 9, 2019, Amendment No. 2 to Schedule 13D filed on August 21, 2020, Amendment No. 3 to Schedule 13D filed on December 14, 2020, Amendment No. 4 to Schedule 13D filed on May 4, 2021, Amendment No. 5 filed on August 6, 2021 and Amendment No. 7 filed on October 15, 2021 (as amended, the “Schedule 13D”). Except as specifically provided herein, this Amendment No. 7 does not modify any of the information previously reported in the Schedule 13D. Capitalized terms used but not defined in this Amendment No. 7 shall have the same meanings herein as are ascribed to such terms in the Initial Statement.</w:t>
      </w:r>
    </w:p>
    <w:p>
      <w:pPr>
        <w:spacing w:after="0" w:line="184"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As previously disclosed in Amendment No. 5 to Schedule 13D, filed on August 6, 2021, New Omaha Holdings L.P. previously entered into a Rule 10b5-1 sales plan (the “10b5-1 Plan”). This Amendment No. 7 is being filed to update the Reporting Persons’ beneficial ownership of shares of Common Stock as a result of sales pursuant to such Rule 10b5-1 sales plan since the filing of Amendment No. 6 to Schedule 13D. Further information about the 10b5-1 Plan is set forth in Amendment No. 5 to Schedule 13D.</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This Amendment No. 7 is being filed by:</w:t>
      </w:r>
    </w:p>
    <w:p>
      <w:pPr>
        <w:spacing w:after="0" w:line="240" w:lineRule="exact"/>
        <w:rPr>
          <w:sz w:val="20"/>
          <w:szCs w:val="20"/>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Omaha Holdings L.P., a Delaware limited partnership;</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Omaha Holdings LLC, a Delaware limited liability company;</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2006 Fund L.P., a Delaware limited partnership;</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Associates 2006 L.P., a Delaware limited partnership;</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2006 GP LLC, a Delaware limited liability company;</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Group Partnership L.P., a Cayman Islands exempted limited partnership;</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Group Holdings Corp., a Delaware corporation;</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&amp; Co. Inc., a Delaware corporation;</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Management LLP, a Delaware limited liability partnership;</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Henry R. Kravis, a United States citizen; and</w:t>
      </w:r>
    </w:p>
    <w:p>
      <w:pPr>
        <w:spacing w:after="0" w:line="252" w:lineRule="exact"/>
        <w:rPr>
          <w:rFonts w:ascii="Arial" w:cs="Arial" w:eastAsia="Arial" w:hAnsi="Arial"/>
          <w:sz w:val="18"/>
          <w:szCs w:val="18"/>
          <w:color w:val="auto"/>
        </w:rPr>
      </w:pPr>
    </w:p>
    <w:p>
      <w:pPr>
        <w:ind w:left="820" w:right="500" w:hanging="488"/>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George R. Roberts, a United States citizen (the persons and entities listed in items (i) through (xi) are collectively referred to herein as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Item 2 of the Schedule 13D is hereby amended and supplemented as follows:</w:t>
      </w:r>
    </w:p>
    <w:p>
      <w:pPr>
        <w:spacing w:after="0" w:line="233" w:lineRule="exact"/>
        <w:rPr>
          <w:sz w:val="20"/>
          <w:szCs w:val="20"/>
          <w:color w:val="auto"/>
        </w:rPr>
      </w:pPr>
    </w:p>
    <w:p>
      <w:pPr>
        <w:ind w:left="740"/>
        <w:spacing w:after="0"/>
        <w:rPr>
          <w:sz w:val="20"/>
          <w:szCs w:val="20"/>
          <w:color w:val="auto"/>
        </w:rPr>
      </w:pPr>
      <w:r>
        <w:rPr>
          <w:rFonts w:ascii="Arial" w:cs="Arial" w:eastAsia="Arial" w:hAnsi="Arial"/>
          <w:sz w:val="19"/>
          <w:szCs w:val="19"/>
          <w:color w:val="auto"/>
        </w:rPr>
        <w:t>The information set forth in amended and restated Annex A hereto is incorporated by reference in this amended Item 2.</w:t>
      </w:r>
    </w:p>
    <w:p>
      <w:pPr>
        <w:spacing w:after="0" w:line="2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Items 5(a), (b) and (c) of the Schedule 13D are hereby amended and restated as follows:</w:t>
      </w:r>
    </w:p>
    <w:p>
      <w:pPr>
        <w:spacing w:after="0" w:line="233" w:lineRule="exact"/>
        <w:rPr>
          <w:sz w:val="20"/>
          <w:szCs w:val="20"/>
          <w:color w:val="auto"/>
        </w:rPr>
      </w:pPr>
    </w:p>
    <w:p>
      <w:pPr>
        <w:ind w:right="580" w:firstLine="729"/>
        <w:spacing w:after="0" w:line="250" w:lineRule="auto"/>
        <w:rPr>
          <w:sz w:val="20"/>
          <w:szCs w:val="20"/>
          <w:color w:val="auto"/>
        </w:rPr>
      </w:pPr>
      <w:r>
        <w:rPr>
          <w:rFonts w:ascii="Arial" w:cs="Arial" w:eastAsia="Arial" w:hAnsi="Arial"/>
          <w:sz w:val="22"/>
          <w:szCs w:val="22"/>
          <w:color w:val="auto"/>
        </w:rPr>
        <w:t>The information set forth in Item 2 and Annex A of this Schedule 13D and the cover pages of this Schedule 13D is hereby incorporated by reference into this Item 5.</w:t>
      </w:r>
    </w:p>
    <w:p>
      <w:pPr>
        <w:spacing w:after="0" w:line="202" w:lineRule="exact"/>
        <w:rPr>
          <w:sz w:val="20"/>
          <w:szCs w:val="20"/>
          <w:color w:val="auto"/>
        </w:rPr>
      </w:pPr>
    </w:p>
    <w:p>
      <w:pPr>
        <w:ind w:left="1040" w:hanging="303"/>
        <w:spacing w:after="0"/>
        <w:tabs>
          <w:tab w:leader="none" w:pos="1040" w:val="left"/>
        </w:tabs>
        <w:numPr>
          <w:ilvl w:val="0"/>
          <w:numId w:val="3"/>
        </w:numPr>
        <w:rPr>
          <w:rFonts w:ascii="Arial" w:cs="Arial" w:eastAsia="Arial" w:hAnsi="Arial"/>
          <w:sz w:val="19"/>
          <w:szCs w:val="19"/>
          <w:color w:val="auto"/>
        </w:rPr>
      </w:pPr>
      <w:r>
        <w:rPr>
          <w:rFonts w:ascii="Arial" w:cs="Arial" w:eastAsia="Arial" w:hAnsi="Arial"/>
          <w:sz w:val="19"/>
          <w:szCs w:val="19"/>
          <w:color w:val="auto"/>
        </w:rPr>
        <w:t>and (b). As of 4:30 p.m. Eastern on December 17, 2021, the Reporting Persons may be deemed to beneficially own</w:t>
      </w:r>
    </w:p>
    <w:p>
      <w:pPr>
        <w:spacing w:after="0" w:line="42" w:lineRule="exact"/>
        <w:rPr>
          <w:rFonts w:ascii="Arial" w:cs="Arial" w:eastAsia="Arial" w:hAnsi="Arial"/>
          <w:sz w:val="19"/>
          <w:szCs w:val="19"/>
          <w:color w:val="auto"/>
        </w:rPr>
      </w:pPr>
    </w:p>
    <w:p>
      <w:pPr>
        <w:ind w:right="320"/>
        <w:spacing w:after="0" w:line="236" w:lineRule="auto"/>
        <w:rPr>
          <w:rFonts w:ascii="Arial" w:cs="Arial" w:eastAsia="Arial" w:hAnsi="Arial"/>
          <w:sz w:val="19"/>
          <w:szCs w:val="19"/>
          <w:color w:val="auto"/>
        </w:rPr>
      </w:pPr>
      <w:r>
        <w:rPr>
          <w:rFonts w:ascii="Arial" w:cs="Arial" w:eastAsia="Arial" w:hAnsi="Arial"/>
          <w:sz w:val="22"/>
          <w:szCs w:val="22"/>
          <w:color w:val="auto"/>
        </w:rPr>
        <w:t>49,408,278 shares of Common Stock, which represents approximately 7.5% of the outstanding shares of the Issuer’s Common Stock.</w:t>
      </w:r>
    </w:p>
    <w:p>
      <w:pPr>
        <w:spacing w:after="0" w:line="213" w:lineRule="exact"/>
        <w:rPr>
          <w:sz w:val="20"/>
          <w:szCs w:val="20"/>
          <w:color w:val="auto"/>
        </w:rPr>
      </w:pPr>
    </w:p>
    <w:p>
      <w:pPr>
        <w:ind w:right="60" w:firstLine="729"/>
        <w:spacing w:after="0"/>
        <w:rPr>
          <w:sz w:val="20"/>
          <w:szCs w:val="20"/>
          <w:color w:val="auto"/>
        </w:rPr>
      </w:pPr>
      <w:r>
        <w:rPr>
          <w:rFonts w:ascii="Arial" w:cs="Arial" w:eastAsia="Arial" w:hAnsi="Arial"/>
          <w:sz w:val="22"/>
          <w:szCs w:val="22"/>
          <w:color w:val="auto"/>
        </w:rPr>
        <w:t>The percentage of beneficial ownership in this Schedule 13D is based on 660,231,928 shares of Common Stock outstanding as of October 22, 2021, as set forth in the Issuer’s Quarterly Report on Form 10-Q, filed by the Issuer on October 28, 2021.</w:t>
      </w:r>
    </w:p>
    <w:p>
      <w:pPr>
        <w:spacing w:after="0" w:line="213" w:lineRule="exact"/>
        <w:rPr>
          <w:sz w:val="20"/>
          <w:szCs w:val="20"/>
          <w:color w:val="auto"/>
        </w:rPr>
      </w:pPr>
    </w:p>
    <w:p>
      <w:pPr>
        <w:ind w:right="20" w:firstLine="729"/>
        <w:spacing w:after="0" w:line="246" w:lineRule="auto"/>
        <w:rPr>
          <w:sz w:val="20"/>
          <w:szCs w:val="20"/>
          <w:color w:val="auto"/>
        </w:rPr>
      </w:pPr>
      <w:r>
        <w:rPr>
          <w:rFonts w:ascii="Arial" w:cs="Arial" w:eastAsia="Arial" w:hAnsi="Arial"/>
          <w:sz w:val="21"/>
          <w:szCs w:val="21"/>
          <w:color w:val="auto"/>
        </w:rPr>
        <w:t>Each of New Omaha Holdings LLC (as the general partner of New Omaha Holdings L.P.), KKR 2006 Fund L.P. (as the sole member of New Omaha Holdings LLC), KKR Associates 2006 L.P. (as the general partner of KKR 2006 Fund L.P.), KKR 2006 GP LLC (as the general partner of KKR Associates 2006 L.P.), KKR Group Partnership L.P. (as the designated member of KKR 2006 GP LLC), KKR Group Holdings Corp. (as the general partner of KKR Group Partnership L.P.), KKR &amp; Co. Inc. (as the sole shareholder of KKR Group Holdings Corp.), KKR Management LLP (as the Series I preferred stockholder of KKR &amp; Co. Inc.), and Messrs. Kravis and Roberts (as the founding partners of KKR Management LLP) may be deemed to be the beneficial owner of the securities beneficially owned directly by New Omaha Holdings L.P., in each case, as described more fully in this Schedule 13D.</w:t>
      </w:r>
    </w:p>
    <w:p>
      <w:pPr>
        <w:spacing w:after="0" w:line="207" w:lineRule="exact"/>
        <w:rPr>
          <w:sz w:val="20"/>
          <w:szCs w:val="20"/>
          <w:color w:val="auto"/>
        </w:rPr>
      </w:pPr>
    </w:p>
    <w:p>
      <w:pPr>
        <w:ind w:right="80" w:firstLine="729"/>
        <w:spacing w:after="0" w:line="250" w:lineRule="auto"/>
        <w:rPr>
          <w:sz w:val="20"/>
          <w:szCs w:val="20"/>
          <w:color w:val="auto"/>
        </w:rPr>
      </w:pPr>
      <w:r>
        <w:rPr>
          <w:rFonts w:ascii="Arial" w:cs="Arial" w:eastAsia="Arial" w:hAnsi="Arial"/>
          <w:sz w:val="22"/>
          <w:szCs w:val="22"/>
          <w:color w:val="auto"/>
        </w:rPr>
        <w:t>The filing of this Schedule 13D shall not be construed as an admission that any of the above-listed entities or individuals is the beneficial owner of any securities covered by this Schedule 13D.</w:t>
      </w:r>
    </w:p>
    <w:p>
      <w:pPr>
        <w:spacing w:after="0" w:line="202" w:lineRule="exact"/>
        <w:rPr>
          <w:sz w:val="20"/>
          <w:szCs w:val="20"/>
          <w:color w:val="auto"/>
        </w:rPr>
      </w:pPr>
    </w:p>
    <w:p>
      <w:pPr>
        <w:ind w:right="20" w:firstLine="729"/>
        <w:spacing w:after="0" w:line="250" w:lineRule="auto"/>
        <w:rPr>
          <w:sz w:val="20"/>
          <w:szCs w:val="20"/>
          <w:color w:val="auto"/>
        </w:rPr>
      </w:pPr>
      <w:r>
        <w:rPr>
          <w:rFonts w:ascii="Arial" w:cs="Arial" w:eastAsia="Arial" w:hAnsi="Arial"/>
          <w:sz w:val="22"/>
          <w:szCs w:val="22"/>
          <w:color w:val="auto"/>
        </w:rPr>
        <w:t>To the best knowledge of the Reporting Persons, none of the individuals named in Item 2 beneficially owns any shares of Common Stock except as described in the Schedule 13D.</w:t>
      </w:r>
    </w:p>
    <w:p>
      <w:pPr>
        <w:spacing w:after="0" w:line="202" w:lineRule="exact"/>
        <w:rPr>
          <w:sz w:val="20"/>
          <w:szCs w:val="20"/>
          <w:color w:val="auto"/>
        </w:rPr>
      </w:pPr>
    </w:p>
    <w:p>
      <w:pPr>
        <w:ind w:firstLine="737"/>
        <w:spacing w:after="0" w:line="238" w:lineRule="auto"/>
        <w:tabs>
          <w:tab w:leader="none" w:pos="1023" w:val="left"/>
        </w:tabs>
        <w:numPr>
          <w:ilvl w:val="0"/>
          <w:numId w:val="4"/>
        </w:numPr>
        <w:rPr>
          <w:rFonts w:ascii="Arial" w:cs="Arial" w:eastAsia="Arial" w:hAnsi="Arial"/>
          <w:sz w:val="22"/>
          <w:szCs w:val="22"/>
          <w:color w:val="auto"/>
        </w:rPr>
      </w:pPr>
      <w:r>
        <w:rPr>
          <w:rFonts w:ascii="Arial" w:cs="Arial" w:eastAsia="Arial" w:hAnsi="Arial"/>
          <w:sz w:val="22"/>
          <w:szCs w:val="22"/>
          <w:color w:val="auto"/>
        </w:rPr>
        <w:t>Except as set forth on Schedule 1 of this Schedule 13D, which presents information as of 4:30 p.m. Eastern on December 17, 2021, none of the Reporting Persons, or, to the best knowledge of the Reporting Persons, any other individual named in Item 2 has engaged in any transaction in any shares of Common Stock since the filing of Amendment No. 6 to Schedule 13D.</w:t>
      </w:r>
    </w:p>
    <w:p>
      <w:pPr>
        <w:spacing w:after="0" w:line="21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Item 6 of the Schedule 13D is hereby amended and supplemented as follows: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disclosure under caption “Loan Facility” in Item 6 of the Schedule 13D is hereby amended and supplemented as follows:</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Loan Facility</w:t>
      </w:r>
    </w:p>
    <w:p>
      <w:pPr>
        <w:spacing w:after="0" w:line="233"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As previously disclosed, on September 9, 2019, New Omaha Holdings L.P. (“New Omaha”) entered into a Loan Agreement (the “Loan Agreement”) with Citibank, N.A., as administrative agent and lender, and the lenders party thereto from time to time (each, a “Lender”). New Omaha has fully repaid the loans under the Loan Agreement and there are no longer any shares of Common Stock pledged as collateral to secure payments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right="820" w:firstLine="583"/>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Arial" w:cs="Arial" w:eastAsia="Arial" w:hAnsi="Arial"/>
                <w:sz w:val="18"/>
                <w:szCs w:val="18"/>
                <w:color w:val="auto"/>
              </w:rPr>
              <w:t>Dated: December 20, 2021</w:t>
            </w:r>
          </w:p>
        </w:tc>
        <w:tc>
          <w:tcPr>
            <w:tcW w:w="7260" w:type="dxa"/>
            <w:vAlign w:val="bottom"/>
            <w:gridSpan w:val="3"/>
          </w:tcPr>
          <w:p>
            <w:pPr>
              <w:ind w:left="2040"/>
              <w:spacing w:after="0"/>
              <w:rPr>
                <w:sz w:val="20"/>
                <w:szCs w:val="20"/>
                <w:color w:val="auto"/>
              </w:rPr>
            </w:pPr>
            <w:r>
              <w:rPr>
                <w:rFonts w:ascii="Arial" w:cs="Arial" w:eastAsia="Arial" w:hAnsi="Arial"/>
                <w:sz w:val="18"/>
                <w:szCs w:val="18"/>
                <w:b w:val="1"/>
                <w:bCs w:val="1"/>
                <w:color w:val="auto"/>
              </w:rPr>
              <w:t>NEW OMAHA HOLDINGS L.P.</w:t>
            </w:r>
          </w:p>
        </w:tc>
      </w:tr>
      <w:tr>
        <w:trPr>
          <w:trHeight w:val="432"/>
        </w:trPr>
        <w:tc>
          <w:tcPr>
            <w:tcW w:w="3980" w:type="dxa"/>
            <w:vAlign w:val="bottom"/>
          </w:tcPr>
          <w:p>
            <w:pPr>
              <w:spacing w:after="0"/>
              <w:rPr>
                <w:sz w:val="24"/>
                <w:szCs w:val="24"/>
                <w:color w:val="auto"/>
              </w:rPr>
            </w:pPr>
          </w:p>
        </w:tc>
        <w:tc>
          <w:tcPr>
            <w:tcW w:w="2440" w:type="dxa"/>
            <w:vAlign w:val="bottom"/>
          </w:tcPr>
          <w:p>
            <w:pPr>
              <w:ind w:left="204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New Omaha Holdings LLC, its general partner</w:t>
            </w:r>
          </w:p>
        </w:tc>
      </w:tr>
      <w:tr>
        <w:trPr>
          <w:trHeight w:val="439"/>
        </w:trPr>
        <w:tc>
          <w:tcPr>
            <w:tcW w:w="3980" w:type="dxa"/>
            <w:vAlign w:val="bottom"/>
          </w:tcPr>
          <w:p>
            <w:pPr>
              <w:spacing w:after="0"/>
              <w:rPr>
                <w:sz w:val="24"/>
                <w:szCs w:val="24"/>
                <w:color w:val="auto"/>
              </w:rPr>
            </w:pPr>
          </w:p>
        </w:tc>
        <w:tc>
          <w:tcPr>
            <w:tcW w:w="2440" w:type="dxa"/>
            <w:vAlign w:val="bottom"/>
          </w:tcPr>
          <w:p>
            <w:pPr>
              <w:ind w:left="204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Lee</w:t>
            </w:r>
          </w:p>
        </w:tc>
      </w:tr>
      <w:tr>
        <w:trPr>
          <w:trHeight w:val="202"/>
        </w:trPr>
        <w:tc>
          <w:tcPr>
            <w:tcW w:w="39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240" w:type="dxa"/>
            <w:vAlign w:val="bottom"/>
          </w:tcPr>
          <w:p>
            <w:pPr>
              <w:ind w:left="100"/>
              <w:spacing w:after="0" w:line="201" w:lineRule="exact"/>
              <w:rPr>
                <w:sz w:val="20"/>
                <w:szCs w:val="20"/>
                <w:color w:val="auto"/>
              </w:rPr>
            </w:pPr>
            <w:r>
              <w:rPr>
                <w:rFonts w:ascii="Arial" w:cs="Arial" w:eastAsia="Arial" w:hAnsi="Arial"/>
                <w:sz w:val="18"/>
                <w:szCs w:val="18"/>
                <w:color w:val="auto"/>
              </w:rPr>
              <w:t>Christopher Lee</w:t>
            </w:r>
          </w:p>
        </w:tc>
      </w:tr>
      <w:tr>
        <w:trPr>
          <w:trHeight w:val="230"/>
        </w:trPr>
        <w:tc>
          <w:tcPr>
            <w:tcW w:w="39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00"/>
              <w:spacing w:after="0"/>
              <w:rPr>
                <w:sz w:val="20"/>
                <w:szCs w:val="20"/>
                <w:color w:val="auto"/>
              </w:rPr>
            </w:pPr>
            <w:r>
              <w:rPr>
                <w:rFonts w:ascii="Arial" w:cs="Arial" w:eastAsia="Arial" w:hAnsi="Arial"/>
                <w:sz w:val="18"/>
                <w:szCs w:val="18"/>
                <w:color w:val="auto"/>
              </w:rPr>
              <w:t>Attorney-in-fact for Scott C. Nuttall, President</w:t>
            </w:r>
          </w:p>
        </w:tc>
      </w:tr>
    </w:tbl>
    <w:p>
      <w:pPr>
        <w:spacing w:after="0" w:line="225"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NEW OMAHA HOLDINGS LLC</w:t>
      </w:r>
    </w:p>
    <w:p>
      <w:pPr>
        <w:spacing w:after="0" w:line="229" w:lineRule="exact"/>
        <w:rPr>
          <w:sz w:val="20"/>
          <w:szCs w:val="20"/>
          <w:color w:val="auto"/>
        </w:rPr>
      </w:pPr>
    </w:p>
    <w:p>
      <w:pPr>
        <w:ind w:left="602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Lee</w:t>
      </w:r>
    </w:p>
    <w:p>
      <w:pPr>
        <w:spacing w:after="0" w:line="23" w:lineRule="exact"/>
        <w:rPr>
          <w:sz w:val="20"/>
          <w:szCs w:val="20"/>
          <w:color w:val="auto"/>
        </w:rPr>
      </w:pPr>
    </w:p>
    <w:tbl>
      <w:tblPr>
        <w:tblLayout w:type="fixed"/>
        <w:tblInd w:w="642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2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Christopher Lee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00"/>
              <w:spacing w:after="0"/>
              <w:rPr>
                <w:sz w:val="20"/>
                <w:szCs w:val="20"/>
                <w:color w:val="auto"/>
              </w:rPr>
            </w:pPr>
            <w:r>
              <w:rPr>
                <w:rFonts w:ascii="Arial" w:cs="Arial" w:eastAsia="Arial" w:hAnsi="Arial"/>
                <w:sz w:val="18"/>
                <w:szCs w:val="18"/>
                <w:color w:val="auto"/>
              </w:rPr>
              <w:t>Attorney-in-fact for Scott C. Nuttall, President</w:t>
            </w:r>
          </w:p>
        </w:tc>
      </w:tr>
    </w:tbl>
    <w:p>
      <w:pPr>
        <w:spacing w:after="0" w:line="225"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KKR 2006 FUND L.P.</w:t>
      </w:r>
    </w:p>
    <w:p>
      <w:pPr>
        <w:spacing w:after="0" w:line="229" w:lineRule="exact"/>
        <w:rPr>
          <w:sz w:val="20"/>
          <w:szCs w:val="20"/>
          <w:color w:val="auto"/>
        </w:rPr>
      </w:pPr>
    </w:p>
    <w:p>
      <w:pPr>
        <w:ind w:left="602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KKR Associates 2006 L.P., its general partner</w:t>
      </w:r>
    </w:p>
    <w:p>
      <w:pPr>
        <w:spacing w:after="0" w:line="225" w:lineRule="exact"/>
        <w:rPr>
          <w:sz w:val="20"/>
          <w:szCs w:val="20"/>
          <w:color w:val="auto"/>
        </w:rPr>
      </w:pPr>
    </w:p>
    <w:p>
      <w:pPr>
        <w:ind w:left="602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KKR 2006 GP LLC, its general partner</w:t>
      </w:r>
    </w:p>
    <w:p>
      <w:pPr>
        <w:spacing w:after="0" w:line="225" w:lineRule="exact"/>
        <w:rPr>
          <w:sz w:val="20"/>
          <w:szCs w:val="20"/>
          <w:color w:val="auto"/>
        </w:rPr>
      </w:pPr>
    </w:p>
    <w:p>
      <w:pPr>
        <w:ind w:left="602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16" w:lineRule="exact"/>
        <w:rPr>
          <w:sz w:val="20"/>
          <w:szCs w:val="20"/>
          <w:color w:val="auto"/>
        </w:rPr>
      </w:pPr>
    </w:p>
    <w:p>
      <w:pPr>
        <w:ind w:left="6420"/>
        <w:spacing w:after="0"/>
        <w:tabs>
          <w:tab w:leader="none" w:pos="7080" w:val="left"/>
        </w:tabs>
        <w:rPr>
          <w:sz w:val="20"/>
          <w:szCs w:val="20"/>
          <w:color w:val="auto"/>
        </w:rPr>
      </w:pPr>
      <w:r>
        <w:rPr>
          <w:rFonts w:ascii="Arial" w:cs="Arial" w:eastAsia="Arial" w:hAnsi="Arial"/>
          <w:sz w:val="18"/>
          <w:szCs w:val="18"/>
          <w:color w:val="auto"/>
        </w:rPr>
        <w:t>Name:</w:t>
        <w:tab/>
        <w:t>Christopher Lee</w:t>
      </w:r>
    </w:p>
    <w:p>
      <w:pPr>
        <w:spacing w:after="0" w:line="23" w:lineRule="exact"/>
        <w:rPr>
          <w:sz w:val="20"/>
          <w:szCs w:val="20"/>
          <w:color w:val="auto"/>
        </w:rPr>
      </w:pPr>
    </w:p>
    <w:p>
      <w:pPr>
        <w:ind w:left="642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 for</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Robert H. Lewin, Chief Financial Officer</w:t>
      </w:r>
    </w:p>
    <w:p>
      <w:pPr>
        <w:spacing w:after="0" w:line="234"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KKR ASSOCIATES 2006 L.P.</w:t>
      </w:r>
    </w:p>
    <w:p>
      <w:pPr>
        <w:spacing w:after="0" w:line="229" w:lineRule="exact"/>
        <w:rPr>
          <w:sz w:val="20"/>
          <w:szCs w:val="20"/>
          <w:color w:val="auto"/>
        </w:rPr>
      </w:pPr>
    </w:p>
    <w:p>
      <w:pPr>
        <w:ind w:left="602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KKR 2006 GP LLC, its general partner</w:t>
      </w:r>
    </w:p>
    <w:p>
      <w:pPr>
        <w:spacing w:after="0" w:line="225" w:lineRule="exact"/>
        <w:rPr>
          <w:sz w:val="20"/>
          <w:szCs w:val="20"/>
          <w:color w:val="auto"/>
        </w:rPr>
      </w:pPr>
    </w:p>
    <w:p>
      <w:pPr>
        <w:ind w:left="602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16" w:lineRule="exact"/>
        <w:rPr>
          <w:sz w:val="20"/>
          <w:szCs w:val="20"/>
          <w:color w:val="auto"/>
        </w:rPr>
      </w:pPr>
    </w:p>
    <w:p>
      <w:pPr>
        <w:ind w:left="6420"/>
        <w:spacing w:after="0"/>
        <w:tabs>
          <w:tab w:leader="none" w:pos="7080" w:val="left"/>
        </w:tabs>
        <w:rPr>
          <w:sz w:val="20"/>
          <w:szCs w:val="20"/>
          <w:color w:val="auto"/>
        </w:rPr>
      </w:pPr>
      <w:r>
        <w:rPr>
          <w:rFonts w:ascii="Arial" w:cs="Arial" w:eastAsia="Arial" w:hAnsi="Arial"/>
          <w:sz w:val="18"/>
          <w:szCs w:val="18"/>
          <w:color w:val="auto"/>
        </w:rPr>
        <w:t>Name:</w:t>
        <w:tab/>
        <w:t>Christopher Lee</w:t>
      </w:r>
    </w:p>
    <w:p>
      <w:pPr>
        <w:spacing w:after="0" w:line="23" w:lineRule="exact"/>
        <w:rPr>
          <w:sz w:val="20"/>
          <w:szCs w:val="20"/>
          <w:color w:val="auto"/>
        </w:rPr>
      </w:pPr>
    </w:p>
    <w:p>
      <w:pPr>
        <w:ind w:left="642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 for</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Robert H. Lewin, Chief Financial Officer</w:t>
      </w:r>
    </w:p>
    <w:p>
      <w:pPr>
        <w:spacing w:after="0" w:line="234"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KKR 2006 GP LLC</w:t>
      </w:r>
    </w:p>
    <w:p>
      <w:pPr>
        <w:spacing w:after="0" w:line="229" w:lineRule="exact"/>
        <w:rPr>
          <w:sz w:val="20"/>
          <w:szCs w:val="20"/>
          <w:color w:val="auto"/>
        </w:rPr>
      </w:pPr>
    </w:p>
    <w:p>
      <w:pPr>
        <w:ind w:left="602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16" w:lineRule="exact"/>
        <w:rPr>
          <w:sz w:val="20"/>
          <w:szCs w:val="20"/>
          <w:color w:val="auto"/>
        </w:rPr>
      </w:pPr>
    </w:p>
    <w:p>
      <w:pPr>
        <w:ind w:left="6420"/>
        <w:spacing w:after="0"/>
        <w:tabs>
          <w:tab w:leader="none" w:pos="7080" w:val="left"/>
        </w:tabs>
        <w:rPr>
          <w:sz w:val="20"/>
          <w:szCs w:val="20"/>
          <w:color w:val="auto"/>
        </w:rPr>
      </w:pPr>
      <w:r>
        <w:rPr>
          <w:rFonts w:ascii="Arial" w:cs="Arial" w:eastAsia="Arial" w:hAnsi="Arial"/>
          <w:sz w:val="18"/>
          <w:szCs w:val="18"/>
          <w:color w:val="auto"/>
        </w:rPr>
        <w:t>Name:</w:t>
        <w:tab/>
        <w:t>Christopher Lee</w:t>
      </w:r>
    </w:p>
    <w:p>
      <w:pPr>
        <w:spacing w:after="0" w:line="23" w:lineRule="exact"/>
        <w:rPr>
          <w:sz w:val="20"/>
          <w:szCs w:val="20"/>
          <w:color w:val="auto"/>
        </w:rPr>
      </w:pPr>
    </w:p>
    <w:p>
      <w:pPr>
        <w:ind w:left="642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 for</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Robert H. Lewin, Chief Financial Officer</w:t>
      </w:r>
    </w:p>
    <w:p>
      <w:pPr>
        <w:spacing w:after="0" w:line="234"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KKR GROUP PARTNERSHIP L.P.</w:t>
      </w:r>
    </w:p>
    <w:p>
      <w:pPr>
        <w:spacing w:after="0" w:line="229" w:lineRule="exact"/>
        <w:rPr>
          <w:sz w:val="20"/>
          <w:szCs w:val="20"/>
          <w:color w:val="auto"/>
        </w:rPr>
      </w:pPr>
    </w:p>
    <w:p>
      <w:pPr>
        <w:ind w:left="602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KKR Group Holdings Corp., general partner</w:t>
      </w:r>
    </w:p>
    <w:p>
      <w:pPr>
        <w:spacing w:after="0" w:line="225" w:lineRule="exact"/>
        <w:rPr>
          <w:sz w:val="20"/>
          <w:szCs w:val="20"/>
          <w:color w:val="auto"/>
        </w:rPr>
      </w:pPr>
    </w:p>
    <w:p>
      <w:pPr>
        <w:ind w:left="602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16" w:lineRule="exact"/>
        <w:rPr>
          <w:sz w:val="20"/>
          <w:szCs w:val="20"/>
          <w:color w:val="auto"/>
        </w:rPr>
      </w:pPr>
    </w:p>
    <w:p>
      <w:pPr>
        <w:ind w:left="6420"/>
        <w:spacing w:after="0"/>
        <w:tabs>
          <w:tab w:leader="none" w:pos="7080" w:val="left"/>
        </w:tabs>
        <w:rPr>
          <w:sz w:val="20"/>
          <w:szCs w:val="20"/>
          <w:color w:val="auto"/>
        </w:rPr>
      </w:pPr>
      <w:r>
        <w:rPr>
          <w:rFonts w:ascii="Arial" w:cs="Arial" w:eastAsia="Arial" w:hAnsi="Arial"/>
          <w:sz w:val="18"/>
          <w:szCs w:val="18"/>
          <w:color w:val="auto"/>
        </w:rPr>
        <w:t>Name:</w:t>
        <w:tab/>
        <w:t>Christopher Lee</w:t>
      </w:r>
    </w:p>
    <w:p>
      <w:pPr>
        <w:spacing w:after="0" w:line="23" w:lineRule="exact"/>
        <w:rPr>
          <w:sz w:val="20"/>
          <w:szCs w:val="20"/>
          <w:color w:val="auto"/>
        </w:rPr>
      </w:pPr>
    </w:p>
    <w:p>
      <w:pPr>
        <w:ind w:left="642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 for</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Robert H. Lewin,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ind w:left="4900"/>
        <w:spacing w:after="0"/>
        <w:rPr>
          <w:sz w:val="20"/>
          <w:szCs w:val="20"/>
          <w:color w:val="auto"/>
        </w:rPr>
      </w:pPr>
      <w:r>
        <w:rPr>
          <w:rFonts w:ascii="Arial" w:cs="Arial" w:eastAsia="Arial" w:hAnsi="Arial"/>
          <w:sz w:val="18"/>
          <w:szCs w:val="18"/>
          <w:b w:val="1"/>
          <w:bCs w:val="1"/>
          <w:color w:val="auto"/>
        </w:rPr>
        <w:t>KKR GROUP HOLDINGS CORP.</w:t>
      </w:r>
    </w:p>
    <w:p>
      <w:pPr>
        <w:spacing w:after="0" w:line="229"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0600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16" w:lineRule="exact"/>
        <w:rPr>
          <w:sz w:val="20"/>
          <w:szCs w:val="20"/>
          <w:color w:val="auto"/>
        </w:rPr>
      </w:pPr>
    </w:p>
    <w:p>
      <w:pPr>
        <w:ind w:left="5300"/>
        <w:spacing w:after="0"/>
        <w:tabs>
          <w:tab w:leader="none" w:pos="5960" w:val="left"/>
        </w:tabs>
        <w:rPr>
          <w:sz w:val="20"/>
          <w:szCs w:val="20"/>
          <w:color w:val="auto"/>
        </w:rPr>
      </w:pPr>
      <w:r>
        <w:rPr>
          <w:rFonts w:ascii="Arial" w:cs="Arial" w:eastAsia="Arial" w:hAnsi="Arial"/>
          <w:sz w:val="18"/>
          <w:szCs w:val="18"/>
          <w:color w:val="auto"/>
        </w:rPr>
        <w:t>Name:</w:t>
        <w:tab/>
        <w:t>Christopher Lee</w:t>
      </w:r>
    </w:p>
    <w:p>
      <w:pPr>
        <w:spacing w:after="0" w:line="23" w:lineRule="exact"/>
        <w:rPr>
          <w:sz w:val="20"/>
          <w:szCs w:val="20"/>
          <w:color w:val="auto"/>
        </w:rPr>
      </w:pPr>
    </w:p>
    <w:p>
      <w:pPr>
        <w:ind w:left="530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 for</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Robert H. Lewin, Chief Financial Officer</w:t>
      </w:r>
    </w:p>
    <w:p>
      <w:pPr>
        <w:spacing w:after="0" w:line="25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KKR &amp; CO. INC.</w:t>
      </w:r>
    </w:p>
    <w:p>
      <w:pPr>
        <w:spacing w:after="0" w:line="229"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0600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16" w:lineRule="exact"/>
        <w:rPr>
          <w:sz w:val="20"/>
          <w:szCs w:val="20"/>
          <w:color w:val="auto"/>
        </w:rPr>
      </w:pPr>
    </w:p>
    <w:p>
      <w:pPr>
        <w:ind w:left="5300"/>
        <w:spacing w:after="0"/>
        <w:tabs>
          <w:tab w:leader="none" w:pos="5960" w:val="left"/>
        </w:tabs>
        <w:rPr>
          <w:sz w:val="20"/>
          <w:szCs w:val="20"/>
          <w:color w:val="auto"/>
        </w:rPr>
      </w:pPr>
      <w:r>
        <w:rPr>
          <w:rFonts w:ascii="Arial" w:cs="Arial" w:eastAsia="Arial" w:hAnsi="Arial"/>
          <w:sz w:val="18"/>
          <w:szCs w:val="18"/>
          <w:color w:val="auto"/>
        </w:rPr>
        <w:t>Name:</w:t>
        <w:tab/>
        <w:t>Christopher Lee</w:t>
      </w:r>
    </w:p>
    <w:p>
      <w:pPr>
        <w:spacing w:after="0" w:line="23" w:lineRule="exact"/>
        <w:rPr>
          <w:sz w:val="20"/>
          <w:szCs w:val="20"/>
          <w:color w:val="auto"/>
        </w:rPr>
      </w:pPr>
    </w:p>
    <w:p>
      <w:pPr>
        <w:ind w:left="530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 for</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Robert H. Lewin, Chief Financial Officer</w:t>
      </w:r>
    </w:p>
    <w:p>
      <w:pPr>
        <w:spacing w:after="0" w:line="25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KKR MANAGEMENT LLP</w:t>
      </w:r>
    </w:p>
    <w:p>
      <w:pPr>
        <w:spacing w:after="0" w:line="229"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0600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16" w:lineRule="exact"/>
        <w:rPr>
          <w:sz w:val="20"/>
          <w:szCs w:val="20"/>
          <w:color w:val="auto"/>
        </w:rPr>
      </w:pPr>
    </w:p>
    <w:p>
      <w:pPr>
        <w:ind w:left="5300"/>
        <w:spacing w:after="0"/>
        <w:tabs>
          <w:tab w:leader="none" w:pos="5960" w:val="left"/>
        </w:tabs>
        <w:rPr>
          <w:sz w:val="20"/>
          <w:szCs w:val="20"/>
          <w:color w:val="auto"/>
        </w:rPr>
      </w:pPr>
      <w:r>
        <w:rPr>
          <w:rFonts w:ascii="Arial" w:cs="Arial" w:eastAsia="Arial" w:hAnsi="Arial"/>
          <w:sz w:val="18"/>
          <w:szCs w:val="18"/>
          <w:color w:val="auto"/>
        </w:rPr>
        <w:t>Name:</w:t>
        <w:tab/>
        <w:t>Christopher Lee</w:t>
      </w:r>
    </w:p>
    <w:p>
      <w:pPr>
        <w:spacing w:after="0" w:line="23" w:lineRule="exact"/>
        <w:rPr>
          <w:sz w:val="20"/>
          <w:szCs w:val="20"/>
          <w:color w:val="auto"/>
        </w:rPr>
      </w:pPr>
    </w:p>
    <w:p>
      <w:pPr>
        <w:ind w:left="530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 for</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Robert H. Lewin, Chief Financial Officer</w:t>
      </w:r>
    </w:p>
    <w:p>
      <w:pPr>
        <w:spacing w:after="0" w:line="25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HENRY R. KRAVIS</w:t>
      </w:r>
    </w:p>
    <w:p>
      <w:pPr>
        <w:spacing w:after="0" w:line="229"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0600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16" w:lineRule="exact"/>
        <w:rPr>
          <w:sz w:val="20"/>
          <w:szCs w:val="20"/>
          <w:color w:val="auto"/>
        </w:rPr>
      </w:pPr>
    </w:p>
    <w:p>
      <w:pPr>
        <w:ind w:left="5300"/>
        <w:spacing w:after="0"/>
        <w:tabs>
          <w:tab w:leader="none" w:pos="5960" w:val="left"/>
        </w:tabs>
        <w:rPr>
          <w:sz w:val="20"/>
          <w:szCs w:val="20"/>
          <w:color w:val="auto"/>
        </w:rPr>
      </w:pPr>
      <w:r>
        <w:rPr>
          <w:rFonts w:ascii="Arial" w:cs="Arial" w:eastAsia="Arial" w:hAnsi="Arial"/>
          <w:sz w:val="18"/>
          <w:szCs w:val="18"/>
          <w:color w:val="auto"/>
        </w:rPr>
        <w:t>Name:</w:t>
        <w:tab/>
        <w:t>Christopher Lee</w:t>
      </w:r>
    </w:p>
    <w:p>
      <w:pPr>
        <w:spacing w:after="0" w:line="23" w:lineRule="exact"/>
        <w:rPr>
          <w:sz w:val="20"/>
          <w:szCs w:val="20"/>
          <w:color w:val="auto"/>
        </w:rPr>
      </w:pPr>
    </w:p>
    <w:p>
      <w:pPr>
        <w:ind w:left="530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34"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GEORGE R. ROBERTS</w:t>
      </w:r>
    </w:p>
    <w:p>
      <w:pPr>
        <w:spacing w:after="0" w:line="229"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0600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16" w:lineRule="exact"/>
        <w:rPr>
          <w:sz w:val="20"/>
          <w:szCs w:val="20"/>
          <w:color w:val="auto"/>
        </w:rPr>
      </w:pPr>
    </w:p>
    <w:p>
      <w:pPr>
        <w:ind w:left="5300"/>
        <w:spacing w:after="0"/>
        <w:tabs>
          <w:tab w:leader="none" w:pos="5960" w:val="left"/>
        </w:tabs>
        <w:rPr>
          <w:sz w:val="20"/>
          <w:szCs w:val="20"/>
          <w:color w:val="auto"/>
        </w:rPr>
      </w:pPr>
      <w:r>
        <w:rPr>
          <w:rFonts w:ascii="Arial" w:cs="Arial" w:eastAsia="Arial" w:hAnsi="Arial"/>
          <w:sz w:val="18"/>
          <w:szCs w:val="18"/>
          <w:color w:val="auto"/>
        </w:rPr>
        <w:t>Name:</w:t>
        <w:tab/>
        <w:t>Christopher Lee</w:t>
      </w:r>
    </w:p>
    <w:p>
      <w:pPr>
        <w:spacing w:after="0" w:line="23" w:lineRule="exact"/>
        <w:rPr>
          <w:sz w:val="20"/>
          <w:szCs w:val="20"/>
          <w:color w:val="auto"/>
        </w:rPr>
      </w:pPr>
    </w:p>
    <w:p>
      <w:pPr>
        <w:ind w:left="530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u w:val="single" w:color="auto"/>
          <w:color w:val="auto"/>
        </w:rPr>
        <w:t>Schedule 1</w:t>
      </w:r>
    </w:p>
    <w:p>
      <w:pPr>
        <w:spacing w:after="0" w:line="234"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Transactions since the filing of Amendment No. 6 to Schedule 13D, all of which were open market sales of Common Stock by New Omaha Holdings L.P. pursuant to the 10b5-1 Plan.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4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4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7"/>
              </w:rPr>
              <w:t>Avg.</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8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w:t>
            </w:r>
          </w:p>
        </w:tc>
        <w:tc>
          <w:tcPr>
            <w:tcW w:w="134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Price Per</w:t>
            </w:r>
          </w:p>
        </w:tc>
        <w:tc>
          <w:tcPr>
            <w:tcW w:w="440" w:type="dxa"/>
            <w:vAlign w:val="bottom"/>
          </w:tcPr>
          <w:p>
            <w:pPr>
              <w:spacing w:after="0"/>
              <w:rPr>
                <w:sz w:val="18"/>
                <w:szCs w:val="18"/>
                <w:color w:val="auto"/>
              </w:rPr>
            </w:pPr>
          </w:p>
        </w:tc>
        <w:tc>
          <w:tcPr>
            <w:tcW w:w="1480" w:type="dxa"/>
            <w:vAlign w:val="bottom"/>
            <w:gridSpan w:val="4"/>
          </w:tcPr>
          <w:p>
            <w:pPr>
              <w:ind w:left="420"/>
              <w:spacing w:after="0"/>
              <w:rPr>
                <w:sz w:val="20"/>
                <w:szCs w:val="20"/>
                <w:color w:val="auto"/>
              </w:rPr>
            </w:pPr>
            <w:r>
              <w:rPr>
                <w:rFonts w:ascii="Arial" w:cs="Arial" w:eastAsia="Arial" w:hAnsi="Arial"/>
                <w:sz w:val="18"/>
                <w:szCs w:val="18"/>
                <w:b w:val="1"/>
                <w:bCs w:val="1"/>
                <w:color w:val="auto"/>
                <w:w w:val="99"/>
              </w:rPr>
              <w:t>Price Range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1"/>
        </w:trPr>
        <w:tc>
          <w:tcPr>
            <w:tcW w:w="1140" w:type="dxa"/>
            <w:vAlign w:val="bottom"/>
          </w:tcPr>
          <w:p>
            <w:pPr>
              <w:spacing w:after="0"/>
              <w:rPr>
                <w:sz w:val="20"/>
                <w:szCs w:val="20"/>
                <w:color w:val="auto"/>
              </w:rPr>
            </w:pPr>
          </w:p>
        </w:tc>
        <w:tc>
          <w:tcPr>
            <w:tcW w:w="2960" w:type="dxa"/>
            <w:vAlign w:val="bottom"/>
            <w:tcBorders>
              <w:bottom w:val="single" w:sz="8" w:color="auto"/>
            </w:tcBorders>
          </w:tcPr>
          <w:p>
            <w:pPr>
              <w:ind w:left="1600"/>
              <w:spacing w:after="0"/>
              <w:rPr>
                <w:sz w:val="20"/>
                <w:szCs w:val="20"/>
                <w:color w:val="auto"/>
              </w:rPr>
            </w:pPr>
            <w:r>
              <w:rPr>
                <w:rFonts w:ascii="Arial" w:cs="Arial" w:eastAsia="Arial" w:hAnsi="Arial"/>
                <w:sz w:val="18"/>
                <w:szCs w:val="18"/>
                <w:b w:val="1"/>
                <w:bCs w:val="1"/>
                <w:color w:val="auto"/>
              </w:rPr>
              <w:t>Date</w:t>
            </w:r>
          </w:p>
        </w:tc>
        <w:tc>
          <w:tcPr>
            <w:tcW w:w="1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Shares Sold</w:t>
            </w:r>
          </w:p>
        </w:tc>
        <w:tc>
          <w:tcPr>
            <w:tcW w:w="134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Share</w:t>
            </w: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w w:val="92"/>
              </w:rPr>
              <w:t>Per Share</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Low</w:t>
            </w: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296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0"/>
              </w:rPr>
              <w:t>10/15/2021</w:t>
            </w:r>
          </w:p>
        </w:tc>
        <w:tc>
          <w:tcPr>
            <w:tcW w:w="1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22,400</w:t>
            </w:r>
          </w:p>
        </w:tc>
        <w:tc>
          <w:tcPr>
            <w:tcW w:w="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108.91</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108.310</w:t>
            </w: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109.300</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tcPr>
          <w:p>
            <w:pPr>
              <w:jc w:val="center"/>
              <w:ind w:left="530"/>
              <w:spacing w:after="0"/>
              <w:rPr>
                <w:sz w:val="20"/>
                <w:szCs w:val="20"/>
                <w:color w:val="auto"/>
              </w:rPr>
            </w:pPr>
            <w:r>
              <w:rPr>
                <w:rFonts w:ascii="Arial" w:cs="Arial" w:eastAsia="Arial" w:hAnsi="Arial"/>
                <w:sz w:val="18"/>
                <w:szCs w:val="18"/>
                <w:color w:val="auto"/>
                <w:w w:val="90"/>
              </w:rPr>
              <w:t>10/15/2021</w:t>
            </w:r>
          </w:p>
        </w:tc>
        <w:tc>
          <w:tcPr>
            <w:tcW w:w="1880" w:type="dxa"/>
            <w:vAlign w:val="bottom"/>
          </w:tcPr>
          <w:p>
            <w:pPr>
              <w:jc w:val="right"/>
              <w:ind w:right="290"/>
              <w:spacing w:after="0"/>
              <w:rPr>
                <w:sz w:val="20"/>
                <w:szCs w:val="20"/>
                <w:color w:val="auto"/>
              </w:rPr>
            </w:pPr>
            <w:r>
              <w:rPr>
                <w:rFonts w:ascii="Arial" w:cs="Arial" w:eastAsia="Arial" w:hAnsi="Arial"/>
                <w:sz w:val="18"/>
                <w:szCs w:val="18"/>
                <w:color w:val="auto"/>
              </w:rPr>
              <w:t>135,184</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ind w:left="40"/>
              <w:spacing w:after="0"/>
              <w:rPr>
                <w:sz w:val="20"/>
                <w:szCs w:val="20"/>
                <w:color w:val="auto"/>
              </w:rPr>
            </w:pPr>
            <w:r>
              <w:rPr>
                <w:rFonts w:ascii="Arial" w:cs="Arial" w:eastAsia="Arial" w:hAnsi="Arial"/>
                <w:sz w:val="18"/>
                <w:szCs w:val="18"/>
                <w:color w:val="auto"/>
              </w:rPr>
              <w:t>109.71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rPr>
              <w:t>109.320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40"/>
              <w:spacing w:after="0"/>
              <w:rPr>
                <w:sz w:val="20"/>
                <w:szCs w:val="20"/>
                <w:color w:val="auto"/>
              </w:rPr>
            </w:pPr>
            <w:r>
              <w:rPr>
                <w:rFonts w:ascii="Arial" w:cs="Arial" w:eastAsia="Arial" w:hAnsi="Arial"/>
                <w:sz w:val="18"/>
                <w:szCs w:val="18"/>
                <w:color w:val="auto"/>
              </w:rPr>
              <w:t>110.110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0"/>
              </w:rPr>
              <w:t>10/18/2021</w:t>
            </w:r>
          </w:p>
        </w:tc>
        <w:tc>
          <w:tcPr>
            <w:tcW w:w="1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13,210</w:t>
            </w:r>
          </w:p>
        </w:tc>
        <w:tc>
          <w:tcPr>
            <w:tcW w:w="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108.25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107.940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108.880</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tcPr>
          <w:p>
            <w:pPr>
              <w:jc w:val="center"/>
              <w:ind w:left="530"/>
              <w:spacing w:after="0"/>
              <w:rPr>
                <w:sz w:val="20"/>
                <w:szCs w:val="20"/>
                <w:color w:val="auto"/>
              </w:rPr>
            </w:pPr>
            <w:r>
              <w:rPr>
                <w:rFonts w:ascii="Arial" w:cs="Arial" w:eastAsia="Arial" w:hAnsi="Arial"/>
                <w:sz w:val="18"/>
                <w:szCs w:val="18"/>
                <w:color w:val="auto"/>
                <w:w w:val="90"/>
              </w:rPr>
              <w:t>10/18/2021</w:t>
            </w:r>
          </w:p>
        </w:tc>
        <w:tc>
          <w:tcPr>
            <w:tcW w:w="1880" w:type="dxa"/>
            <w:vAlign w:val="bottom"/>
          </w:tcPr>
          <w:p>
            <w:pPr>
              <w:jc w:val="right"/>
              <w:ind w:right="290"/>
              <w:spacing w:after="0"/>
              <w:rPr>
                <w:sz w:val="20"/>
                <w:szCs w:val="20"/>
                <w:color w:val="auto"/>
              </w:rPr>
            </w:pPr>
            <w:r>
              <w:rPr>
                <w:rFonts w:ascii="Arial" w:cs="Arial" w:eastAsia="Arial" w:hAnsi="Arial"/>
                <w:sz w:val="18"/>
                <w:szCs w:val="18"/>
                <w:color w:val="auto"/>
              </w:rPr>
              <w:t>29,904</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ind w:left="40"/>
              <w:spacing w:after="0"/>
              <w:rPr>
                <w:sz w:val="20"/>
                <w:szCs w:val="20"/>
                <w:color w:val="auto"/>
              </w:rPr>
            </w:pPr>
            <w:r>
              <w:rPr>
                <w:rFonts w:ascii="Arial" w:cs="Arial" w:eastAsia="Arial" w:hAnsi="Arial"/>
                <w:sz w:val="18"/>
                <w:szCs w:val="18"/>
                <w:color w:val="auto"/>
              </w:rPr>
              <w:t>109.70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rPr>
              <w:t>108.940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40"/>
              <w:spacing w:after="0"/>
              <w:rPr>
                <w:sz w:val="20"/>
                <w:szCs w:val="20"/>
                <w:color w:val="auto"/>
              </w:rPr>
            </w:pPr>
            <w:r>
              <w:rPr>
                <w:rFonts w:ascii="Arial" w:cs="Arial" w:eastAsia="Arial" w:hAnsi="Arial"/>
                <w:sz w:val="18"/>
                <w:szCs w:val="18"/>
                <w:color w:val="auto"/>
              </w:rPr>
              <w:t>109.930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0"/>
              </w:rPr>
              <w:t>10/18/2021</w:t>
            </w:r>
          </w:p>
        </w:tc>
        <w:tc>
          <w:tcPr>
            <w:tcW w:w="1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167,859</w:t>
            </w:r>
          </w:p>
        </w:tc>
        <w:tc>
          <w:tcPr>
            <w:tcW w:w="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110.21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109.940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110.800</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tcPr>
          <w:p>
            <w:pPr>
              <w:jc w:val="center"/>
              <w:ind w:left="530"/>
              <w:spacing w:after="0"/>
              <w:rPr>
                <w:sz w:val="20"/>
                <w:szCs w:val="20"/>
                <w:color w:val="auto"/>
              </w:rPr>
            </w:pPr>
            <w:r>
              <w:rPr>
                <w:rFonts w:ascii="Arial" w:cs="Arial" w:eastAsia="Arial" w:hAnsi="Arial"/>
                <w:sz w:val="18"/>
                <w:szCs w:val="18"/>
                <w:color w:val="auto"/>
                <w:w w:val="90"/>
              </w:rPr>
              <w:t>10/19/2021</w:t>
            </w:r>
          </w:p>
        </w:tc>
        <w:tc>
          <w:tcPr>
            <w:tcW w:w="1880" w:type="dxa"/>
            <w:vAlign w:val="bottom"/>
          </w:tcPr>
          <w:p>
            <w:pPr>
              <w:jc w:val="right"/>
              <w:ind w:right="290"/>
              <w:spacing w:after="0"/>
              <w:rPr>
                <w:sz w:val="20"/>
                <w:szCs w:val="20"/>
                <w:color w:val="auto"/>
              </w:rPr>
            </w:pPr>
            <w:r>
              <w:rPr>
                <w:rFonts w:ascii="Arial" w:cs="Arial" w:eastAsia="Arial" w:hAnsi="Arial"/>
                <w:sz w:val="18"/>
                <w:szCs w:val="18"/>
                <w:color w:val="auto"/>
              </w:rPr>
              <w:t>33,873</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ind w:left="40"/>
              <w:spacing w:after="0"/>
              <w:rPr>
                <w:sz w:val="20"/>
                <w:szCs w:val="20"/>
                <w:color w:val="auto"/>
              </w:rPr>
            </w:pPr>
            <w:r>
              <w:rPr>
                <w:rFonts w:ascii="Arial" w:cs="Arial" w:eastAsia="Arial" w:hAnsi="Arial"/>
                <w:sz w:val="18"/>
                <w:szCs w:val="18"/>
                <w:color w:val="auto"/>
              </w:rPr>
              <w:t>110.01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rPr>
              <w:t>109.380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40"/>
              <w:spacing w:after="0"/>
              <w:rPr>
                <w:sz w:val="20"/>
                <w:szCs w:val="20"/>
                <w:color w:val="auto"/>
              </w:rPr>
            </w:pPr>
            <w:r>
              <w:rPr>
                <w:rFonts w:ascii="Arial" w:cs="Arial" w:eastAsia="Arial" w:hAnsi="Arial"/>
                <w:sz w:val="18"/>
                <w:szCs w:val="18"/>
                <w:color w:val="auto"/>
              </w:rPr>
              <w:t>110.370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0"/>
              </w:rPr>
              <w:t>10/19/2021</w:t>
            </w:r>
          </w:p>
        </w:tc>
        <w:tc>
          <w:tcPr>
            <w:tcW w:w="1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163,598</w:t>
            </w:r>
          </w:p>
        </w:tc>
        <w:tc>
          <w:tcPr>
            <w:tcW w:w="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110.89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110.380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111.300</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tcPr>
          <w:p>
            <w:pPr>
              <w:jc w:val="center"/>
              <w:ind w:left="530"/>
              <w:spacing w:after="0"/>
              <w:rPr>
                <w:sz w:val="20"/>
                <w:szCs w:val="20"/>
                <w:color w:val="auto"/>
              </w:rPr>
            </w:pPr>
            <w:r>
              <w:rPr>
                <w:rFonts w:ascii="Arial" w:cs="Arial" w:eastAsia="Arial" w:hAnsi="Arial"/>
                <w:sz w:val="18"/>
                <w:szCs w:val="18"/>
                <w:color w:val="auto"/>
                <w:w w:val="90"/>
              </w:rPr>
              <w:t>10/20/2021</w:t>
            </w:r>
          </w:p>
        </w:tc>
        <w:tc>
          <w:tcPr>
            <w:tcW w:w="1880" w:type="dxa"/>
            <w:vAlign w:val="bottom"/>
          </w:tcPr>
          <w:p>
            <w:pPr>
              <w:jc w:val="right"/>
              <w:ind w:right="290"/>
              <w:spacing w:after="0"/>
              <w:rPr>
                <w:sz w:val="20"/>
                <w:szCs w:val="20"/>
                <w:color w:val="auto"/>
              </w:rPr>
            </w:pPr>
            <w:r>
              <w:rPr>
                <w:rFonts w:ascii="Arial" w:cs="Arial" w:eastAsia="Arial" w:hAnsi="Arial"/>
                <w:sz w:val="18"/>
                <w:szCs w:val="18"/>
                <w:color w:val="auto"/>
              </w:rPr>
              <w:t>217,865</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ind w:left="40"/>
              <w:spacing w:after="0"/>
              <w:rPr>
                <w:sz w:val="20"/>
                <w:szCs w:val="20"/>
                <w:color w:val="auto"/>
              </w:rPr>
            </w:pPr>
            <w:r>
              <w:rPr>
                <w:rFonts w:ascii="Arial" w:cs="Arial" w:eastAsia="Arial" w:hAnsi="Arial"/>
                <w:sz w:val="18"/>
                <w:szCs w:val="18"/>
                <w:color w:val="auto"/>
              </w:rPr>
              <w:t>110.23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rPr>
              <w:t>109.660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40"/>
              <w:spacing w:after="0"/>
              <w:rPr>
                <w:sz w:val="20"/>
                <w:szCs w:val="20"/>
                <w:color w:val="auto"/>
              </w:rPr>
            </w:pPr>
            <w:r>
              <w:rPr>
                <w:rFonts w:ascii="Arial" w:cs="Arial" w:eastAsia="Arial" w:hAnsi="Arial"/>
                <w:sz w:val="18"/>
                <w:szCs w:val="18"/>
                <w:color w:val="auto"/>
              </w:rPr>
              <w:t>110.640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0"/>
              </w:rPr>
              <w:t>10/20/2021</w:t>
            </w:r>
          </w:p>
        </w:tc>
        <w:tc>
          <w:tcPr>
            <w:tcW w:w="1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4,000</w:t>
            </w:r>
          </w:p>
        </w:tc>
        <w:tc>
          <w:tcPr>
            <w:tcW w:w="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110.74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110.660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111.080</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tcPr>
          <w:p>
            <w:pPr>
              <w:jc w:val="center"/>
              <w:ind w:left="530"/>
              <w:spacing w:after="0"/>
              <w:rPr>
                <w:sz w:val="20"/>
                <w:szCs w:val="20"/>
                <w:color w:val="auto"/>
              </w:rPr>
            </w:pPr>
            <w:r>
              <w:rPr>
                <w:rFonts w:ascii="Arial" w:cs="Arial" w:eastAsia="Arial" w:hAnsi="Arial"/>
                <w:sz w:val="18"/>
                <w:szCs w:val="18"/>
                <w:color w:val="auto"/>
                <w:w w:val="90"/>
              </w:rPr>
              <w:t>10/21/2021</w:t>
            </w:r>
          </w:p>
        </w:tc>
        <w:tc>
          <w:tcPr>
            <w:tcW w:w="1880" w:type="dxa"/>
            <w:vAlign w:val="bottom"/>
          </w:tcPr>
          <w:p>
            <w:pPr>
              <w:jc w:val="right"/>
              <w:ind w:right="290"/>
              <w:spacing w:after="0"/>
              <w:rPr>
                <w:sz w:val="20"/>
                <w:szCs w:val="20"/>
                <w:color w:val="auto"/>
              </w:rPr>
            </w:pPr>
            <w:r>
              <w:rPr>
                <w:rFonts w:ascii="Arial" w:cs="Arial" w:eastAsia="Arial" w:hAnsi="Arial"/>
                <w:sz w:val="18"/>
                <w:szCs w:val="18"/>
                <w:color w:val="auto"/>
              </w:rPr>
              <w:t>71,227</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ind w:left="40"/>
              <w:spacing w:after="0"/>
              <w:rPr>
                <w:sz w:val="20"/>
                <w:szCs w:val="20"/>
                <w:color w:val="auto"/>
              </w:rPr>
            </w:pPr>
            <w:r>
              <w:rPr>
                <w:rFonts w:ascii="Arial" w:cs="Arial" w:eastAsia="Arial" w:hAnsi="Arial"/>
                <w:sz w:val="18"/>
                <w:szCs w:val="18"/>
                <w:color w:val="auto"/>
              </w:rPr>
              <w:t>109.59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rPr>
              <w:t>109.000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40"/>
              <w:spacing w:after="0"/>
              <w:rPr>
                <w:sz w:val="20"/>
                <w:szCs w:val="20"/>
                <w:color w:val="auto"/>
              </w:rPr>
            </w:pPr>
            <w:r>
              <w:rPr>
                <w:rFonts w:ascii="Arial" w:cs="Arial" w:eastAsia="Arial" w:hAnsi="Arial"/>
                <w:sz w:val="18"/>
                <w:szCs w:val="18"/>
                <w:color w:val="auto"/>
              </w:rPr>
              <w:t>109.990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0"/>
              </w:rPr>
              <w:t>10/21/2021</w:t>
            </w:r>
          </w:p>
        </w:tc>
        <w:tc>
          <w:tcPr>
            <w:tcW w:w="1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59,108</w:t>
            </w:r>
          </w:p>
        </w:tc>
        <w:tc>
          <w:tcPr>
            <w:tcW w:w="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110.09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110.000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110.200</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tcPr>
          <w:p>
            <w:pPr>
              <w:jc w:val="center"/>
              <w:ind w:left="530"/>
              <w:spacing w:after="0"/>
              <w:rPr>
                <w:sz w:val="20"/>
                <w:szCs w:val="20"/>
                <w:color w:val="auto"/>
              </w:rPr>
            </w:pPr>
            <w:r>
              <w:rPr>
                <w:rFonts w:ascii="Arial" w:cs="Arial" w:eastAsia="Arial" w:hAnsi="Arial"/>
                <w:sz w:val="18"/>
                <w:szCs w:val="18"/>
                <w:color w:val="auto"/>
                <w:w w:val="90"/>
              </w:rPr>
              <w:t>10/22/2021</w:t>
            </w:r>
          </w:p>
        </w:tc>
        <w:tc>
          <w:tcPr>
            <w:tcW w:w="1880" w:type="dxa"/>
            <w:vAlign w:val="bottom"/>
          </w:tcPr>
          <w:p>
            <w:pPr>
              <w:jc w:val="right"/>
              <w:ind w:right="290"/>
              <w:spacing w:after="0"/>
              <w:rPr>
                <w:sz w:val="20"/>
                <w:szCs w:val="20"/>
                <w:color w:val="auto"/>
              </w:rPr>
            </w:pPr>
            <w:r>
              <w:rPr>
                <w:rFonts w:ascii="Arial" w:cs="Arial" w:eastAsia="Arial" w:hAnsi="Arial"/>
                <w:sz w:val="18"/>
                <w:szCs w:val="18"/>
                <w:color w:val="auto"/>
              </w:rPr>
              <w:t>179,977</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ind w:left="40"/>
              <w:spacing w:after="0"/>
              <w:rPr>
                <w:sz w:val="20"/>
                <w:szCs w:val="20"/>
                <w:color w:val="auto"/>
              </w:rPr>
            </w:pPr>
            <w:r>
              <w:rPr>
                <w:rFonts w:ascii="Arial" w:cs="Arial" w:eastAsia="Arial" w:hAnsi="Arial"/>
                <w:sz w:val="18"/>
                <w:szCs w:val="18"/>
                <w:color w:val="auto"/>
              </w:rPr>
              <w:t>110.12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rPr>
              <w:t>109.520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40"/>
              <w:spacing w:after="0"/>
              <w:rPr>
                <w:sz w:val="20"/>
                <w:szCs w:val="20"/>
                <w:color w:val="auto"/>
              </w:rPr>
            </w:pPr>
            <w:r>
              <w:rPr>
                <w:rFonts w:ascii="Arial" w:cs="Arial" w:eastAsia="Arial" w:hAnsi="Arial"/>
                <w:sz w:val="18"/>
                <w:szCs w:val="18"/>
                <w:color w:val="auto"/>
              </w:rPr>
              <w:t>110.510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0"/>
              </w:rPr>
              <w:t>10/22/2021</w:t>
            </w:r>
          </w:p>
        </w:tc>
        <w:tc>
          <w:tcPr>
            <w:tcW w:w="1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5,310</w:t>
            </w:r>
          </w:p>
        </w:tc>
        <w:tc>
          <w:tcPr>
            <w:tcW w:w="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110.56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110.520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110.620</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tcPr>
          <w:p>
            <w:pPr>
              <w:jc w:val="center"/>
              <w:ind w:left="530"/>
              <w:spacing w:after="0"/>
              <w:rPr>
                <w:sz w:val="20"/>
                <w:szCs w:val="20"/>
                <w:color w:val="auto"/>
              </w:rPr>
            </w:pPr>
            <w:r>
              <w:rPr>
                <w:rFonts w:ascii="Arial" w:cs="Arial" w:eastAsia="Arial" w:hAnsi="Arial"/>
                <w:sz w:val="18"/>
                <w:szCs w:val="18"/>
                <w:color w:val="auto"/>
                <w:w w:val="90"/>
              </w:rPr>
              <w:t>10/25/2021</w:t>
            </w:r>
          </w:p>
        </w:tc>
        <w:tc>
          <w:tcPr>
            <w:tcW w:w="1880" w:type="dxa"/>
            <w:vAlign w:val="bottom"/>
          </w:tcPr>
          <w:p>
            <w:pPr>
              <w:jc w:val="right"/>
              <w:ind w:right="290"/>
              <w:spacing w:after="0"/>
              <w:rPr>
                <w:sz w:val="20"/>
                <w:szCs w:val="20"/>
                <w:color w:val="auto"/>
              </w:rPr>
            </w:pPr>
            <w:r>
              <w:rPr>
                <w:rFonts w:ascii="Arial" w:cs="Arial" w:eastAsia="Arial" w:hAnsi="Arial"/>
                <w:sz w:val="18"/>
                <w:szCs w:val="18"/>
                <w:color w:val="auto"/>
              </w:rPr>
              <w:t>95,541</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ind w:left="40"/>
              <w:spacing w:after="0"/>
              <w:rPr>
                <w:sz w:val="20"/>
                <w:szCs w:val="20"/>
                <w:color w:val="auto"/>
              </w:rPr>
            </w:pPr>
            <w:r>
              <w:rPr>
                <w:rFonts w:ascii="Arial" w:cs="Arial" w:eastAsia="Arial" w:hAnsi="Arial"/>
                <w:sz w:val="18"/>
                <w:szCs w:val="18"/>
                <w:color w:val="auto"/>
              </w:rPr>
              <w:t>110.27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rPr>
              <w:t>109.740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40"/>
              <w:spacing w:after="0"/>
              <w:rPr>
                <w:sz w:val="20"/>
                <w:szCs w:val="20"/>
                <w:color w:val="auto"/>
              </w:rPr>
            </w:pPr>
            <w:r>
              <w:rPr>
                <w:rFonts w:ascii="Arial" w:cs="Arial" w:eastAsia="Arial" w:hAnsi="Arial"/>
                <w:sz w:val="18"/>
                <w:szCs w:val="18"/>
                <w:color w:val="auto"/>
              </w:rPr>
              <w:t>110.720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0"/>
              </w:rPr>
              <w:t>10/25/2021</w:t>
            </w:r>
          </w:p>
        </w:tc>
        <w:tc>
          <w:tcPr>
            <w:tcW w:w="1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209,459</w:t>
            </w:r>
          </w:p>
        </w:tc>
        <w:tc>
          <w:tcPr>
            <w:tcW w:w="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111.06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110.750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111.600</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tcPr>
          <w:p>
            <w:pPr>
              <w:jc w:val="center"/>
              <w:ind w:left="530"/>
              <w:spacing w:after="0"/>
              <w:rPr>
                <w:sz w:val="20"/>
                <w:szCs w:val="20"/>
                <w:color w:val="auto"/>
              </w:rPr>
            </w:pPr>
            <w:r>
              <w:rPr>
                <w:rFonts w:ascii="Arial" w:cs="Arial" w:eastAsia="Arial" w:hAnsi="Arial"/>
                <w:sz w:val="18"/>
                <w:szCs w:val="18"/>
                <w:color w:val="auto"/>
                <w:w w:val="90"/>
              </w:rPr>
              <w:t>10/26/2021</w:t>
            </w:r>
          </w:p>
        </w:tc>
        <w:tc>
          <w:tcPr>
            <w:tcW w:w="1880" w:type="dxa"/>
            <w:vAlign w:val="bottom"/>
          </w:tcPr>
          <w:p>
            <w:pPr>
              <w:jc w:val="right"/>
              <w:ind w:right="290"/>
              <w:spacing w:after="0"/>
              <w:rPr>
                <w:sz w:val="20"/>
                <w:szCs w:val="20"/>
                <w:color w:val="auto"/>
              </w:rPr>
            </w:pPr>
            <w:r>
              <w:rPr>
                <w:rFonts w:ascii="Arial" w:cs="Arial" w:eastAsia="Arial" w:hAnsi="Arial"/>
                <w:sz w:val="18"/>
                <w:szCs w:val="18"/>
                <w:color w:val="auto"/>
              </w:rPr>
              <w:t>118,788</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ind w:left="40"/>
              <w:spacing w:after="0"/>
              <w:rPr>
                <w:sz w:val="20"/>
                <w:szCs w:val="20"/>
                <w:color w:val="auto"/>
              </w:rPr>
            </w:pPr>
            <w:r>
              <w:rPr>
                <w:rFonts w:ascii="Arial" w:cs="Arial" w:eastAsia="Arial" w:hAnsi="Arial"/>
                <w:sz w:val="18"/>
                <w:szCs w:val="18"/>
                <w:color w:val="auto"/>
              </w:rPr>
              <w:t>110.12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rPr>
              <w:t>109.600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40"/>
              <w:spacing w:after="0"/>
              <w:rPr>
                <w:sz w:val="20"/>
                <w:szCs w:val="20"/>
                <w:color w:val="auto"/>
              </w:rPr>
            </w:pPr>
            <w:r>
              <w:rPr>
                <w:rFonts w:ascii="Arial" w:cs="Arial" w:eastAsia="Arial" w:hAnsi="Arial"/>
                <w:sz w:val="18"/>
                <w:szCs w:val="18"/>
                <w:color w:val="auto"/>
              </w:rPr>
              <w:t>110.560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0"/>
              </w:rPr>
              <w:t>10/26/2021</w:t>
            </w:r>
          </w:p>
        </w:tc>
        <w:tc>
          <w:tcPr>
            <w:tcW w:w="1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76,211</w:t>
            </w:r>
          </w:p>
        </w:tc>
        <w:tc>
          <w:tcPr>
            <w:tcW w:w="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111.11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110.620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111.570</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tcPr>
          <w:p>
            <w:pPr>
              <w:jc w:val="center"/>
              <w:ind w:left="530"/>
              <w:spacing w:after="0"/>
              <w:rPr>
                <w:sz w:val="20"/>
                <w:szCs w:val="20"/>
                <w:color w:val="auto"/>
              </w:rPr>
            </w:pPr>
            <w:r>
              <w:rPr>
                <w:rFonts w:ascii="Arial" w:cs="Arial" w:eastAsia="Arial" w:hAnsi="Arial"/>
                <w:sz w:val="18"/>
                <w:szCs w:val="18"/>
                <w:color w:val="auto"/>
                <w:w w:val="90"/>
              </w:rPr>
              <w:t>10/26/2021</w:t>
            </w:r>
          </w:p>
        </w:tc>
        <w:tc>
          <w:tcPr>
            <w:tcW w:w="1880" w:type="dxa"/>
            <w:vAlign w:val="bottom"/>
          </w:tcPr>
          <w:p>
            <w:pPr>
              <w:jc w:val="right"/>
              <w:ind w:right="290"/>
              <w:spacing w:after="0"/>
              <w:rPr>
                <w:sz w:val="20"/>
                <w:szCs w:val="20"/>
                <w:color w:val="auto"/>
              </w:rPr>
            </w:pPr>
            <w:r>
              <w:rPr>
                <w:rFonts w:ascii="Arial" w:cs="Arial" w:eastAsia="Arial" w:hAnsi="Arial"/>
                <w:sz w:val="18"/>
                <w:szCs w:val="18"/>
                <w:color w:val="auto"/>
              </w:rPr>
              <w:t>5,001</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ind w:left="40"/>
              <w:spacing w:after="0"/>
              <w:rPr>
                <w:sz w:val="20"/>
                <w:szCs w:val="20"/>
                <w:color w:val="auto"/>
              </w:rPr>
            </w:pPr>
            <w:r>
              <w:rPr>
                <w:rFonts w:ascii="Arial" w:cs="Arial" w:eastAsia="Arial" w:hAnsi="Arial"/>
                <w:sz w:val="18"/>
                <w:szCs w:val="18"/>
                <w:color w:val="auto"/>
              </w:rPr>
              <w:t>111.77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rPr>
              <w:t>111.600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40"/>
              <w:spacing w:after="0"/>
              <w:rPr>
                <w:sz w:val="20"/>
                <w:szCs w:val="20"/>
                <w:color w:val="auto"/>
              </w:rPr>
            </w:pPr>
            <w:r>
              <w:rPr>
                <w:rFonts w:ascii="Arial" w:cs="Arial" w:eastAsia="Arial" w:hAnsi="Arial"/>
                <w:sz w:val="18"/>
                <w:szCs w:val="18"/>
                <w:color w:val="auto"/>
              </w:rPr>
              <w:t>111.840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0"/>
              </w:rPr>
              <w:t>10/27/2021</w:t>
            </w:r>
          </w:p>
        </w:tc>
        <w:tc>
          <w:tcPr>
            <w:tcW w:w="1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66,702</w:t>
            </w:r>
          </w:p>
        </w:tc>
        <w:tc>
          <w:tcPr>
            <w:tcW w:w="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100.13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100.010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100.640</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tcPr>
          <w:p>
            <w:pPr>
              <w:jc w:val="center"/>
              <w:ind w:left="530"/>
              <w:spacing w:after="0"/>
              <w:rPr>
                <w:sz w:val="20"/>
                <w:szCs w:val="20"/>
                <w:color w:val="auto"/>
              </w:rPr>
            </w:pPr>
            <w:r>
              <w:rPr>
                <w:rFonts w:ascii="Arial" w:cs="Arial" w:eastAsia="Arial" w:hAnsi="Arial"/>
                <w:sz w:val="18"/>
                <w:szCs w:val="18"/>
                <w:color w:val="auto"/>
                <w:w w:val="90"/>
              </w:rPr>
              <w:t>10/27/2021</w:t>
            </w:r>
          </w:p>
        </w:tc>
        <w:tc>
          <w:tcPr>
            <w:tcW w:w="1880" w:type="dxa"/>
            <w:vAlign w:val="bottom"/>
          </w:tcPr>
          <w:p>
            <w:pPr>
              <w:jc w:val="right"/>
              <w:ind w:right="290"/>
              <w:spacing w:after="0"/>
              <w:rPr>
                <w:sz w:val="20"/>
                <w:szCs w:val="20"/>
                <w:color w:val="auto"/>
              </w:rPr>
            </w:pPr>
            <w:r>
              <w:rPr>
                <w:rFonts w:ascii="Arial" w:cs="Arial" w:eastAsia="Arial" w:hAnsi="Arial"/>
                <w:sz w:val="18"/>
                <w:szCs w:val="18"/>
                <w:color w:val="auto"/>
              </w:rPr>
              <w:t>15,772</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ind w:left="40"/>
              <w:spacing w:after="0"/>
              <w:rPr>
                <w:sz w:val="20"/>
                <w:szCs w:val="20"/>
                <w:color w:val="auto"/>
              </w:rPr>
            </w:pPr>
            <w:r>
              <w:rPr>
                <w:rFonts w:ascii="Arial" w:cs="Arial" w:eastAsia="Arial" w:hAnsi="Arial"/>
                <w:sz w:val="18"/>
                <w:szCs w:val="18"/>
                <w:color w:val="auto"/>
              </w:rPr>
              <w:t>101.61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rPr>
              <w:t>101.000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40"/>
              <w:spacing w:after="0"/>
              <w:rPr>
                <w:sz w:val="20"/>
                <w:szCs w:val="20"/>
                <w:color w:val="auto"/>
              </w:rPr>
            </w:pPr>
            <w:r>
              <w:rPr>
                <w:rFonts w:ascii="Arial" w:cs="Arial" w:eastAsia="Arial" w:hAnsi="Arial"/>
                <w:sz w:val="18"/>
                <w:szCs w:val="18"/>
                <w:color w:val="auto"/>
              </w:rPr>
              <w:t>101.965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0"/>
              </w:rPr>
              <w:t>10/27/2021</w:t>
            </w:r>
          </w:p>
        </w:tc>
        <w:tc>
          <w:tcPr>
            <w:tcW w:w="1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5,800</w:t>
            </w:r>
          </w:p>
        </w:tc>
        <w:tc>
          <w:tcPr>
            <w:tcW w:w="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102.18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102.000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102.500</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tcPr>
          <w:p>
            <w:pPr>
              <w:jc w:val="center"/>
              <w:ind w:left="530"/>
              <w:spacing w:after="0"/>
              <w:rPr>
                <w:sz w:val="20"/>
                <w:szCs w:val="20"/>
                <w:color w:val="auto"/>
              </w:rPr>
            </w:pPr>
            <w:r>
              <w:rPr>
                <w:rFonts w:ascii="Arial" w:cs="Arial" w:eastAsia="Arial" w:hAnsi="Arial"/>
                <w:sz w:val="18"/>
                <w:szCs w:val="18"/>
                <w:color w:val="auto"/>
                <w:w w:val="90"/>
              </w:rPr>
              <w:t>10/27/2021</w:t>
            </w:r>
          </w:p>
        </w:tc>
        <w:tc>
          <w:tcPr>
            <w:tcW w:w="1880" w:type="dxa"/>
            <w:vAlign w:val="bottom"/>
          </w:tcPr>
          <w:p>
            <w:pPr>
              <w:jc w:val="right"/>
              <w:ind w:right="290"/>
              <w:spacing w:after="0"/>
              <w:rPr>
                <w:sz w:val="20"/>
                <w:szCs w:val="20"/>
                <w:color w:val="auto"/>
              </w:rPr>
            </w:pPr>
            <w:r>
              <w:rPr>
                <w:rFonts w:ascii="Arial" w:cs="Arial" w:eastAsia="Arial" w:hAnsi="Arial"/>
                <w:sz w:val="18"/>
                <w:szCs w:val="18"/>
                <w:color w:val="auto"/>
              </w:rPr>
              <w:t>3,200</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ind w:left="40"/>
              <w:spacing w:after="0"/>
              <w:rPr>
                <w:sz w:val="20"/>
                <w:szCs w:val="20"/>
                <w:color w:val="auto"/>
              </w:rPr>
            </w:pPr>
            <w:r>
              <w:rPr>
                <w:rFonts w:ascii="Arial" w:cs="Arial" w:eastAsia="Arial" w:hAnsi="Arial"/>
                <w:sz w:val="18"/>
                <w:szCs w:val="18"/>
                <w:color w:val="auto"/>
              </w:rPr>
              <w:t>104.22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rPr>
              <w:t>104.000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40"/>
              <w:spacing w:after="0"/>
              <w:rPr>
                <w:sz w:val="20"/>
                <w:szCs w:val="20"/>
                <w:color w:val="auto"/>
              </w:rPr>
            </w:pPr>
            <w:r>
              <w:rPr>
                <w:rFonts w:ascii="Arial" w:cs="Arial" w:eastAsia="Arial" w:hAnsi="Arial"/>
                <w:sz w:val="18"/>
                <w:szCs w:val="18"/>
                <w:color w:val="auto"/>
              </w:rPr>
              <w:t>104.720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0"/>
              </w:rPr>
              <w:t>10/29/2021</w:t>
            </w:r>
          </w:p>
        </w:tc>
        <w:tc>
          <w:tcPr>
            <w:tcW w:w="1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2,513</w:t>
            </w:r>
          </w:p>
        </w:tc>
        <w:tc>
          <w:tcPr>
            <w:tcW w:w="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100.08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100.270</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tcPr>
          <w:p>
            <w:pPr>
              <w:jc w:val="center"/>
              <w:ind w:left="530"/>
              <w:spacing w:after="0"/>
              <w:rPr>
                <w:sz w:val="20"/>
                <w:szCs w:val="20"/>
                <w:color w:val="auto"/>
              </w:rPr>
            </w:pPr>
            <w:r>
              <w:rPr>
                <w:rFonts w:ascii="Arial" w:cs="Arial" w:eastAsia="Arial" w:hAnsi="Arial"/>
                <w:sz w:val="18"/>
                <w:szCs w:val="18"/>
                <w:color w:val="auto"/>
                <w:w w:val="92"/>
              </w:rPr>
              <w:t>11/1/2021</w:t>
            </w:r>
          </w:p>
        </w:tc>
        <w:tc>
          <w:tcPr>
            <w:tcW w:w="1880" w:type="dxa"/>
            <w:vAlign w:val="bottom"/>
          </w:tcPr>
          <w:p>
            <w:pPr>
              <w:jc w:val="right"/>
              <w:ind w:right="290"/>
              <w:spacing w:after="0"/>
              <w:rPr>
                <w:sz w:val="20"/>
                <w:szCs w:val="20"/>
                <w:color w:val="auto"/>
              </w:rPr>
            </w:pPr>
            <w:r>
              <w:rPr>
                <w:rFonts w:ascii="Arial" w:cs="Arial" w:eastAsia="Arial" w:hAnsi="Arial"/>
                <w:sz w:val="18"/>
                <w:szCs w:val="18"/>
                <w:color w:val="auto"/>
              </w:rPr>
              <w:t>85,421</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ind w:left="40"/>
              <w:spacing w:after="0"/>
              <w:rPr>
                <w:sz w:val="20"/>
                <w:szCs w:val="20"/>
                <w:color w:val="auto"/>
              </w:rPr>
            </w:pPr>
            <w:r>
              <w:rPr>
                <w:rFonts w:ascii="Arial" w:cs="Arial" w:eastAsia="Arial" w:hAnsi="Arial"/>
                <w:sz w:val="18"/>
                <w:szCs w:val="18"/>
                <w:color w:val="auto"/>
              </w:rPr>
              <w:t>100.72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40"/>
              <w:spacing w:after="0"/>
              <w:rPr>
                <w:sz w:val="20"/>
                <w:szCs w:val="20"/>
                <w:color w:val="auto"/>
              </w:rPr>
            </w:pPr>
            <w:r>
              <w:rPr>
                <w:rFonts w:ascii="Arial" w:cs="Arial" w:eastAsia="Arial" w:hAnsi="Arial"/>
                <w:sz w:val="18"/>
                <w:szCs w:val="18"/>
                <w:color w:val="auto"/>
              </w:rPr>
              <w:t>100.990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2"/>
              </w:rPr>
              <w:t>11/1/2021</w:t>
            </w:r>
          </w:p>
        </w:tc>
        <w:tc>
          <w:tcPr>
            <w:tcW w:w="1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171,589</w:t>
            </w:r>
          </w:p>
        </w:tc>
        <w:tc>
          <w:tcPr>
            <w:tcW w:w="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101.55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101.000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101.990</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2960" w:type="dxa"/>
            <w:vAlign w:val="bottom"/>
          </w:tcPr>
          <w:p>
            <w:pPr>
              <w:jc w:val="center"/>
              <w:ind w:left="530"/>
              <w:spacing w:after="0"/>
              <w:rPr>
                <w:sz w:val="20"/>
                <w:szCs w:val="20"/>
                <w:color w:val="auto"/>
              </w:rPr>
            </w:pPr>
            <w:r>
              <w:rPr>
                <w:rFonts w:ascii="Arial" w:cs="Arial" w:eastAsia="Arial" w:hAnsi="Arial"/>
                <w:sz w:val="18"/>
                <w:szCs w:val="18"/>
                <w:color w:val="auto"/>
                <w:w w:val="92"/>
              </w:rPr>
              <w:t>11/1/2021</w:t>
            </w:r>
          </w:p>
        </w:tc>
        <w:tc>
          <w:tcPr>
            <w:tcW w:w="1880" w:type="dxa"/>
            <w:vAlign w:val="bottom"/>
          </w:tcPr>
          <w:p>
            <w:pPr>
              <w:jc w:val="right"/>
              <w:ind w:right="290"/>
              <w:spacing w:after="0"/>
              <w:rPr>
                <w:sz w:val="20"/>
                <w:szCs w:val="20"/>
                <w:color w:val="auto"/>
              </w:rPr>
            </w:pPr>
            <w:r>
              <w:rPr>
                <w:rFonts w:ascii="Arial" w:cs="Arial" w:eastAsia="Arial" w:hAnsi="Arial"/>
                <w:sz w:val="18"/>
                <w:szCs w:val="18"/>
                <w:color w:val="auto"/>
              </w:rPr>
              <w:t>31,629</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ind w:left="40"/>
              <w:spacing w:after="0"/>
              <w:rPr>
                <w:sz w:val="20"/>
                <w:szCs w:val="20"/>
                <w:color w:val="auto"/>
              </w:rPr>
            </w:pPr>
            <w:r>
              <w:rPr>
                <w:rFonts w:ascii="Arial" w:cs="Arial" w:eastAsia="Arial" w:hAnsi="Arial"/>
                <w:sz w:val="18"/>
                <w:szCs w:val="18"/>
                <w:color w:val="auto"/>
              </w:rPr>
              <w:t>102.11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rPr>
              <w:t>102.000</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40"/>
              <w:spacing w:after="0"/>
              <w:rPr>
                <w:sz w:val="20"/>
                <w:szCs w:val="20"/>
                <w:color w:val="auto"/>
              </w:rPr>
            </w:pPr>
            <w:r>
              <w:rPr>
                <w:rFonts w:ascii="Arial" w:cs="Arial" w:eastAsia="Arial" w:hAnsi="Arial"/>
                <w:sz w:val="18"/>
                <w:szCs w:val="18"/>
                <w:color w:val="auto"/>
              </w:rPr>
              <w:t>102.270</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1"/>
        </w:trPr>
        <w:tc>
          <w:tcPr>
            <w:tcW w:w="1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2"/>
              </w:rPr>
              <w:t>11/2/2021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13,086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100.59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100.110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101.090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tcPr>
          <w:p>
            <w:pPr>
              <w:jc w:val="center"/>
              <w:ind w:left="450"/>
              <w:spacing w:after="0"/>
              <w:rPr>
                <w:sz w:val="20"/>
                <w:szCs w:val="20"/>
                <w:color w:val="auto"/>
              </w:rPr>
            </w:pPr>
            <w:r>
              <w:rPr>
                <w:rFonts w:ascii="Arial" w:cs="Arial" w:eastAsia="Arial" w:hAnsi="Arial"/>
                <w:sz w:val="18"/>
                <w:szCs w:val="18"/>
                <w:color w:val="auto"/>
                <w:w w:val="92"/>
              </w:rPr>
              <w:t>11/3/2021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136,769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100.67</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100.000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100.990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2"/>
              </w:rPr>
              <w:t>11/3/2021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106,074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101.34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101.000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101.590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tcPr>
          <w:p>
            <w:pPr>
              <w:jc w:val="center"/>
              <w:ind w:left="450"/>
              <w:spacing w:after="0"/>
              <w:rPr>
                <w:sz w:val="20"/>
                <w:szCs w:val="20"/>
                <w:color w:val="auto"/>
              </w:rPr>
            </w:pPr>
            <w:r>
              <w:rPr>
                <w:rFonts w:ascii="Arial" w:cs="Arial" w:eastAsia="Arial" w:hAnsi="Arial"/>
                <w:sz w:val="18"/>
                <w:szCs w:val="18"/>
                <w:color w:val="auto"/>
                <w:w w:val="92"/>
              </w:rPr>
              <w:t>11/4/2021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46,698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100.98</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100.460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101.435</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2"/>
              </w:rPr>
              <w:t>11/4/2021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139,900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101.85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101.460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102.440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tcPr>
          <w:p>
            <w:pPr>
              <w:jc w:val="center"/>
              <w:ind w:left="450"/>
              <w:spacing w:after="0"/>
              <w:rPr>
                <w:sz w:val="20"/>
                <w:szCs w:val="20"/>
                <w:color w:val="auto"/>
              </w:rPr>
            </w:pPr>
            <w:r>
              <w:rPr>
                <w:rFonts w:ascii="Arial" w:cs="Arial" w:eastAsia="Arial" w:hAnsi="Arial"/>
                <w:sz w:val="18"/>
                <w:szCs w:val="18"/>
                <w:color w:val="auto"/>
                <w:w w:val="92"/>
              </w:rPr>
              <w:t>11/4/2021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40,069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103.00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102.500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103.460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2"/>
              </w:rPr>
              <w:t>11/4/2021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54,210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104.08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103.500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104.490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tcPr>
          <w:p>
            <w:pPr>
              <w:jc w:val="center"/>
              <w:ind w:left="450"/>
              <w:spacing w:after="0"/>
              <w:rPr>
                <w:sz w:val="20"/>
                <w:szCs w:val="20"/>
                <w:color w:val="auto"/>
              </w:rPr>
            </w:pPr>
            <w:r>
              <w:rPr>
                <w:rFonts w:ascii="Arial" w:cs="Arial" w:eastAsia="Arial" w:hAnsi="Arial"/>
                <w:sz w:val="18"/>
                <w:szCs w:val="18"/>
                <w:color w:val="auto"/>
                <w:w w:val="92"/>
              </w:rPr>
              <w:t>11/4/2021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1,700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104.61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104.540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104.770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2"/>
              </w:rPr>
              <w:t>11/5/2021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167,663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100.37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100.000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100.990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tcPr>
          <w:p>
            <w:pPr>
              <w:jc w:val="center"/>
              <w:ind w:left="450"/>
              <w:spacing w:after="0"/>
              <w:rPr>
                <w:sz w:val="20"/>
                <w:szCs w:val="20"/>
                <w:color w:val="auto"/>
              </w:rPr>
            </w:pPr>
            <w:r>
              <w:rPr>
                <w:rFonts w:ascii="Arial" w:cs="Arial" w:eastAsia="Arial" w:hAnsi="Arial"/>
                <w:sz w:val="18"/>
                <w:szCs w:val="18"/>
                <w:color w:val="auto"/>
                <w:w w:val="92"/>
              </w:rPr>
              <w:t>11/5/2021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56,155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101.37</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101.000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101.990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2"/>
              </w:rPr>
              <w:t>11/5/2021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13,987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102.30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102.000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102.950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tcPr>
          <w:p>
            <w:pPr>
              <w:jc w:val="center"/>
              <w:ind w:left="450"/>
              <w:spacing w:after="0"/>
              <w:rPr>
                <w:sz w:val="20"/>
                <w:szCs w:val="20"/>
                <w:color w:val="auto"/>
              </w:rPr>
            </w:pPr>
            <w:r>
              <w:rPr>
                <w:rFonts w:ascii="Arial" w:cs="Arial" w:eastAsia="Arial" w:hAnsi="Arial"/>
                <w:sz w:val="18"/>
                <w:szCs w:val="18"/>
                <w:color w:val="auto"/>
                <w:w w:val="92"/>
              </w:rPr>
              <w:t>11/5/2021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2,382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103.26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103.040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103.705</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2"/>
              </w:rPr>
              <w:t>11/8/2021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177,235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100.19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100.000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100.755</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tcPr>
          <w:p>
            <w:pPr>
              <w:jc w:val="center"/>
              <w:ind w:left="450"/>
              <w:spacing w:after="0"/>
              <w:rPr>
                <w:sz w:val="20"/>
                <w:szCs w:val="20"/>
                <w:color w:val="auto"/>
              </w:rPr>
            </w:pPr>
            <w:r>
              <w:rPr>
                <w:rFonts w:ascii="Arial" w:cs="Arial" w:eastAsia="Arial" w:hAnsi="Arial"/>
                <w:sz w:val="18"/>
                <w:szCs w:val="18"/>
                <w:color w:val="auto"/>
                <w:w w:val="92"/>
              </w:rPr>
              <w:t>11/9/2021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8,500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100.12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100.000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100.400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0"/>
              </w:rPr>
              <w:t>11/10/2021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245,072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100.37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100.000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100.990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tcPr>
          <w:p>
            <w:pPr>
              <w:jc w:val="center"/>
              <w:ind w:left="450"/>
              <w:spacing w:after="0"/>
              <w:rPr>
                <w:sz w:val="20"/>
                <w:szCs w:val="20"/>
                <w:color w:val="auto"/>
              </w:rPr>
            </w:pPr>
            <w:r>
              <w:rPr>
                <w:rFonts w:ascii="Arial" w:cs="Arial" w:eastAsia="Arial" w:hAnsi="Arial"/>
                <w:sz w:val="18"/>
                <w:szCs w:val="18"/>
                <w:color w:val="auto"/>
                <w:w w:val="90"/>
              </w:rPr>
              <w:t>11/10/2021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12,581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101.05</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101.000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101.190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0"/>
              </w:rPr>
              <w:t>11/11/2021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109,766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100.26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100.000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100.810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tcPr>
          <w:p>
            <w:pPr>
              <w:jc w:val="center"/>
              <w:ind w:left="450"/>
              <w:spacing w:after="0"/>
              <w:rPr>
                <w:sz w:val="20"/>
                <w:szCs w:val="20"/>
                <w:color w:val="auto"/>
              </w:rPr>
            </w:pPr>
            <w:r>
              <w:rPr>
                <w:rFonts w:ascii="Arial" w:cs="Arial" w:eastAsia="Arial" w:hAnsi="Arial"/>
                <w:sz w:val="18"/>
                <w:szCs w:val="18"/>
                <w:color w:val="auto"/>
                <w:w w:val="90"/>
              </w:rPr>
              <w:t>11/12/2021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125,581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100.80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100.150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101.020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0"/>
              </w:rPr>
              <w:t>11/12/2021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43,659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101.10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101.025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101.230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tcPr>
          <w:p>
            <w:pPr>
              <w:jc w:val="center"/>
              <w:ind w:left="450"/>
              <w:spacing w:after="0"/>
              <w:rPr>
                <w:sz w:val="20"/>
                <w:szCs w:val="20"/>
                <w:color w:val="auto"/>
              </w:rPr>
            </w:pPr>
            <w:r>
              <w:rPr>
                <w:rFonts w:ascii="Arial" w:cs="Arial" w:eastAsia="Arial" w:hAnsi="Arial"/>
                <w:sz w:val="18"/>
                <w:szCs w:val="18"/>
                <w:color w:val="auto"/>
                <w:w w:val="90"/>
              </w:rPr>
              <w:t>11/12/2021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8,688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101.46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101.270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101.700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0"/>
              </w:rPr>
              <w:t>11/15/2021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51,174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101.53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100.760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101.750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tcPr>
          <w:p>
            <w:pPr>
              <w:jc w:val="center"/>
              <w:ind w:left="450"/>
              <w:spacing w:after="0"/>
              <w:rPr>
                <w:sz w:val="20"/>
                <w:szCs w:val="20"/>
                <w:color w:val="auto"/>
              </w:rPr>
            </w:pPr>
            <w:r>
              <w:rPr>
                <w:rFonts w:ascii="Arial" w:cs="Arial" w:eastAsia="Arial" w:hAnsi="Arial"/>
                <w:sz w:val="18"/>
                <w:szCs w:val="18"/>
                <w:color w:val="auto"/>
                <w:w w:val="90"/>
              </w:rPr>
              <w:t>11/15/2021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135,989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101.93</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101.760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102.370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0"/>
              </w:rPr>
              <w:t>11/16/2021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209,978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102.20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101.850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102.830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tcPr>
          <w:p>
            <w:pPr>
              <w:jc w:val="center"/>
              <w:ind w:left="450"/>
              <w:spacing w:after="0"/>
              <w:rPr>
                <w:sz w:val="20"/>
                <w:szCs w:val="20"/>
                <w:color w:val="auto"/>
              </w:rPr>
            </w:pPr>
            <w:r>
              <w:rPr>
                <w:rFonts w:ascii="Arial" w:cs="Arial" w:eastAsia="Arial" w:hAnsi="Arial"/>
                <w:sz w:val="18"/>
                <w:szCs w:val="18"/>
                <w:color w:val="auto"/>
                <w:w w:val="90"/>
              </w:rPr>
              <w:t>11/16/2021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3,900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102.91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102.840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103.040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0"/>
              </w:rPr>
              <w:t>11/17/2021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200,508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100.47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100.000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100.980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tcPr>
          <w:p>
            <w:pPr>
              <w:jc w:val="center"/>
              <w:ind w:left="450"/>
              <w:spacing w:after="0"/>
              <w:rPr>
                <w:sz w:val="20"/>
                <w:szCs w:val="20"/>
                <w:color w:val="auto"/>
              </w:rPr>
            </w:pPr>
            <w:r>
              <w:rPr>
                <w:rFonts w:ascii="Arial" w:cs="Arial" w:eastAsia="Arial" w:hAnsi="Arial"/>
                <w:sz w:val="18"/>
                <w:szCs w:val="18"/>
                <w:color w:val="auto"/>
                <w:w w:val="90"/>
              </w:rPr>
              <w:t>11/17/2021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37,405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101.09</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101.000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101.570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0"/>
              </w:rPr>
              <w:t>11/18/2021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111,631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100.54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100.000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100.990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tcPr>
          <w:p>
            <w:pPr>
              <w:jc w:val="center"/>
              <w:ind w:left="450"/>
              <w:spacing w:after="0"/>
              <w:rPr>
                <w:sz w:val="20"/>
                <w:szCs w:val="20"/>
                <w:color w:val="auto"/>
              </w:rPr>
            </w:pPr>
            <w:r>
              <w:rPr>
                <w:rFonts w:ascii="Arial" w:cs="Arial" w:eastAsia="Arial" w:hAnsi="Arial"/>
                <w:sz w:val="18"/>
                <w:szCs w:val="18"/>
                <w:color w:val="auto"/>
                <w:w w:val="90"/>
              </w:rPr>
              <w:t>11/18/2021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95,459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101.18</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101.000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101.350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0"/>
              </w:rPr>
              <w:t>11/19/2021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239,500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100.16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100.000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100.960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tcPr>
          <w:p>
            <w:pPr>
              <w:jc w:val="center"/>
              <w:ind w:left="450"/>
              <w:spacing w:after="0"/>
              <w:rPr>
                <w:sz w:val="20"/>
                <w:szCs w:val="20"/>
                <w:color w:val="auto"/>
              </w:rPr>
            </w:pPr>
            <w:r>
              <w:rPr>
                <w:rFonts w:ascii="Arial" w:cs="Arial" w:eastAsia="Arial" w:hAnsi="Arial"/>
                <w:sz w:val="18"/>
                <w:szCs w:val="18"/>
                <w:color w:val="auto"/>
                <w:w w:val="90"/>
              </w:rPr>
              <w:t>11/19/2021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15,500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101.29</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101.020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101.660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2"/>
              </w:rPr>
              <w:t>12/2/2021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57,283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0"/>
              </w:rPr>
              <w:t>100.11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100.000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100.360</w:t>
            </w:r>
          </w:p>
        </w:tc>
        <w:tc>
          <w:tcPr>
            <w:tcW w:w="1120" w:type="dxa"/>
            <w:vAlign w:val="bottom"/>
          </w:tcPr>
          <w:p>
            <w:pPr>
              <w:spacing w:after="0"/>
              <w:rPr>
                <w:sz w:val="18"/>
                <w:szCs w:val="18"/>
                <w:color w:val="auto"/>
              </w:rPr>
            </w:pPr>
          </w:p>
        </w:tc>
      </w:tr>
      <w:tr>
        <w:trPr>
          <w:trHeight w:val="425"/>
        </w:trPr>
        <w:tc>
          <w:tcPr>
            <w:tcW w:w="11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18" w:name="page19"/>
    <w:bookmarkEnd w:id="18"/>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2"/>
              </w:rPr>
              <w:t>12/3/2021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217,496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100.31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100.000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100.900</w:t>
            </w:r>
          </w:p>
        </w:tc>
      </w:tr>
      <w:tr>
        <w:trPr>
          <w:trHeight w:val="216"/>
        </w:trPr>
        <w:tc>
          <w:tcPr>
            <w:tcW w:w="3040" w:type="dxa"/>
            <w:vAlign w:val="bottom"/>
          </w:tcPr>
          <w:p>
            <w:pPr>
              <w:jc w:val="center"/>
              <w:ind w:left="450"/>
              <w:spacing w:after="0"/>
              <w:rPr>
                <w:sz w:val="20"/>
                <w:szCs w:val="20"/>
                <w:color w:val="auto"/>
              </w:rPr>
            </w:pPr>
            <w:r>
              <w:rPr>
                <w:rFonts w:ascii="Arial" w:cs="Arial" w:eastAsia="Arial" w:hAnsi="Arial"/>
                <w:sz w:val="18"/>
                <w:szCs w:val="18"/>
                <w:color w:val="auto"/>
                <w:w w:val="92"/>
              </w:rPr>
              <w:t>12/3/2021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1,913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101.02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100.950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101.070</w:t>
            </w:r>
          </w:p>
        </w:tc>
      </w:tr>
      <w:tr>
        <w:trPr>
          <w:trHeight w:val="216"/>
        </w:trPr>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2"/>
              </w:rPr>
              <w:t>12/6/2021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12,100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101.28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100.890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101.820</w:t>
            </w:r>
          </w:p>
        </w:tc>
      </w:tr>
      <w:tr>
        <w:trPr>
          <w:trHeight w:val="216"/>
        </w:trPr>
        <w:tc>
          <w:tcPr>
            <w:tcW w:w="3040" w:type="dxa"/>
            <w:vAlign w:val="bottom"/>
          </w:tcPr>
          <w:p>
            <w:pPr>
              <w:jc w:val="center"/>
              <w:ind w:left="450"/>
              <w:spacing w:after="0"/>
              <w:rPr>
                <w:sz w:val="20"/>
                <w:szCs w:val="20"/>
                <w:color w:val="auto"/>
              </w:rPr>
            </w:pPr>
            <w:r>
              <w:rPr>
                <w:rFonts w:ascii="Arial" w:cs="Arial" w:eastAsia="Arial" w:hAnsi="Arial"/>
                <w:sz w:val="18"/>
                <w:szCs w:val="18"/>
                <w:color w:val="auto"/>
                <w:w w:val="92"/>
              </w:rPr>
              <w:t>12/6/2021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27,800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102.55</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101.930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102.880</w:t>
            </w:r>
          </w:p>
        </w:tc>
      </w:tr>
      <w:tr>
        <w:trPr>
          <w:trHeight w:val="216"/>
        </w:trPr>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2"/>
              </w:rPr>
              <w:t>12/6/2021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162,542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103.35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102.900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103.780</w:t>
            </w:r>
          </w:p>
        </w:tc>
      </w:tr>
      <w:tr>
        <w:trPr>
          <w:trHeight w:val="216"/>
        </w:trPr>
        <w:tc>
          <w:tcPr>
            <w:tcW w:w="3040" w:type="dxa"/>
            <w:vAlign w:val="bottom"/>
          </w:tcPr>
          <w:p>
            <w:pPr>
              <w:jc w:val="center"/>
              <w:ind w:left="450"/>
              <w:spacing w:after="0"/>
              <w:rPr>
                <w:sz w:val="20"/>
                <w:szCs w:val="20"/>
                <w:color w:val="auto"/>
              </w:rPr>
            </w:pPr>
            <w:r>
              <w:rPr>
                <w:rFonts w:ascii="Arial" w:cs="Arial" w:eastAsia="Arial" w:hAnsi="Arial"/>
                <w:sz w:val="18"/>
                <w:szCs w:val="18"/>
                <w:color w:val="auto"/>
                <w:w w:val="92"/>
              </w:rPr>
              <w:t>12/6/2021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22,716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103.93</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103.800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104.130</w:t>
            </w:r>
          </w:p>
        </w:tc>
      </w:tr>
      <w:tr>
        <w:trPr>
          <w:trHeight w:val="216"/>
        </w:trPr>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2"/>
              </w:rPr>
              <w:t>12/7/2021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86,665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103.24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102.740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103.730</w:t>
            </w:r>
          </w:p>
        </w:tc>
      </w:tr>
      <w:tr>
        <w:trPr>
          <w:trHeight w:val="216"/>
        </w:trPr>
        <w:tc>
          <w:tcPr>
            <w:tcW w:w="3040" w:type="dxa"/>
            <w:vAlign w:val="bottom"/>
          </w:tcPr>
          <w:p>
            <w:pPr>
              <w:jc w:val="center"/>
              <w:ind w:left="450"/>
              <w:spacing w:after="0"/>
              <w:rPr>
                <w:sz w:val="20"/>
                <w:szCs w:val="20"/>
                <w:color w:val="auto"/>
              </w:rPr>
            </w:pPr>
            <w:r>
              <w:rPr>
                <w:rFonts w:ascii="Arial" w:cs="Arial" w:eastAsia="Arial" w:hAnsi="Arial"/>
                <w:sz w:val="18"/>
                <w:szCs w:val="18"/>
                <w:color w:val="auto"/>
                <w:w w:val="92"/>
              </w:rPr>
              <w:t>12/7/2021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80,672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104.31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103.770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104.750</w:t>
            </w:r>
          </w:p>
        </w:tc>
      </w:tr>
      <w:tr>
        <w:trPr>
          <w:trHeight w:val="216"/>
        </w:trPr>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2"/>
              </w:rPr>
              <w:t>12/7/2021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21,500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104.92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104.760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105.140</w:t>
            </w:r>
          </w:p>
        </w:tc>
      </w:tr>
      <w:tr>
        <w:trPr>
          <w:trHeight w:val="216"/>
        </w:trPr>
        <w:tc>
          <w:tcPr>
            <w:tcW w:w="3040" w:type="dxa"/>
            <w:vAlign w:val="bottom"/>
          </w:tcPr>
          <w:p>
            <w:pPr>
              <w:jc w:val="center"/>
              <w:ind w:left="450"/>
              <w:spacing w:after="0"/>
              <w:rPr>
                <w:sz w:val="20"/>
                <w:szCs w:val="20"/>
                <w:color w:val="auto"/>
              </w:rPr>
            </w:pPr>
            <w:r>
              <w:rPr>
                <w:rFonts w:ascii="Arial" w:cs="Arial" w:eastAsia="Arial" w:hAnsi="Arial"/>
                <w:sz w:val="18"/>
                <w:szCs w:val="18"/>
                <w:color w:val="auto"/>
                <w:w w:val="92"/>
              </w:rPr>
              <w:t>12/8/2021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36,406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103.39</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102.750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103.720</w:t>
            </w:r>
          </w:p>
        </w:tc>
      </w:tr>
      <w:tr>
        <w:trPr>
          <w:trHeight w:val="216"/>
        </w:trPr>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2"/>
              </w:rPr>
              <w:t>12/8/2021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116,667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104.02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103.770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104.380</w:t>
            </w:r>
          </w:p>
        </w:tc>
      </w:tr>
      <w:tr>
        <w:trPr>
          <w:trHeight w:val="216"/>
        </w:trPr>
        <w:tc>
          <w:tcPr>
            <w:tcW w:w="3040" w:type="dxa"/>
            <w:vAlign w:val="bottom"/>
          </w:tcPr>
          <w:p>
            <w:pPr>
              <w:jc w:val="center"/>
              <w:ind w:left="450"/>
              <w:spacing w:after="0"/>
              <w:rPr>
                <w:sz w:val="20"/>
                <w:szCs w:val="20"/>
                <w:color w:val="auto"/>
              </w:rPr>
            </w:pPr>
            <w:r>
              <w:rPr>
                <w:rFonts w:ascii="Arial" w:cs="Arial" w:eastAsia="Arial" w:hAnsi="Arial"/>
                <w:sz w:val="18"/>
                <w:szCs w:val="18"/>
                <w:color w:val="auto"/>
                <w:w w:val="92"/>
              </w:rPr>
              <w:t>12/9/2021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118,234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103.66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103.070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104.050</w:t>
            </w:r>
          </w:p>
        </w:tc>
      </w:tr>
      <w:tr>
        <w:trPr>
          <w:trHeight w:val="216"/>
        </w:trPr>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2"/>
              </w:rPr>
              <w:t>12/9/2021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24,067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104.28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104.080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104.780</w:t>
            </w:r>
          </w:p>
        </w:tc>
      </w:tr>
      <w:tr>
        <w:trPr>
          <w:trHeight w:val="216"/>
        </w:trPr>
        <w:tc>
          <w:tcPr>
            <w:tcW w:w="3040" w:type="dxa"/>
            <w:vAlign w:val="bottom"/>
          </w:tcPr>
          <w:p>
            <w:pPr>
              <w:jc w:val="center"/>
              <w:ind w:left="450"/>
              <w:spacing w:after="0"/>
              <w:rPr>
                <w:sz w:val="20"/>
                <w:szCs w:val="20"/>
                <w:color w:val="auto"/>
              </w:rPr>
            </w:pPr>
            <w:r>
              <w:rPr>
                <w:rFonts w:ascii="Arial" w:cs="Arial" w:eastAsia="Arial" w:hAnsi="Arial"/>
                <w:sz w:val="18"/>
                <w:szCs w:val="18"/>
                <w:color w:val="auto"/>
                <w:w w:val="90"/>
              </w:rPr>
              <w:t>12/10/2021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34,989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102.50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101.950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102.920</w:t>
            </w:r>
          </w:p>
        </w:tc>
      </w:tr>
      <w:tr>
        <w:trPr>
          <w:trHeight w:val="216"/>
        </w:trPr>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0"/>
              </w:rPr>
              <w:t>12/10/2021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140,291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103.24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102.960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103.900</w:t>
            </w:r>
          </w:p>
        </w:tc>
      </w:tr>
      <w:tr>
        <w:trPr>
          <w:trHeight w:val="216"/>
        </w:trPr>
        <w:tc>
          <w:tcPr>
            <w:tcW w:w="3040" w:type="dxa"/>
            <w:vAlign w:val="bottom"/>
          </w:tcPr>
          <w:p>
            <w:pPr>
              <w:jc w:val="center"/>
              <w:ind w:left="450"/>
              <w:spacing w:after="0"/>
              <w:rPr>
                <w:sz w:val="20"/>
                <w:szCs w:val="20"/>
                <w:color w:val="auto"/>
              </w:rPr>
            </w:pPr>
            <w:r>
              <w:rPr>
                <w:rFonts w:ascii="Arial" w:cs="Arial" w:eastAsia="Arial" w:hAnsi="Arial"/>
                <w:sz w:val="18"/>
                <w:szCs w:val="18"/>
                <w:color w:val="auto"/>
                <w:w w:val="90"/>
              </w:rPr>
              <w:t>12/13/2021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42,482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103.60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102.945</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103.930</w:t>
            </w:r>
          </w:p>
        </w:tc>
      </w:tr>
      <w:tr>
        <w:trPr>
          <w:trHeight w:val="216"/>
        </w:trPr>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0"/>
              </w:rPr>
              <w:t>12/13/2021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107,966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104.45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103.960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104.910</w:t>
            </w:r>
          </w:p>
        </w:tc>
      </w:tr>
      <w:tr>
        <w:trPr>
          <w:trHeight w:val="216"/>
        </w:trPr>
        <w:tc>
          <w:tcPr>
            <w:tcW w:w="3040" w:type="dxa"/>
            <w:vAlign w:val="bottom"/>
          </w:tcPr>
          <w:p>
            <w:pPr>
              <w:jc w:val="center"/>
              <w:ind w:left="450"/>
              <w:spacing w:after="0"/>
              <w:rPr>
                <w:sz w:val="20"/>
                <w:szCs w:val="20"/>
                <w:color w:val="auto"/>
              </w:rPr>
            </w:pPr>
            <w:r>
              <w:rPr>
                <w:rFonts w:ascii="Arial" w:cs="Arial" w:eastAsia="Arial" w:hAnsi="Arial"/>
                <w:sz w:val="18"/>
                <w:szCs w:val="18"/>
                <w:color w:val="auto"/>
                <w:w w:val="90"/>
              </w:rPr>
              <w:t>12/14/2021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10,762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103.39</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103.010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103.740</w:t>
            </w:r>
          </w:p>
        </w:tc>
      </w:tr>
      <w:tr>
        <w:trPr>
          <w:trHeight w:val="216"/>
        </w:trPr>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0"/>
              </w:rPr>
              <w:t>12/14/2021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144,941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104.51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104.070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105.040</w:t>
            </w:r>
          </w:p>
        </w:tc>
      </w:tr>
      <w:tr>
        <w:trPr>
          <w:trHeight w:val="216"/>
        </w:trPr>
        <w:tc>
          <w:tcPr>
            <w:tcW w:w="3040" w:type="dxa"/>
            <w:vAlign w:val="bottom"/>
          </w:tcPr>
          <w:p>
            <w:pPr>
              <w:jc w:val="center"/>
              <w:ind w:left="450"/>
              <w:spacing w:after="0"/>
              <w:rPr>
                <w:sz w:val="20"/>
                <w:szCs w:val="20"/>
                <w:color w:val="auto"/>
              </w:rPr>
            </w:pPr>
            <w:r>
              <w:rPr>
                <w:rFonts w:ascii="Arial" w:cs="Arial" w:eastAsia="Arial" w:hAnsi="Arial"/>
                <w:sz w:val="18"/>
                <w:szCs w:val="18"/>
                <w:color w:val="auto"/>
                <w:w w:val="90"/>
              </w:rPr>
              <w:t>12/14/2021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11,073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105.38</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105.110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105.630</w:t>
            </w:r>
          </w:p>
        </w:tc>
      </w:tr>
      <w:tr>
        <w:trPr>
          <w:trHeight w:val="216"/>
        </w:trPr>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0"/>
              </w:rPr>
              <w:t>12/15/2021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97,507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102.93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102.410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104.350</w:t>
            </w:r>
          </w:p>
        </w:tc>
      </w:tr>
      <w:tr>
        <w:trPr>
          <w:trHeight w:val="216"/>
        </w:trPr>
        <w:tc>
          <w:tcPr>
            <w:tcW w:w="3040" w:type="dxa"/>
            <w:vAlign w:val="bottom"/>
          </w:tcPr>
          <w:p>
            <w:pPr>
              <w:jc w:val="center"/>
              <w:ind w:left="450"/>
              <w:spacing w:after="0"/>
              <w:rPr>
                <w:sz w:val="20"/>
                <w:szCs w:val="20"/>
                <w:color w:val="auto"/>
              </w:rPr>
            </w:pPr>
            <w:r>
              <w:rPr>
                <w:rFonts w:ascii="Arial" w:cs="Arial" w:eastAsia="Arial" w:hAnsi="Arial"/>
                <w:sz w:val="18"/>
                <w:szCs w:val="18"/>
                <w:color w:val="auto"/>
                <w:w w:val="90"/>
              </w:rPr>
              <w:t>12/15/2021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78,326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103.76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103.420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104.350</w:t>
            </w:r>
          </w:p>
        </w:tc>
      </w:tr>
      <w:tr>
        <w:trPr>
          <w:trHeight w:val="216"/>
        </w:trPr>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0"/>
              </w:rPr>
              <w:t>12/16/2021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169,851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104.85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104.300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105.295</w:t>
            </w:r>
          </w:p>
        </w:tc>
      </w:tr>
      <w:tr>
        <w:trPr>
          <w:trHeight w:val="216"/>
        </w:trPr>
        <w:tc>
          <w:tcPr>
            <w:tcW w:w="3040" w:type="dxa"/>
            <w:vAlign w:val="bottom"/>
          </w:tcPr>
          <w:p>
            <w:pPr>
              <w:jc w:val="center"/>
              <w:ind w:left="450"/>
              <w:spacing w:after="0"/>
              <w:rPr>
                <w:sz w:val="20"/>
                <w:szCs w:val="20"/>
                <w:color w:val="auto"/>
              </w:rPr>
            </w:pPr>
            <w:r>
              <w:rPr>
                <w:rFonts w:ascii="Arial" w:cs="Arial" w:eastAsia="Arial" w:hAnsi="Arial"/>
                <w:sz w:val="18"/>
                <w:szCs w:val="18"/>
                <w:color w:val="auto"/>
                <w:w w:val="90"/>
              </w:rPr>
              <w:t>12/16/2021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35,916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105.48</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105.310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106.120</w:t>
            </w:r>
          </w:p>
        </w:tc>
      </w:tr>
      <w:tr>
        <w:trPr>
          <w:trHeight w:val="216"/>
        </w:trPr>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0"/>
              </w:rPr>
              <w:t>12/17/2021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26,345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103.17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102.610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103.570</w:t>
            </w:r>
          </w:p>
        </w:tc>
      </w:tr>
      <w:tr>
        <w:trPr>
          <w:trHeight w:val="216"/>
        </w:trPr>
        <w:tc>
          <w:tcPr>
            <w:tcW w:w="3040" w:type="dxa"/>
            <w:vAlign w:val="bottom"/>
          </w:tcPr>
          <w:p>
            <w:pPr>
              <w:jc w:val="center"/>
              <w:ind w:left="450"/>
              <w:spacing w:after="0"/>
              <w:rPr>
                <w:sz w:val="20"/>
                <w:szCs w:val="20"/>
                <w:color w:val="auto"/>
              </w:rPr>
            </w:pPr>
            <w:r>
              <w:rPr>
                <w:rFonts w:ascii="Arial" w:cs="Arial" w:eastAsia="Arial" w:hAnsi="Arial"/>
                <w:sz w:val="18"/>
                <w:szCs w:val="18"/>
                <w:color w:val="auto"/>
                <w:w w:val="90"/>
              </w:rPr>
              <w:t>12/17/2021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185,575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104.06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103.610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104.600</w:t>
            </w:r>
          </w:p>
        </w:tc>
      </w:tr>
      <w:tr>
        <w:trPr>
          <w:trHeight w:val="216"/>
        </w:trPr>
        <w:tc>
          <w:tcPr>
            <w:tcW w:w="3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0"/>
              </w:rPr>
              <w:t>12/17/2021</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20,580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4"/>
              </w:rPr>
              <w:t>104.86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104.610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105.140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Reporting Persons undertake to provide, upon request of the staff of the Securities and Exchange Commission, full information regarding the number of shares of Common Stock sold at each separate price within the price ranges set forth on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0" w:right="45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color w:val="auto"/>
        </w:rPr>
        <w:t>Annex A</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Annex A is hereby amended and restated as follows: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Directors of KKR &amp; Co. Inc.</w:t>
      </w:r>
    </w:p>
    <w:p>
      <w:pPr>
        <w:spacing w:after="0" w:line="233" w:lineRule="exact"/>
        <w:rPr>
          <w:sz w:val="20"/>
          <w:szCs w:val="20"/>
          <w:color w:val="auto"/>
        </w:rPr>
      </w:pPr>
    </w:p>
    <w:p>
      <w:pPr>
        <w:jc w:val="both"/>
        <w:ind w:right="140"/>
        <w:spacing w:after="0"/>
        <w:rPr>
          <w:sz w:val="20"/>
          <w:szCs w:val="20"/>
          <w:color w:val="auto"/>
        </w:rPr>
      </w:pPr>
      <w:r>
        <w:rPr>
          <w:rFonts w:ascii="Arial" w:cs="Arial" w:eastAsia="Arial" w:hAnsi="Arial"/>
          <w:sz w:val="22"/>
          <w:szCs w:val="22"/>
          <w:color w:val="auto"/>
        </w:rPr>
        <w:t>The following sets forth the name and principal occupation of each of the directors of KKR &amp; Co. Inc. Each of such persons is a citizen of the United States other than Arturo Gutierrez, who is a citizen of Mexico, Xavier Niel, who is a citizen of France and Evan Spiegel, who is a citizen of the United States and France.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94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Principal Occupation</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Henry R. Kravis</w:t>
            </w:r>
          </w:p>
        </w:tc>
        <w:tc>
          <w:tcPr>
            <w:tcW w:w="9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Co-Executive Chairman of KKR &amp; Co. Inc.</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George R. Roberts</w:t>
            </w:r>
          </w:p>
        </w:tc>
        <w:tc>
          <w:tcPr>
            <w:tcW w:w="9460" w:type="dxa"/>
            <w:vAlign w:val="bottom"/>
          </w:tcPr>
          <w:p>
            <w:pPr>
              <w:ind w:left="260"/>
              <w:spacing w:after="0"/>
              <w:rPr>
                <w:sz w:val="20"/>
                <w:szCs w:val="20"/>
                <w:color w:val="auto"/>
              </w:rPr>
            </w:pPr>
            <w:r>
              <w:rPr>
                <w:rFonts w:ascii="Arial" w:cs="Arial" w:eastAsia="Arial" w:hAnsi="Arial"/>
                <w:sz w:val="18"/>
                <w:szCs w:val="18"/>
                <w:color w:val="auto"/>
              </w:rPr>
              <w:t>Co-Executive Chairman of KKR &amp; Co. Inc.</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Joseph Y. Bae</w:t>
            </w:r>
          </w:p>
        </w:tc>
        <w:tc>
          <w:tcPr>
            <w:tcW w:w="9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Co-Chief Executive Officer of KKR &amp; Co. Inc.</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Scott C. Nuttall</w:t>
            </w:r>
          </w:p>
        </w:tc>
        <w:tc>
          <w:tcPr>
            <w:tcW w:w="9460" w:type="dxa"/>
            <w:vAlign w:val="bottom"/>
          </w:tcPr>
          <w:p>
            <w:pPr>
              <w:ind w:left="260"/>
              <w:spacing w:after="0"/>
              <w:rPr>
                <w:sz w:val="20"/>
                <w:szCs w:val="20"/>
                <w:color w:val="auto"/>
              </w:rPr>
            </w:pPr>
            <w:r>
              <w:rPr>
                <w:rFonts w:ascii="Arial" w:cs="Arial" w:eastAsia="Arial" w:hAnsi="Arial"/>
                <w:sz w:val="18"/>
                <w:szCs w:val="18"/>
                <w:color w:val="auto"/>
              </w:rPr>
              <w:t>Co-Chief Executive Officer of KKR &amp; Co. Inc.</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Adriane Brown</w:t>
            </w:r>
          </w:p>
        </w:tc>
        <w:tc>
          <w:tcPr>
            <w:tcW w:w="9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Managing Partner of Flying Fish Partners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Mary N. Dillon</w:t>
            </w:r>
          </w:p>
        </w:tc>
        <w:tc>
          <w:tcPr>
            <w:tcW w:w="9460" w:type="dxa"/>
            <w:vAlign w:val="bottom"/>
          </w:tcPr>
          <w:p>
            <w:pPr>
              <w:ind w:left="260"/>
              <w:spacing w:after="0"/>
              <w:rPr>
                <w:sz w:val="20"/>
                <w:szCs w:val="20"/>
                <w:color w:val="auto"/>
              </w:rPr>
            </w:pPr>
            <w:r>
              <w:rPr>
                <w:rFonts w:ascii="Arial" w:cs="Arial" w:eastAsia="Arial" w:hAnsi="Arial"/>
                <w:sz w:val="18"/>
                <w:szCs w:val="18"/>
                <w:color w:val="auto"/>
              </w:rPr>
              <w:t>Executive Chair of Ulta Beauty, Inc.</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Joseph A. Grundfest</w:t>
            </w:r>
          </w:p>
        </w:tc>
        <w:tc>
          <w:tcPr>
            <w:tcW w:w="9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William A. Franke Professor of Law and Business of Stanford Law School</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Arturo Gutierrez</w:t>
            </w:r>
          </w:p>
        </w:tc>
        <w:tc>
          <w:tcPr>
            <w:tcW w:w="9460" w:type="dxa"/>
            <w:vAlign w:val="bottom"/>
          </w:tcPr>
          <w:p>
            <w:pPr>
              <w:ind w:left="260"/>
              <w:spacing w:after="0"/>
              <w:rPr>
                <w:sz w:val="20"/>
                <w:szCs w:val="20"/>
                <w:color w:val="auto"/>
              </w:rPr>
            </w:pPr>
            <w:r>
              <w:rPr>
                <w:rFonts w:ascii="Arial" w:cs="Arial" w:eastAsia="Arial" w:hAnsi="Arial"/>
                <w:sz w:val="18"/>
                <w:szCs w:val="18"/>
                <w:color w:val="auto"/>
              </w:rPr>
              <w:t>Chief Executive Officer of Arca Continental, S.A.B. de C.V.</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John B. Hess</w:t>
            </w:r>
          </w:p>
        </w:tc>
        <w:tc>
          <w:tcPr>
            <w:tcW w:w="9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Chief Executive Officer of Hess Corporation</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Dane Holmes</w:t>
            </w:r>
          </w:p>
        </w:tc>
        <w:tc>
          <w:tcPr>
            <w:tcW w:w="9460" w:type="dxa"/>
            <w:vAlign w:val="bottom"/>
          </w:tcPr>
          <w:p>
            <w:pPr>
              <w:ind w:left="260"/>
              <w:spacing w:after="0"/>
              <w:rPr>
                <w:sz w:val="20"/>
                <w:szCs w:val="20"/>
                <w:color w:val="auto"/>
              </w:rPr>
            </w:pPr>
            <w:r>
              <w:rPr>
                <w:rFonts w:ascii="Arial" w:cs="Arial" w:eastAsia="Arial" w:hAnsi="Arial"/>
                <w:sz w:val="18"/>
                <w:szCs w:val="18"/>
                <w:color w:val="auto"/>
              </w:rPr>
              <w:t>Chief Executive Officer and Co-Founder of Eskalera Inc.</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Xavier Niel</w:t>
            </w:r>
          </w:p>
        </w:tc>
        <w:tc>
          <w:tcPr>
            <w:tcW w:w="9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Founder, Deputy Chairman of the Board and Chief Strategy Officer of Iliad SA</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Patricia F. Russo</w:t>
            </w:r>
          </w:p>
        </w:tc>
        <w:tc>
          <w:tcPr>
            <w:tcW w:w="9460" w:type="dxa"/>
            <w:vAlign w:val="bottom"/>
          </w:tcPr>
          <w:p>
            <w:pPr>
              <w:ind w:left="260"/>
              <w:spacing w:after="0"/>
              <w:rPr>
                <w:sz w:val="20"/>
                <w:szCs w:val="20"/>
                <w:color w:val="auto"/>
              </w:rPr>
            </w:pPr>
            <w:r>
              <w:rPr>
                <w:rFonts w:ascii="Arial" w:cs="Arial" w:eastAsia="Arial" w:hAnsi="Arial"/>
                <w:sz w:val="18"/>
                <w:szCs w:val="18"/>
                <w:color w:val="auto"/>
              </w:rPr>
              <w:t>Retired, Former Chief Executive Officer of Alcatel-Lucent</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Thomas M. Schoewe</w:t>
            </w:r>
          </w:p>
        </w:tc>
        <w:tc>
          <w:tcPr>
            <w:tcW w:w="9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Retired, Former Executive Vice President and Chief Financial Officer of Wal-Mart Stores, Inc.</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Robert W. Scully</w:t>
            </w:r>
          </w:p>
        </w:tc>
        <w:tc>
          <w:tcPr>
            <w:tcW w:w="9460" w:type="dxa"/>
            <w:vAlign w:val="bottom"/>
          </w:tcPr>
          <w:p>
            <w:pPr>
              <w:ind w:left="260"/>
              <w:spacing w:after="0"/>
              <w:rPr>
                <w:sz w:val="20"/>
                <w:szCs w:val="20"/>
                <w:color w:val="auto"/>
              </w:rPr>
            </w:pPr>
            <w:r>
              <w:rPr>
                <w:rFonts w:ascii="Arial" w:cs="Arial" w:eastAsia="Arial" w:hAnsi="Arial"/>
                <w:sz w:val="18"/>
                <w:szCs w:val="18"/>
                <w:color w:val="auto"/>
              </w:rPr>
              <w:t>Retired, Former Member, Office of the Chairman of Morgan Stanley</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Evan Spiegel</w:t>
            </w:r>
          </w:p>
        </w:tc>
        <w:tc>
          <w:tcPr>
            <w:tcW w:w="9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Co-Founder and Chief Executive Officer of Snap Inc.</w:t>
            </w:r>
          </w:p>
        </w:tc>
      </w:tr>
    </w:tbl>
    <w:p>
      <w:pPr>
        <w:spacing w:after="0" w:line="222"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Mr. Scott Nuttall and a trust for the benefit of Mr. Nuttall’s family directly hold 22,725 and 7,575 shares of Common Stock, respectively, received in the merger of a subsidiary of the Issuer with and into First Data Corporation as merger consideration for the 75,000 and 25,000 shares of Class A common stock of First Data Corporation owned prior to the merger, respectively. Mr. Nuttall, as a member of the board of directors of the Issuer, participates in the Issuer’s non-employee director compensation arrangements. Pursuant to such arrangements, as of the date hereof, Mr. Nuttall (i) has been allocated a total of 1,291 deferred compensation notional shares allocated under the Fiserv, Inc. Non-Employee Director Deferred Compensation Plan, pursuant to which, following cessation of Mr. Nuttall’s service to the Issuer, each notional unit will be settled in shares of Common Stock on a one-for-one basis, (ii) holds 1,934 shares of common stock received upon vesting of previously awarded restricted stock units and (iii) has been awarded 1,699 restricted stock units on May 19, 2021, each representing a contingent right to receive one share of Common Stock, which vest on the earlier of the first anniversary of the grant date or immediately prior to the first annual meeting of shareholders after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2021-12-20T16:03:32Z</dcterms:created>
  <dcterms:modified xsi:type="dcterms:W3CDTF">2021-12-20T16:03:32Z</dcterms:modified>
</cp:coreProperties>
</file>