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70"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File No. 333-00913</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2000"/>
        <w:spacing w:after="0" w:line="237" w:lineRule="auto"/>
        <w:rPr>
          <w:sz w:val="20"/>
          <w:szCs w:val="20"/>
          <w:color w:val="auto"/>
        </w:rPr>
      </w:pPr>
      <w:r>
        <w:rPr>
          <w:rFonts w:ascii="Courier New" w:cs="Courier New" w:eastAsia="Courier New" w:hAnsi="Courier New"/>
          <w:sz w:val="18"/>
          <w:szCs w:val="18"/>
          <w:color w:val="auto"/>
        </w:rPr>
        <w:t>_________________________________________</w:t>
      </w:r>
    </w:p>
    <w:p>
      <w:pPr>
        <w:ind w:left="3380"/>
        <w:spacing w:after="0" w:line="238" w:lineRule="auto"/>
        <w:rPr>
          <w:sz w:val="20"/>
          <w:szCs w:val="20"/>
          <w:color w:val="auto"/>
        </w:rPr>
      </w:pPr>
      <w:r>
        <w:rPr>
          <w:rFonts w:ascii="Courier New" w:cs="Courier New" w:eastAsia="Courier New" w:hAnsi="Courier New"/>
          <w:sz w:val="18"/>
          <w:szCs w:val="18"/>
          <w:color w:val="auto"/>
        </w:rPr>
        <w:t>AMENDMENT NO. 2</w:t>
      </w:r>
    </w:p>
    <w:p>
      <w:pPr>
        <w:ind w:left="4120"/>
        <w:spacing w:after="0"/>
        <w:rPr>
          <w:sz w:val="20"/>
          <w:szCs w:val="20"/>
          <w:color w:val="auto"/>
        </w:rPr>
      </w:pPr>
      <w:r>
        <w:rPr>
          <w:rFonts w:ascii="Courier New" w:cs="Courier New" w:eastAsia="Courier New" w:hAnsi="Courier New"/>
          <w:sz w:val="18"/>
          <w:szCs w:val="18"/>
          <w:color w:val="auto"/>
        </w:rPr>
        <w:t>TO</w:t>
      </w:r>
    </w:p>
    <w:p>
      <w:pPr>
        <w:ind w:left="3800"/>
        <w:spacing w:after="0" w:line="237" w:lineRule="auto"/>
        <w:rPr>
          <w:sz w:val="20"/>
          <w:szCs w:val="20"/>
          <w:color w:val="auto"/>
        </w:rPr>
      </w:pPr>
      <w:r>
        <w:rPr>
          <w:rFonts w:ascii="Courier New" w:cs="Courier New" w:eastAsia="Courier New" w:hAnsi="Courier New"/>
          <w:sz w:val="18"/>
          <w:szCs w:val="18"/>
          <w:color w:val="auto"/>
        </w:rPr>
        <w:t>FORM S-3</w:t>
      </w:r>
    </w:p>
    <w:p>
      <w:pPr>
        <w:ind w:left="30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7"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ind w:left="2000"/>
        <w:spacing w:after="0" w:line="237" w:lineRule="auto"/>
        <w:rPr>
          <w:sz w:val="20"/>
          <w:szCs w:val="20"/>
          <w:color w:val="auto"/>
        </w:rPr>
      </w:pPr>
      <w:r>
        <w:rPr>
          <w:rFonts w:ascii="Courier New" w:cs="Courier New" w:eastAsia="Courier New" w:hAnsi="Courier New"/>
          <w:sz w:val="18"/>
          <w:szCs w:val="18"/>
          <w:color w:val="auto"/>
        </w:rPr>
        <w:t>_________________________________________</w:t>
      </w:r>
    </w:p>
    <w:p>
      <w:pPr>
        <w:jc w:val="center"/>
        <w:ind w:right="1779"/>
        <w:spacing w:after="0" w:line="238" w:lineRule="auto"/>
        <w:rPr>
          <w:sz w:val="20"/>
          <w:szCs w:val="20"/>
          <w:color w:val="auto"/>
        </w:rPr>
      </w:pPr>
      <w:r>
        <w:rPr>
          <w:rFonts w:ascii="Courier New" w:cs="Courier New" w:eastAsia="Courier New" w:hAnsi="Courier New"/>
          <w:sz w:val="18"/>
          <w:szCs w:val="18"/>
          <w:color w:val="auto"/>
        </w:rPr>
        <w:t>Fiserv, Inc.</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ind w:left="1800"/>
        <w:spacing w:after="0" w:line="237" w:lineRule="auto"/>
        <w:tabs>
          <w:tab w:leader="none" w:pos="6000" w:val="left"/>
        </w:tabs>
        <w:rPr>
          <w:sz w:val="20"/>
          <w:szCs w:val="20"/>
          <w:color w:val="auto"/>
        </w:rPr>
      </w:pPr>
      <w:r>
        <w:rPr>
          <w:rFonts w:ascii="Courier New" w:cs="Courier New" w:eastAsia="Courier New" w:hAnsi="Courier New"/>
          <w:sz w:val="18"/>
          <w:szCs w:val="18"/>
          <w:color w:val="auto"/>
        </w:rPr>
        <w:t>Wisconsin</w:t>
      </w:r>
      <w:r>
        <w:rPr>
          <w:sz w:val="20"/>
          <w:szCs w:val="20"/>
          <w:color w:val="auto"/>
        </w:rPr>
        <w:tab/>
      </w:r>
      <w:r>
        <w:rPr>
          <w:rFonts w:ascii="Courier New" w:cs="Courier New" w:eastAsia="Courier New" w:hAnsi="Courier New"/>
          <w:sz w:val="18"/>
          <w:szCs w:val="18"/>
          <w:color w:val="auto"/>
        </w:rPr>
        <w:t>39-1506125</w:t>
      </w:r>
    </w:p>
    <w:p>
      <w:pPr>
        <w:spacing w:after="0"/>
        <w:tabs>
          <w:tab w:leader="none" w:pos="4840" w:val="left"/>
        </w:tabs>
        <w:rPr>
          <w:sz w:val="20"/>
          <w:szCs w:val="20"/>
          <w:color w:val="auto"/>
        </w:rPr>
      </w:pPr>
      <w:r>
        <w:rPr>
          <w:rFonts w:ascii="Courier New" w:cs="Courier New" w:eastAsia="Courier New" w:hAnsi="Courier New"/>
          <w:sz w:val="18"/>
          <w:szCs w:val="18"/>
          <w:color w:val="auto"/>
        </w:rPr>
        <w:t>(State of jurisdiction of incorporation or</w:t>
      </w:r>
      <w:r>
        <w:rPr>
          <w:sz w:val="20"/>
          <w:szCs w:val="20"/>
          <w:color w:val="auto"/>
        </w:rPr>
        <w:tab/>
      </w:r>
      <w:r>
        <w:rPr>
          <w:rFonts w:ascii="Courier New" w:cs="Courier New" w:eastAsia="Courier New" w:hAnsi="Courier New"/>
          <w:sz w:val="16"/>
          <w:szCs w:val="16"/>
          <w:color w:val="auto"/>
        </w:rPr>
        <w:t>(I.R.S. employer identification</w:t>
      </w:r>
    </w:p>
    <w:p>
      <w:pPr>
        <w:ind w:left="1580"/>
        <w:spacing w:after="0" w:line="237" w:lineRule="auto"/>
        <w:tabs>
          <w:tab w:leader="none" w:pos="6100" w:val="left"/>
        </w:tabs>
        <w:rPr>
          <w:sz w:val="20"/>
          <w:szCs w:val="20"/>
          <w:color w:val="auto"/>
        </w:rPr>
      </w:pPr>
      <w:r>
        <w:rPr>
          <w:rFonts w:ascii="Courier New" w:cs="Courier New" w:eastAsia="Courier New" w:hAnsi="Courier New"/>
          <w:sz w:val="18"/>
          <w:szCs w:val="18"/>
          <w:color w:val="auto"/>
        </w:rPr>
        <w:t>organization)</w:t>
      </w:r>
      <w:r>
        <w:rPr>
          <w:sz w:val="20"/>
          <w:szCs w:val="20"/>
          <w:color w:val="auto"/>
        </w:rPr>
        <w:tab/>
      </w:r>
      <w:r>
        <w:rPr>
          <w:rFonts w:ascii="Courier New" w:cs="Courier New" w:eastAsia="Courier New" w:hAnsi="Courier New"/>
          <w:sz w:val="18"/>
          <w:szCs w:val="18"/>
          <w:color w:val="auto"/>
        </w:rPr>
        <w:t>number)</w:t>
      </w:r>
    </w:p>
    <w:p>
      <w:pPr>
        <w:sectPr>
          <w:pgSz w:w="11900" w:h="16884" w:orient="portrait"/>
          <w:cols w:equalWidth="0" w:num="1">
            <w:col w:w="10219"/>
          </w:cols>
          <w:pgMar w:left="240" w:top="1440" w:right="1440" w:bottom="0" w:gutter="0" w:footer="0" w:header="0"/>
        </w:sectPr>
      </w:pPr>
    </w:p>
    <w:p>
      <w:pPr>
        <w:spacing w:after="0" w:line="5"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255 Fiserv Drive</w:t>
      </w:r>
    </w:p>
    <w:p>
      <w:pPr>
        <w:spacing w:after="0" w:line="1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Brookfield, Wisconsin</w:t>
      </w:r>
    </w:p>
    <w:p>
      <w:pPr>
        <w:ind w:left="3480"/>
        <w:spacing w:after="0" w:line="238" w:lineRule="auto"/>
        <w:rPr>
          <w:sz w:val="20"/>
          <w:szCs w:val="20"/>
          <w:color w:val="auto"/>
        </w:rPr>
      </w:pPr>
      <w:r>
        <w:rPr>
          <w:rFonts w:ascii="Courier New" w:cs="Courier New" w:eastAsia="Courier New" w:hAnsi="Courier New"/>
          <w:sz w:val="18"/>
          <w:szCs w:val="18"/>
          <w:color w:val="auto"/>
        </w:rPr>
        <w:t>(414) 879-5000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53045</w:t>
      </w:r>
    </w:p>
    <w:p>
      <w:pPr>
        <w:spacing w:after="0" w:line="203" w:lineRule="exact"/>
        <w:rPr>
          <w:sz w:val="24"/>
          <w:szCs w:val="24"/>
          <w:color w:val="auto"/>
        </w:rPr>
      </w:pPr>
    </w:p>
    <w:p>
      <w:pPr>
        <w:sectPr>
          <w:pgSz w:w="11900" w:h="16884" w:orient="portrait"/>
          <w:cols w:equalWidth="0" w:num="2">
            <w:col w:w="5060" w:space="100"/>
            <w:col w:w="5059"/>
          </w:cols>
          <w:pgMar w:left="240" w:top="1440" w:right="1440" w:bottom="0" w:gutter="0" w:footer="0" w:header="0"/>
          <w:type w:val="continuous"/>
        </w:sectPr>
      </w:pPr>
    </w:p>
    <w:p>
      <w:pPr>
        <w:ind w:left="220"/>
        <w:spacing w:after="0"/>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000"/>
        <w:spacing w:after="0" w:line="237" w:lineRule="auto"/>
        <w:rPr>
          <w:sz w:val="20"/>
          <w:szCs w:val="20"/>
          <w:color w:val="auto"/>
        </w:rPr>
      </w:pPr>
      <w:r>
        <w:rPr>
          <w:rFonts w:ascii="Courier New" w:cs="Courier New" w:eastAsia="Courier New" w:hAnsi="Courier New"/>
          <w:sz w:val="18"/>
          <w:szCs w:val="18"/>
          <w:color w:val="auto"/>
        </w:rPr>
        <w:t>Registrant's principal executive offices)</w:t>
      </w:r>
    </w:p>
    <w:p>
      <w:pPr>
        <w:ind w:left="3280"/>
        <w:spacing w:after="0" w:line="238" w:lineRule="auto"/>
        <w:rPr>
          <w:sz w:val="20"/>
          <w:szCs w:val="20"/>
          <w:color w:val="auto"/>
        </w:rPr>
      </w:pPr>
      <w:r>
        <w:rPr>
          <w:rFonts w:ascii="Courier New" w:cs="Courier New" w:eastAsia="Courier New" w:hAnsi="Courier New"/>
          <w:sz w:val="18"/>
          <w:szCs w:val="18"/>
          <w:color w:val="auto"/>
        </w:rPr>
        <w:t>KENNETH R. JENSEN</w:t>
      </w:r>
    </w:p>
    <w:p>
      <w:pPr>
        <w:ind w:left="2540"/>
        <w:spacing w:after="0"/>
        <w:rPr>
          <w:sz w:val="20"/>
          <w:szCs w:val="20"/>
          <w:color w:val="auto"/>
        </w:rPr>
      </w:pPr>
      <w:r>
        <w:rPr>
          <w:rFonts w:ascii="Courier New" w:cs="Courier New" w:eastAsia="Courier New" w:hAnsi="Courier New"/>
          <w:sz w:val="18"/>
          <w:szCs w:val="18"/>
          <w:color w:val="auto"/>
        </w:rPr>
        <w:t>Senior Executive Vice President</w:t>
      </w:r>
    </w:p>
    <w:p>
      <w:pPr>
        <w:ind w:left="3580"/>
        <w:spacing w:after="0" w:line="237" w:lineRule="auto"/>
        <w:rPr>
          <w:sz w:val="20"/>
          <w:szCs w:val="20"/>
          <w:color w:val="auto"/>
        </w:rPr>
      </w:pPr>
      <w:r>
        <w:rPr>
          <w:rFonts w:ascii="Courier New" w:cs="Courier New" w:eastAsia="Courier New" w:hAnsi="Courier New"/>
          <w:sz w:val="18"/>
          <w:szCs w:val="18"/>
          <w:color w:val="auto"/>
        </w:rPr>
        <w:t>Fiserv, Inc.</w:t>
      </w:r>
    </w:p>
    <w:p>
      <w:pPr>
        <w:ind w:left="3380"/>
        <w:spacing w:after="0"/>
        <w:rPr>
          <w:sz w:val="20"/>
          <w:szCs w:val="20"/>
          <w:color w:val="auto"/>
        </w:rPr>
      </w:pPr>
      <w:r>
        <w:rPr>
          <w:rFonts w:ascii="Courier New" w:cs="Courier New" w:eastAsia="Courier New" w:hAnsi="Courier New"/>
          <w:sz w:val="18"/>
          <w:szCs w:val="18"/>
          <w:color w:val="auto"/>
        </w:rPr>
        <w:t>255 Fiserv Drive</w:t>
      </w:r>
    </w:p>
    <w:p>
      <w:pPr>
        <w:ind w:left="2740"/>
        <w:spacing w:after="0" w:line="237" w:lineRule="auto"/>
        <w:tabs>
          <w:tab w:leader="none" w:pos="5140" w:val="left"/>
        </w:tabs>
        <w:rPr>
          <w:sz w:val="20"/>
          <w:szCs w:val="20"/>
          <w:color w:val="auto"/>
        </w:rPr>
      </w:pPr>
      <w:r>
        <w:rPr>
          <w:rFonts w:ascii="Courier New" w:cs="Courier New" w:eastAsia="Courier New" w:hAnsi="Courier New"/>
          <w:sz w:val="18"/>
          <w:szCs w:val="18"/>
          <w:color w:val="auto"/>
        </w:rPr>
        <w:t>Brookfield, Wisconsin</w:t>
        <w:tab/>
        <w:t>53045</w:t>
      </w:r>
    </w:p>
    <w:p>
      <w:pPr>
        <w:ind w:left="3480"/>
        <w:spacing w:after="0"/>
        <w:rPr>
          <w:sz w:val="20"/>
          <w:szCs w:val="20"/>
          <w:color w:val="auto"/>
        </w:rPr>
      </w:pPr>
      <w:r>
        <w:rPr>
          <w:rFonts w:ascii="Courier New" w:cs="Courier New" w:eastAsia="Courier New" w:hAnsi="Courier New"/>
          <w:sz w:val="18"/>
          <w:szCs w:val="18"/>
          <w:color w:val="auto"/>
        </w:rPr>
        <w:t>(414) 879-5000</w:t>
      </w:r>
    </w:p>
    <w:p>
      <w:pPr>
        <w:spacing w:after="0" w:line="3"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1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of agent for service)</w:t>
      </w:r>
    </w:p>
    <w:p>
      <w:pPr>
        <w:ind w:left="2000"/>
        <w:spacing w:after="0" w:line="238" w:lineRule="auto"/>
        <w:rPr>
          <w:sz w:val="20"/>
          <w:szCs w:val="20"/>
          <w:color w:val="auto"/>
        </w:rPr>
      </w:pPr>
      <w:r>
        <w:rPr>
          <w:rFonts w:ascii="Courier New" w:cs="Courier New" w:eastAsia="Courier New" w:hAnsi="Courier New"/>
          <w:sz w:val="18"/>
          <w:szCs w:val="18"/>
          <w:color w:val="auto"/>
        </w:rPr>
        <w:t>_________________________________________</w:t>
      </w:r>
    </w:p>
    <w:p>
      <w:pPr>
        <w:spacing w:after="0" w:line="5" w:lineRule="exact"/>
        <w:rPr>
          <w:sz w:val="24"/>
          <w:szCs w:val="24"/>
          <w:color w:val="auto"/>
        </w:rPr>
      </w:pPr>
    </w:p>
    <w:p>
      <w:pPr>
        <w:jc w:val="both"/>
        <w:ind w:right="2099"/>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spacing w:after="0" w:line="6" w:lineRule="exact"/>
        <w:rPr>
          <w:sz w:val="24"/>
          <w:szCs w:val="24"/>
          <w:color w:val="auto"/>
        </w:rPr>
      </w:pPr>
    </w:p>
    <w:p>
      <w:pPr>
        <w:jc w:val="both"/>
        <w:ind w:right="2099" w:firstLine="316"/>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153,096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Fiserv,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The Financial Data Services Company</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may be used in connection with the distribution of up to 153,096 shares of Fiserv, Inc. Common Stock, $.01 par value (the "Shares"), proposed to be disposed of from time to time by the Selling Shareholders named herein. See "Selling Shareholders". The Company will not receive any of the proceeds from the sale of the Shares. The expenses of the registration of which this Prospectus forms a part will be paid by the Company. The Common Stock of the Company is traded in the NASDAQ National Market System under the symbol "FISV". On April 4, 1996, the reported closing sale price of the Common Stock as quoted on the NASDAQ National Market System was $29.00 per share.</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77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The distribution of the Shares by the Selling Shareholders may be effected from time to time in one or more transactions (which may involve block transactions) in the over-the-counter market, on the NASDAQ National Market</w:t>
      </w:r>
    </w:p>
    <w:p>
      <w:pPr>
        <w:sectPr>
          <w:pgSz w:w="11900" w:h="16884" w:orient="portrait"/>
          <w:cols w:equalWidth="0" w:num="1">
            <w:col w:w="10219"/>
          </w:cols>
          <w:pgMar w:left="240" w:top="1440" w:right="1440" w:bottom="0" w:gutter="0" w:footer="0" w:header="0"/>
          <w:type w:val="continuous"/>
        </w:sectPr>
      </w:pPr>
    </w:p>
    <w:bookmarkStart w:id="1" w:name="page2"/>
    <w:bookmarkEnd w:id="1"/>
    <w:p>
      <w:pPr>
        <w:jc w:val="both"/>
        <w:ind w:right="1779"/>
        <w:spacing w:after="0" w:line="237" w:lineRule="auto"/>
        <w:rPr>
          <w:sz w:val="20"/>
          <w:szCs w:val="20"/>
          <w:color w:val="auto"/>
        </w:rPr>
      </w:pPr>
      <w:r>
        <w:rPr>
          <w:rFonts w:ascii="Courier New" w:cs="Courier New" w:eastAsia="Courier New" w:hAnsi="Courier New"/>
          <w:sz w:val="18"/>
          <w:szCs w:val="18"/>
          <w:color w:val="auto"/>
        </w:rPr>
        <w:t>System (or any exchange on which the Common Stock may then be listed), in negotiated transactions or otherwise. Sales will be effected at such prices and for such consideration as may be obtainable from time to time. Commission expenses and brokerage fees, if any, will be paid individually by the Selling Shareholders. See "Plan of Distribution".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5,1996</w:t>
      </w:r>
    </w:p>
    <w:p>
      <w:pPr>
        <w:spacing w:after="0" w:line="207" w:lineRule="exact"/>
        <w:rPr>
          <w:sz w:val="20"/>
          <w:szCs w:val="20"/>
          <w:color w:val="auto"/>
        </w:rPr>
      </w:pPr>
    </w:p>
    <w:p>
      <w:pPr>
        <w:jc w:val="center"/>
        <w:ind w:right="1779"/>
        <w:spacing w:after="0" w:line="268" w:lineRule="auto"/>
        <w:rPr>
          <w:sz w:val="20"/>
          <w:szCs w:val="20"/>
          <w:color w:val="auto"/>
        </w:rPr>
      </w:pPr>
      <w:r>
        <w:rPr>
          <w:rFonts w:ascii="Courier New" w:cs="Courier New" w:eastAsia="Courier New" w:hAnsi="Courier New"/>
          <w:sz w:val="16"/>
          <w:szCs w:val="16"/>
          <w:color w:val="auto"/>
        </w:rPr>
        <w:t>NO PERSON IS AUTHORIZED IN CONNECTION WITH THE OFFERING MADE HEREBY TO GIVE ANY INFORMATION OR TO MAKE ANY REPRESENTATION NOT CONTAINED IN OR INCORPORATED BY REFERENCE IN THIS PROSPECTUS, AND ANY SUCH INFORMATION OR REPRESENTATION NOT CONTAINED OR INCORPORATED BY REFERENCE HEREIN MUST NOT BE RELIED UPON AS HAVING BEEN AUTHORIZED BY THE COMPANY OR BY THE SELLING SHAREHOLDERS.  THIS PROSPECTUS DOES NOT CONSTITUTE AN OFFER TO SELL OR A SOLICITATION OF AN OFFER TO BUY BY ANY PERSON IN ANY JURISDICTION IN WHICH IT IS UNLAWFUL FOR SUCH PERSON TO MAKE SUCH AN OFFER OR SOLICITATION.  NEITHER THE DELIVERY OF THIS PROSPECTUS AT ANY TIME NOR ANY SALE MADE HEREUNDER SHALL UNDER ANY CIRCUMSTANCES IMPLY THAT THE INFORMATION HEREIN IS CORRECT AS OF ANY DATE SUBSEQUENT TO THE DATE HEREOF.</w:t>
      </w:r>
    </w:p>
    <w:p>
      <w:pPr>
        <w:ind w:left="3380"/>
        <w:spacing w:after="0" w:line="235" w:lineRule="auto"/>
        <w:rPr>
          <w:sz w:val="20"/>
          <w:szCs w:val="20"/>
          <w:color w:val="auto"/>
        </w:rPr>
      </w:pPr>
      <w:r>
        <w:rPr>
          <w:rFonts w:ascii="Courier New" w:cs="Courier New" w:eastAsia="Courier New" w:hAnsi="Courier New"/>
          <w:sz w:val="18"/>
          <w:szCs w:val="18"/>
          <w:color w:val="auto"/>
        </w:rPr>
        <w:t>_______________</w:t>
      </w: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There are hereby incorporated by reference in this Prospectus the Company's: (i) Annual Report on Form 10-K for the fiscal year ended December 31, 1995, filed with the Securities and Exchange Commission (the "Commission") on February 27, 1996; (ii) periodic report on Form 8-K filed with the Commission on April 4, 1996; and (iii) all other reports filed pursuant to Section 13(a) or 15(d) of the Exchange Act since December 31, 1995.</w:t>
      </w:r>
    </w:p>
    <w:p>
      <w:pPr>
        <w:spacing w:after="0" w:line="210"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All documents filed by the Company pursuant to Sections 13(a), 13(c), 14 or 15(d) of the Securities Exchange Act of 1934, as amended (the "Exchange Act"), after the date of this Prospectus and prior to the termination of the offering of the Shares shall be deemed to be incorporated by reference herein and to be part hereof from the date of filing of such documents. Any statement contained in a document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hereby undertakes to provide without charge to each person to whom this Prospectus is delivered, upon the written or oral request of such person, a copy of any and all of the documents incorporated by reference in this Prospectus, other than exhibits to such documents (unless such exhibits are specifically incorporated by reference into the documents that this Prospectus incorporates). Written or oral requests for such copies should be directed to Mr. Charles W. Sprague, Secretary, Fiserv, Inc., 255 Fiserv Drive, Brookfield, Wisconsin 53045, telephone (414) 879-5000.</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headquarters are located at 255 Fiserv Drive, Brookfield, Wisconsin 53045, telephone (414) 879-5000. Fiserv was incorporated as a Delaware corporation in 1984, and reincorporated as a Wisconsin corporation in 1992. The terms "Fiserv" and the "Company" as used herein mean Fiserv, Inc. and, unless the context otherwise requires, its consolidated subsidiaries.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Fiserv, with operations in 65 cities, including London and Singapore, is a leading independent provider of financial data processing systems and related information management services and products to banks, credit unions, mortgage banks, savings institutions and other financial intermediaries. These services and products are based primarily on proprietary software developed by Fiserv and maintained on computers located at data processing centers throughout the United States. Fiserv is ranked as the nation's leading data processing provider for banks and savings institutions in terms of total clients served and is ranked number two for credit unions and mortgage banks. Fiserv directly supports account and transaction processing software systems for approximately 3,500 financial institutions; maintaining approximately 48 million service bureau accounts. Fiserv delivers this account and transaction processing in all four of the traditional delivery modes: service bureau; facilities management; resource management; and in-house solutions. Fiserv also provides electronic banking services, which include Automated Teller Machine ("ATM")/Electronic Funds Transfer ("EFT") services to financial institutions, and processing approximately 194 million ATM transactions annually, and check and share draft remittance and back-office processing to financial institutions, handling approximately over 3 billion prime pass items per year through its regional item processing centers located in over 34 cities nationwide. In addition, Fiserv provides trust administration services for IRAs and other retirement plans, and furnishes microcomputer software to financial institutions for executive information and decision support systems. The total client base served by</w:t>
      </w:r>
    </w:p>
    <w:p>
      <w:pPr>
        <w:sectPr>
          <w:pgSz w:w="11900" w:h="16838" w:orient="portrait"/>
          <w:cols w:equalWidth="0" w:num="1">
            <w:col w:w="10219"/>
          </w:cols>
          <w:pgMar w:left="240" w:top="142" w:right="1440" w:bottom="116" w:gutter="0" w:footer="0" w:header="0"/>
        </w:sectPr>
      </w:pPr>
    </w:p>
    <w:bookmarkStart w:id="2" w:name="page3"/>
    <w:bookmarkEnd w:id="2"/>
    <w:p>
      <w:pPr>
        <w:jc w:val="both"/>
        <w:ind w:right="1779"/>
        <w:spacing w:after="0" w:line="237" w:lineRule="auto"/>
        <w:rPr>
          <w:sz w:val="20"/>
          <w:szCs w:val="20"/>
          <w:color w:val="auto"/>
        </w:rPr>
      </w:pPr>
      <w:r>
        <w:rPr>
          <w:rFonts w:ascii="Courier New" w:cs="Courier New" w:eastAsia="Courier New" w:hAnsi="Courier New"/>
          <w:sz w:val="18"/>
          <w:szCs w:val="18"/>
          <w:color w:val="auto"/>
        </w:rPr>
        <w:t>Fiserv includes more than 5,000 financial institutions. Fiserv believes that its focus on customer service and the contractual nature of its business, combined with its historical renewal experience, provide a high level of recurring revenues.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Since Fiserv's formation in</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1984, it has</w:t>
            </w:r>
          </w:p>
        </w:tc>
        <w:tc>
          <w:tcPr>
            <w:tcW w:w="258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9"/>
              </w:rPr>
              <w:t>expanded its operations</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through</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over 50  acquisitions and</w:t>
            </w:r>
          </w:p>
        </w:tc>
        <w:tc>
          <w:tcPr>
            <w:tcW w:w="2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internally through</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growth</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existing</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clients.</w:t>
            </w: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From 1988 to 1994,  Fiserv's revenues increased</w:t>
            </w:r>
          </w:p>
        </w:tc>
        <w:tc>
          <w:tcPr>
            <w:tcW w:w="12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from $125</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million   to</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$579.8</w:t>
            </w:r>
          </w:p>
        </w:tc>
      </w:tr>
      <w:tr>
        <w:trPr>
          <w:trHeight w:val="203"/>
        </w:trPr>
        <w:tc>
          <w:tcPr>
            <w:tcW w:w="53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million, its operating income increased from $15.5</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million</w:t>
            </w:r>
          </w:p>
        </w:tc>
        <w:tc>
          <w:tcPr>
            <w:tcW w:w="1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to $74.3 million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its net income grew from</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$9.2 million to $40.4</w:t>
            </w:r>
          </w:p>
        </w:tc>
        <w:tc>
          <w:tcPr>
            <w:tcW w:w="12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million.</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During this</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period,</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income per common and common</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equivalent share</w:t>
            </w:r>
          </w:p>
        </w:tc>
        <w:tc>
          <w:tcPr>
            <w:tcW w:w="2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increased from $.33 to</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$.99.</w:t>
            </w:r>
          </w:p>
        </w:tc>
      </w:tr>
    </w:tbl>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Recent Developments. 1995 Results. For the year ended December 31, 1995, Fiserv's revenues were $703.4 million, a 21% increase over the $579.5 million reported in 1994. Giving effect to certain charges related to the acquisition of Information Technology, Inc. (''ITI''), the Company posted a net loss for the year of $59.9 million or $1.36 per share for 1995, compared to net income of $40.4 million or $.99 per share for 1994.</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1995, Fiserv's net loss includes a special, one-time, non-cash charge of $173 million related to the 1995 acquisition of ITI and Fiserv's election to accelerate the amortization of the completed ITI Premier I software resulting in a pre-tax charge of $9.9 million. In total, these ITI charges were $182.9 million before income taxes and $109.6 million after income taxes ($2.49 per share).</w:t>
      </w:r>
    </w:p>
    <w:p>
      <w:pPr>
        <w:spacing w:after="0" w:line="210"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The special, one-time, non-cash charge is based on an assessment by Fiserv, in conjunction with an independent appraisal firm, of the purchased ITI Premier</w:t>
      </w:r>
    </w:p>
    <w:p>
      <w:pPr>
        <w:jc w:val="both"/>
        <w:ind w:right="177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research and development ("R&amp;D"). As a result of the assessment, as of the date of acquisition of ITI, the fair market value of the ITI Premier II software technology under development was determined to be $173 million. In accordance with accounting rules requiring the expensing of such R&amp;D, this amount was written off in 1995.</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foregoing financial information is derived from the Company's audited financial statements. Results for 1994 have been restated as a result of the acquisition by Fiserv in August 1995 of Lincoln Holdings, Inc., accounted for as a pooling of interests.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Chase Item Processing Agreement. On April 4, 1996, Fiserv announced an agreement with The Chase Manhattan Bank, N.A. ("Chase") under which Fiserv will provide check processing personnel to staff Chase's item processing sites</w:t>
      </w:r>
    </w:p>
    <w:p>
      <w:pPr>
        <w:spacing w:after="0" w:line="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Brooklyn, Rochester, and Syracuse, N.Y., for up to three years. This agreement, which is expected initially to generate $20 million of annual revenue for Fiserv, will replace the strategic alliance between Fiserv and Chase signed in February 1995, and is in response to the recently completed merger of Chase and Chemical Banking Corporation, which was effective March 31, 1996. Fiserv will receive a termination fee, net of certain charges, of approximately $15 million pre-tax, which Fiserv plans to recognize ratably over a 14-month period ending February 1997.</w:t>
      </w: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left="540"/>
        <w:spacing w:after="0"/>
        <w:tabs>
          <w:tab w:leader="none" w:pos="1980" w:val="left"/>
          <w:tab w:leader="none" w:pos="3040" w:val="left"/>
          <w:tab w:leader="none" w:pos="4000" w:val="left"/>
          <w:tab w:leader="none" w:pos="5260" w:val="left"/>
          <w:tab w:leader="none" w:pos="6000" w:val="left"/>
          <w:tab w:leader="none" w:pos="7580" w:val="left"/>
          <w:tab w:leader="none" w:pos="8000" w:val="left"/>
        </w:tabs>
        <w:rPr>
          <w:sz w:val="20"/>
          <w:szCs w:val="20"/>
          <w:color w:val="auto"/>
        </w:rPr>
      </w:pPr>
      <w:r>
        <w:rPr>
          <w:rFonts w:ascii="Courier New" w:cs="Courier New" w:eastAsia="Courier New" w:hAnsi="Courier New"/>
          <w:sz w:val="18"/>
          <w:szCs w:val="18"/>
          <w:color w:val="auto"/>
        </w:rPr>
        <w:t>All proceeds</w:t>
        <w:tab/>
        <w:t>from the</w:t>
        <w:tab/>
        <w:t>sale of</w:t>
        <w:tab/>
        <w:t>the Shares</w:t>
        <w:tab/>
        <w:t>to be</w:t>
        <w:tab/>
        <w:t>sold pursuant</w:t>
        <w:tab/>
        <w:t>to</w:t>
      </w:r>
      <w:r>
        <w:rPr>
          <w:sz w:val="20"/>
          <w:szCs w:val="20"/>
          <w:color w:val="auto"/>
        </w:rPr>
        <w:tab/>
      </w:r>
      <w:r>
        <w:rPr>
          <w:rFonts w:ascii="Courier New" w:cs="Courier New" w:eastAsia="Courier New" w:hAnsi="Courier New"/>
          <w:sz w:val="16"/>
          <w:szCs w:val="16"/>
          <w:color w:val="auto"/>
        </w:rPr>
        <w:t>this</w:t>
      </w:r>
    </w:p>
    <w:p>
      <w:pPr>
        <w:spacing w:after="0" w:line="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Prospectus will be for the account of the Selling Shareholders. As a consequence, the Company will not receive any proceeds from the sale of the Shares offered by the Selling Shareholders.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has not paid cash dividends on its Common Stock. The Company intends to retain earnings for use in its business and, therefore, does not anticipate paying any cash dividends in the foreseeable future. The Company's existing long-term debt instruments contain provisions limiting the amount of cash dividends the Company can pay.</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SELLING SHAREHOLDERS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sets forth information with respect to the number of shares of Common Stock beneficially owned by each of the Selling Shareholders.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196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460" w:type="dxa"/>
            <w:vAlign w:val="bottom"/>
          </w:tcPr>
          <w:p>
            <w:pPr>
              <w:spacing w:after="0"/>
              <w:rPr>
                <w:sz w:val="20"/>
                <w:szCs w:val="20"/>
                <w:color w:val="auto"/>
              </w:rPr>
            </w:pPr>
            <w:r>
              <w:rPr>
                <w:rFonts w:ascii="Courier New" w:cs="Courier New" w:eastAsia="Courier New" w:hAnsi="Courier New"/>
                <w:sz w:val="18"/>
                <w:szCs w:val="18"/>
                <w:color w:val="auto"/>
              </w:rPr>
              <w:t>Percent of</w:t>
            </w:r>
          </w:p>
        </w:tc>
      </w:tr>
      <w:tr>
        <w:trPr>
          <w:trHeight w:val="203"/>
        </w:trPr>
        <w:tc>
          <w:tcPr>
            <w:tcW w:w="232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Number of</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32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Beneficially</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r>
      <w:tr>
        <w:trPr>
          <w:trHeight w:val="203"/>
        </w:trPr>
        <w:tc>
          <w:tcPr>
            <w:tcW w:w="232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Prior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Registered</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After</w:t>
            </w:r>
          </w:p>
        </w:tc>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Shareholder</w:t>
            </w: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Offering (1)</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Herein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Offering</w:t>
            </w:r>
          </w:p>
        </w:tc>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Offering (2)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Robert H. Beriault</w:t>
            </w:r>
          </w:p>
        </w:tc>
        <w:tc>
          <w:tcPr>
            <w:tcW w:w="1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343,897</w:t>
            </w:r>
          </w:p>
        </w:tc>
        <w:tc>
          <w:tcPr>
            <w:tcW w:w="1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80,000</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263,897</w:t>
            </w:r>
          </w:p>
        </w:tc>
        <w:tc>
          <w:tcPr>
            <w:tcW w:w="1460" w:type="dxa"/>
            <w:vAlign w:val="bottom"/>
          </w:tcPr>
          <w:p>
            <w:pPr>
              <w:ind w:left="520"/>
              <w:spacing w:after="0"/>
              <w:rPr>
                <w:sz w:val="20"/>
                <w:szCs w:val="20"/>
                <w:color w:val="auto"/>
              </w:rPr>
            </w:pPr>
            <w:r>
              <w:rPr>
                <w:rFonts w:ascii="Courier New" w:cs="Courier New" w:eastAsia="Courier New" w:hAnsi="Courier New"/>
                <w:sz w:val="18"/>
                <w:szCs w:val="18"/>
                <w:color w:val="auto"/>
              </w:rPr>
              <w:t>(3)</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John H. Roath</w:t>
            </w:r>
          </w:p>
        </w:tc>
        <w:tc>
          <w:tcPr>
            <w:tcW w:w="1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53,496</w:t>
            </w:r>
          </w:p>
        </w:tc>
        <w:tc>
          <w:tcPr>
            <w:tcW w:w="1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3,000</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50,496</w:t>
            </w:r>
          </w:p>
        </w:tc>
        <w:tc>
          <w:tcPr>
            <w:tcW w:w="1460" w:type="dxa"/>
            <w:vAlign w:val="bottom"/>
          </w:tcPr>
          <w:p>
            <w:pPr>
              <w:ind w:left="520"/>
              <w:spacing w:after="0"/>
              <w:rPr>
                <w:sz w:val="20"/>
                <w:szCs w:val="20"/>
                <w:color w:val="auto"/>
              </w:rPr>
            </w:pPr>
            <w:r>
              <w:rPr>
                <w:rFonts w:ascii="Courier New" w:cs="Courier New" w:eastAsia="Courier New" w:hAnsi="Courier New"/>
                <w:sz w:val="18"/>
                <w:szCs w:val="18"/>
                <w:color w:val="auto"/>
              </w:rPr>
              <w:t>(3)</w:t>
            </w:r>
          </w:p>
        </w:tc>
      </w:tr>
    </w:tbl>
    <w:p>
      <w:pPr>
        <w:sectPr>
          <w:pgSz w:w="11900" w:h="16838" w:orient="portrait"/>
          <w:cols w:equalWidth="0" w:num="1">
            <w:col w:w="10219"/>
          </w:cols>
          <w:pgMar w:left="240" w:top="142"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Garrett Wysocki</w:t>
            </w:r>
          </w:p>
        </w:tc>
        <w:tc>
          <w:tcPr>
            <w:tcW w:w="1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37,315(4)</w:t>
            </w:r>
          </w:p>
        </w:tc>
        <w:tc>
          <w:tcPr>
            <w:tcW w:w="14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31,781</w:t>
            </w:r>
          </w:p>
        </w:tc>
        <w:tc>
          <w:tcPr>
            <w:tcW w:w="1520" w:type="dxa"/>
            <w:vAlign w:val="bottom"/>
          </w:tcPr>
          <w:p>
            <w:pPr>
              <w:ind w:left="680"/>
              <w:spacing w:after="0"/>
              <w:rPr>
                <w:sz w:val="20"/>
                <w:szCs w:val="20"/>
                <w:color w:val="auto"/>
              </w:rPr>
            </w:pPr>
            <w:r>
              <w:rPr>
                <w:rFonts w:ascii="Courier New" w:cs="Courier New" w:eastAsia="Courier New" w:hAnsi="Courier New"/>
                <w:sz w:val="18"/>
                <w:szCs w:val="18"/>
                <w:color w:val="auto"/>
              </w:rPr>
              <w:t>0(4)</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George W. McGourty</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31,315</w:t>
            </w:r>
          </w:p>
        </w:tc>
        <w:tc>
          <w:tcPr>
            <w:tcW w:w="14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31,315</w:t>
            </w:r>
          </w:p>
        </w:tc>
        <w:tc>
          <w:tcPr>
            <w:tcW w:w="1520" w:type="dxa"/>
            <w:vAlign w:val="bottom"/>
          </w:tcPr>
          <w:p>
            <w:pPr>
              <w:ind w:left="680"/>
              <w:spacing w:after="0"/>
              <w:rPr>
                <w:sz w:val="20"/>
                <w:szCs w:val="20"/>
                <w:color w:val="auto"/>
              </w:rPr>
            </w:pPr>
            <w:r>
              <w:rPr>
                <w:rFonts w:ascii="Courier New" w:cs="Courier New" w:eastAsia="Courier New" w:hAnsi="Courier New"/>
                <w:sz w:val="18"/>
                <w:szCs w:val="18"/>
                <w:color w:val="auto"/>
              </w:rPr>
              <w:t>0</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Roger W. Collins</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7,000</w:t>
            </w:r>
          </w:p>
        </w:tc>
        <w:tc>
          <w:tcPr>
            <w:tcW w:w="14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7,000</w:t>
            </w:r>
          </w:p>
        </w:tc>
        <w:tc>
          <w:tcPr>
            <w:tcW w:w="1520" w:type="dxa"/>
            <w:vAlign w:val="bottom"/>
          </w:tcPr>
          <w:p>
            <w:pPr>
              <w:ind w:left="680"/>
              <w:spacing w:after="0"/>
              <w:rPr>
                <w:sz w:val="20"/>
                <w:szCs w:val="20"/>
                <w:color w:val="auto"/>
              </w:rPr>
            </w:pPr>
            <w:r>
              <w:rPr>
                <w:rFonts w:ascii="Courier New" w:cs="Courier New" w:eastAsia="Courier New" w:hAnsi="Courier New"/>
                <w:sz w:val="18"/>
                <w:szCs w:val="18"/>
                <w:color w:val="auto"/>
              </w:rPr>
              <w:t>0</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as of March 31, 1996.</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all shares registered herein are sold.</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Less than 1%.</w:t>
      </w:r>
    </w:p>
    <w:p>
      <w:pPr>
        <w:spacing w:after="0" w:line="4" w:lineRule="exact"/>
        <w:rPr>
          <w:rFonts w:ascii="Courier New" w:cs="Courier New" w:eastAsia="Courier New" w:hAnsi="Courier New"/>
          <w:sz w:val="18"/>
          <w:szCs w:val="18"/>
          <w:color w:val="auto"/>
        </w:rPr>
      </w:pPr>
    </w:p>
    <w:p>
      <w:pPr>
        <w:ind w:left="320" w:right="2099" w:hanging="316"/>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4Includes 5,534 shares that have been registered for sale in another continuing offering, but as of February 29, 1996 have not been sold by Mr. Wysocki.</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The Shares may be sold from time to time by the Selling Shareholders or by pledgees, donees, transferees or other successors in interest. Such sales may be made in any one or more transactions (which may involve block transactions) in the over-the-counter market, on NASDAQ, and any exchange in which the Common Stock may then be listed, or otherwise in negotiated transactions or a combination of such methods of sale, at market prices prevailing at the time of sale, at prices related to such prevailing market prices or at negotiated prices. The Selling Shareholders may effect such transactions by selling Shares to or through broker-dealers, and such broker-dealers may sell the Shares as agent or may purchase such Shares as principal and resell them for their own</w:t>
      </w:r>
    </w:p>
    <w:p>
      <w:pPr>
        <w:spacing w:after="0" w:line="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account pursuant to this prospectus. Such broker-dealers may receive compensation in the form of underwriting discounts, concessions or commissions from the Selling Shareholders and/or purchasers of Shares from whom they may act as agent (which compensation may be in excess of customary commissions).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gridSpan w:val="5"/>
          </w:tcPr>
          <w:p>
            <w:pPr>
              <w:ind w:left="540"/>
              <w:spacing w:after="0"/>
              <w:rPr>
                <w:sz w:val="20"/>
                <w:szCs w:val="20"/>
                <w:color w:val="auto"/>
              </w:rPr>
            </w:pPr>
            <w:r>
              <w:rPr>
                <w:rFonts w:ascii="Courier New" w:cs="Courier New" w:eastAsia="Courier New" w:hAnsi="Courier New"/>
                <w:sz w:val="18"/>
                <w:szCs w:val="18"/>
                <w:color w:val="auto"/>
              </w:rPr>
              <w:t>The Company  has  informed  the</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Selling</w:t>
            </w:r>
          </w:p>
        </w:tc>
        <w:tc>
          <w:tcPr>
            <w:tcW w:w="19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Shareholders  that</w:t>
            </w:r>
          </w:p>
        </w:tc>
        <w:tc>
          <w:tcPr>
            <w:tcW w:w="9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the</w:t>
            </w:r>
          </w:p>
        </w:tc>
        <w:tc>
          <w:tcPr>
            <w:tcW w:w="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anti-</w:t>
            </w:r>
          </w:p>
        </w:tc>
      </w:tr>
      <w:tr>
        <w:trPr>
          <w:trHeight w:val="203"/>
        </w:trPr>
        <w:tc>
          <w:tcPr>
            <w:tcW w:w="590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7"/>
              </w:rPr>
              <w:t>manipulative rules under the  Securities Exchange Act of</w:t>
            </w:r>
          </w:p>
        </w:tc>
        <w:tc>
          <w:tcPr>
            <w:tcW w:w="14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1934 (Rules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10b-6</w:t>
            </w:r>
          </w:p>
        </w:tc>
        <w:tc>
          <w:tcPr>
            <w:tcW w:w="16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10b-7) may</w:t>
            </w:r>
          </w:p>
        </w:tc>
        <w:tc>
          <w:tcPr>
            <w:tcW w:w="25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apply to their sales of</w:t>
            </w:r>
          </w:p>
        </w:tc>
        <w:tc>
          <w:tcPr>
            <w:tcW w:w="22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Shares in the market.</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Also, the Company</w:t>
            </w:r>
          </w:p>
        </w:tc>
        <w:tc>
          <w:tcPr>
            <w:tcW w:w="16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has</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informed the Selling</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Shareholders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need</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for  delivery of</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copies of</w:t>
            </w:r>
          </w:p>
        </w:tc>
        <w:tc>
          <w:tcPr>
            <w:tcW w:w="16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Prospectus</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 connection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 any</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sale</w:t>
            </w:r>
          </w:p>
        </w:tc>
        <w:tc>
          <w:tcPr>
            <w:tcW w:w="1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of securities</w:t>
            </w:r>
          </w:p>
        </w:tc>
        <w:tc>
          <w:tcPr>
            <w:tcW w:w="2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registered hereunder</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accordance</w:t>
            </w:r>
          </w:p>
        </w:tc>
        <w:tc>
          <w:tcPr>
            <w:tcW w:w="5840" w:type="dxa"/>
            <w:vAlign w:val="bottom"/>
            <w:gridSpan w:val="7"/>
          </w:tcPr>
          <w:p>
            <w:pPr>
              <w:ind w:left="40"/>
              <w:spacing w:after="0" w:line="203" w:lineRule="exact"/>
              <w:rPr>
                <w:sz w:val="20"/>
                <w:szCs w:val="20"/>
                <w:color w:val="auto"/>
              </w:rPr>
            </w:pPr>
            <w:r>
              <w:rPr>
                <w:rFonts w:ascii="Courier New" w:cs="Courier New" w:eastAsia="Courier New" w:hAnsi="Courier New"/>
                <w:sz w:val="18"/>
                <w:szCs w:val="18"/>
                <w:color w:val="auto"/>
              </w:rPr>
              <w:t>with applicable prospectus delivery requirements.</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21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In connection</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14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5"/>
              </w:rPr>
              <w:t>such sales,</w:t>
            </w:r>
          </w:p>
        </w:tc>
        <w:tc>
          <w:tcPr>
            <w:tcW w:w="900" w:type="dxa"/>
            <w:vAlign w:val="bottom"/>
          </w:tcPr>
          <w:p>
            <w:pPr>
              <w:ind w:left="200"/>
              <w:spacing w:after="0"/>
              <w:rPr>
                <w:sz w:val="20"/>
                <w:szCs w:val="20"/>
                <w:color w:val="auto"/>
              </w:rPr>
            </w:pPr>
            <w:r>
              <w:rPr>
                <w:rFonts w:ascii="Courier New" w:cs="Courier New" w:eastAsia="Courier New" w:hAnsi="Courier New"/>
                <w:sz w:val="18"/>
                <w:szCs w:val="18"/>
                <w:color w:val="auto"/>
              </w:rPr>
              <w:t>the</w:t>
            </w:r>
          </w:p>
        </w:tc>
        <w:tc>
          <w:tcPr>
            <w:tcW w:w="23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Selling Shareholders</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and</w:t>
            </w:r>
          </w:p>
        </w:tc>
        <w:tc>
          <w:tcPr>
            <w:tcW w:w="1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any</w:t>
            </w:r>
          </w:p>
        </w:tc>
      </w:tr>
    </w:tbl>
    <w:p>
      <w:pPr>
        <w:spacing w:after="0" w:line="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participating brokers and dealers may be deemed to be "underwriters" as defined in the Securities Act. In addition, any of the Shares that qualify for sale pursuant to Rule 144 may be sold under Rule 144 rather than pursuant to this Prospectus.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order to comply with certain state securities, laws, if applicable, the Common Stock will not be sold in a particular state unless such securities have been registered or qualified for sale in such state or an exemption from registration or qualification is available and complied with.</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validity of the issuance of the shares of the Common Stock offered hereby will be passed upon for the Company by Charles W. Sprague, Esq., Executive Vice President, General Counsel and Secretary of the Company. Mr. Sprague beneficially owns 15,375 shares of Fiserv Common Stock, which number includes vested but unexercised stock options.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financial statements incorporated by reference in this prospectus from the Company's Annual Report on Form 10-K for the year ended December 31, 1995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Company is subject to the informational requirements of the Exchange Act and in accordance therewith files reports, proxy statements and other</w:t>
      </w:r>
    </w:p>
    <w:p>
      <w:pPr>
        <w:spacing w:after="0" w:line="6"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information with the Commission. This Prospectus does not contain all information set forth in the Registration Statement and the exhibits thereto which the Company has filed with the Commission under the Securities Act of 1933, as amended (the "Act"), and to which reference is hereby made. Such reports, proxy statements and other information filed by the Company with the Commission can be inspected and copied at the public reference facilities maintained by the Commission at 450 Fifth Street, N.W., Room 1024, Washington, D.C. 20549; Seven World Trade Center, 13th Floor, New York, New York 10048; and Northwestern Atrium Center, 500 West Madison Street, Suite 1400, Chicago, Illinois 60661. Copies of such material can be obtained at prescribed rates upon request from the Public Reference Section of the Commission at Room 1024 at</w:t>
      </w:r>
    </w:p>
    <w:p>
      <w:pPr>
        <w:sectPr>
          <w:pgSz w:w="11900" w:h="16838" w:orient="portrait"/>
          <w:cols w:equalWidth="0" w:num="1">
            <w:col w:w="10219"/>
          </w:cols>
          <w:pgMar w:left="240" w:top="339" w:right="1440" w:bottom="0" w:gutter="0" w:footer="0" w:header="0"/>
        </w:sectPr>
      </w:pPr>
    </w:p>
    <w:bookmarkStart w:id="4" w:name="page5"/>
    <w:bookmarkEnd w:id="4"/>
    <w:p>
      <w:pPr>
        <w:jc w:val="both"/>
        <w:ind w:right="1779"/>
        <w:spacing w:after="0" w:line="237" w:lineRule="auto"/>
        <w:rPr>
          <w:sz w:val="20"/>
          <w:szCs w:val="20"/>
          <w:color w:val="auto"/>
        </w:rPr>
      </w:pPr>
      <w:r>
        <w:rPr>
          <w:rFonts w:ascii="Courier New" w:cs="Courier New" w:eastAsia="Courier New" w:hAnsi="Courier New"/>
          <w:sz w:val="18"/>
          <w:szCs w:val="18"/>
          <w:color w:val="auto"/>
        </w:rPr>
        <w:t>450 Fifth Street, N.W., Washington, D.C. 20549. The Company's registration statements, proxy statements and other information may also be inspected at the offices of the National Association of Securities Dealers, Inc., 1735 K Street, N.W., Washington, D.C. 20006.</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Prospectus constitutes a part of a Registration Statement on Form S-3 (together with all amendments thereto, the "Registration Statement") filed by the Company with the Commission under the Act. This Prospectus does not contain all of the information included in the Registration Statement, certain parts of which are omitted in accordance with the rules and regulations of the Commission. Reference is made to such Registration Statement and to the Exhibits relating thereto for further information with respect to the Company and the Common Stock offered hereby.</w:t>
      </w:r>
    </w:p>
    <w:p>
      <w:pPr>
        <w:spacing w:after="0" w:line="212"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No person is authorized to give any information or to make any representation, other than those contained in this Prospectus, and any information or representations not contained in this Prospectus must not be relied upon as having been authorized. This Prospectus does not constitute an offer to sell or solicitation of an offer to buy any securities other than the registered securities to which it relates. This Prospectus does not constitute an offer to sell or a solicitation of an offer to buy such securities under any</w:t>
      </w:r>
    </w:p>
    <w:p>
      <w:pPr>
        <w:spacing w:after="0" w:line="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circumstances where such offer of solicitation is unlawful. Neither the delivery of this Prospectus nor any sales made hereunder shall, under any circumstances, create any implication that there has been no change in the affairs of the Company since the date hereof or that the information contained herein is correct as of any time subsequent to its date.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various expenses in connection with the sale and distribution of the securities being registered, other than underwriting discounts and commissions. All amounts shown are estimates except the Securities and Exchange Commission registration fee, the NASD filing fee and the NASDAQ listing fee.</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480" w:type="dxa"/>
            <w:vAlign w:val="bottom"/>
          </w:tcPr>
          <w:p>
            <w:pPr>
              <w:ind w:left="1040"/>
              <w:spacing w:after="0"/>
              <w:rPr>
                <w:sz w:val="20"/>
                <w:szCs w:val="20"/>
                <w:color w:val="auto"/>
              </w:rPr>
            </w:pPr>
            <w:r>
              <w:rPr>
                <w:rFonts w:ascii="Courier New" w:cs="Courier New" w:eastAsia="Courier New" w:hAnsi="Courier New"/>
                <w:sz w:val="18"/>
                <w:szCs w:val="18"/>
                <w:color w:val="auto"/>
              </w:rPr>
              <w:t>Item</w:t>
            </w:r>
          </w:p>
        </w:tc>
        <w:tc>
          <w:tcPr>
            <w:tcW w:w="1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Amount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 registration fee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$1,339.59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NASD filing fee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888.48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NASDAQ listing fee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Sky fees and expenses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fees and expenses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fees and expenses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Miscellaneous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771.93</w:t>
            </w:r>
          </w:p>
        </w:tc>
      </w:tr>
      <w:tr>
        <w:trPr>
          <w:trHeight w:val="203"/>
        </w:trPr>
        <w:tc>
          <w:tcPr>
            <w:tcW w:w="34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Total</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34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In general, the Wisconsin Business Corporation Law provides that a corporation shall indemnify directors and officers for all reasonable expenses incurred in connection with the successful defense of actions arising in connection with their service as directors and officers of the corporation. In other cases, the Wisconsin statute provides that the corporation shall indemnify a director or officer against liability unless the director or officer breached or failed to perform a duty owed to the corporation and such breach or failure meets certain specified criteria constituting, in general, some act of misconduct. In addition, the corporation may reimburse a director or officer for his expenses in defending against actions as they are incurred upon the director's or officer's written request accompanied by a written affirmation of his good faith belief that he has not breached or failed to perform his duties to the corporation and a written undertaking to repay amounts advanced if it is ultimately determined that indemnification is not required under the Wisconsin Business Corporation Law. A court of law may order that the corporation provide indemnification to a director or officer if it finds that the director or officer is entitled thereto under the applicable statutory provision or is</w:t>
      </w:r>
    </w:p>
    <w:p>
      <w:pPr>
        <w:spacing w:after="0" w:line="193"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fairly and reasonably entitled thereto in view of all the relevant circumstances, whether or not such indemnification is required under the applicable statutory provision.</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Wisconsin Business Corporation Law specifies various procedures pursuant to which a director or officer may establish his right to indemnification.</w:t>
      </w:r>
    </w:p>
    <w:p>
      <w:pPr>
        <w:spacing w:after="0" w:line="203" w:lineRule="exact"/>
        <w:rPr>
          <w:sz w:val="20"/>
          <w:szCs w:val="20"/>
          <w:color w:val="auto"/>
        </w:rPr>
      </w:pPr>
    </w:p>
    <w:p>
      <w:pPr>
        <w:ind w:left="540"/>
        <w:spacing w:after="0"/>
        <w:tabs>
          <w:tab w:leader="none" w:pos="8000" w:val="left"/>
        </w:tabs>
        <w:rPr>
          <w:sz w:val="20"/>
          <w:szCs w:val="20"/>
          <w:color w:val="auto"/>
        </w:rPr>
      </w:pPr>
      <w:r>
        <w:rPr>
          <w:rFonts w:ascii="Courier New" w:cs="Courier New" w:eastAsia="Courier New" w:hAnsi="Courier New"/>
          <w:sz w:val="18"/>
          <w:szCs w:val="18"/>
          <w:color w:val="auto"/>
        </w:rPr>
        <w:t>Provided that it is not determined by or on behalf of the corporation</w:t>
      </w:r>
      <w:r>
        <w:rPr>
          <w:sz w:val="20"/>
          <w:szCs w:val="20"/>
          <w:color w:val="auto"/>
        </w:rPr>
        <w:tab/>
      </w:r>
      <w:r>
        <w:rPr>
          <w:rFonts w:ascii="Courier New" w:cs="Courier New" w:eastAsia="Courier New" w:hAnsi="Courier New"/>
          <w:sz w:val="16"/>
          <w:szCs w:val="16"/>
          <w:color w:val="auto"/>
        </w:rPr>
        <w:t>that</w:t>
      </w:r>
    </w:p>
    <w:p>
      <w:pPr>
        <w:sectPr>
          <w:pgSz w:w="11900" w:h="16838" w:orient="portrait"/>
          <w:cols w:equalWidth="0" w:num="1">
            <w:col w:w="10219"/>
          </w:cols>
          <w:pgMar w:left="240" w:top="142" w:right="1440" w:bottom="0" w:gutter="0" w:footer="0" w:header="0"/>
        </w:sectPr>
      </w:pPr>
    </w:p>
    <w:bookmarkStart w:id="5" w:name="page6"/>
    <w:bookmarkEnd w:id="5"/>
    <w:p>
      <w:pPr>
        <w:jc w:val="both"/>
        <w:ind w:right="1779"/>
        <w:spacing w:after="0" w:line="237" w:lineRule="auto"/>
        <w:rPr>
          <w:sz w:val="20"/>
          <w:szCs w:val="20"/>
          <w:color w:val="auto"/>
        </w:rPr>
      </w:pPr>
      <w:r>
        <w:rPr>
          <w:rFonts w:ascii="Courier New" w:cs="Courier New" w:eastAsia="Courier New" w:hAnsi="Courier New"/>
          <w:sz w:val="18"/>
          <w:szCs w:val="18"/>
          <w:color w:val="auto"/>
        </w:rPr>
        <w:t>the director or officer breached or failed to perform a duty owed to the corporation and such breach or failure meets certain specified criteria constituting, in general, some act of misconduct, a Wisconsin corporation may provide additional rights to indemnification under its articles of incorporation or by-laws, by written agreement, by resolution of its board of directors or by a vote of the holders of a majority of its outstanding shares.</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Registrant's By-laws provide for indemnification and advancement of expenses of directors and officers to the fullest extent provided by the Wisconsin Business Corporation Law. This provision is not exclusive of any other rights to indemnification or the advancement of expenses to which a director or officer may be entitled under any written agreement, resolution of directors, vote of shareholders, by law or otherwise.</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jc w:val="both"/>
        <w:ind w:left="540" w:right="1779" w:hanging="210"/>
        <w:spacing w:after="0" w:line="237" w:lineRule="auto"/>
        <w:rPr>
          <w:sz w:val="20"/>
          <w:szCs w:val="20"/>
          <w:color w:val="auto"/>
        </w:rPr>
      </w:pPr>
      <w:r>
        <w:rPr>
          <w:rFonts w:ascii="Courier New" w:cs="Courier New" w:eastAsia="Courier New" w:hAnsi="Courier New"/>
          <w:sz w:val="18"/>
          <w:szCs w:val="18"/>
          <w:color w:val="auto"/>
        </w:rPr>
        <w:t>2.1 Stock</w:t>
      </w:r>
      <w:r>
        <w:rPr>
          <w:sz w:val="20"/>
          <w:szCs w:val="20"/>
          <w:color w:val="auto"/>
        </w:rPr>
        <w:t xml:space="preserve"> </w:t>
      </w:r>
      <w:r>
        <w:rPr>
          <w:rFonts w:ascii="Courier New" w:cs="Courier New" w:eastAsia="Courier New" w:hAnsi="Courier New"/>
          <w:sz w:val="18"/>
          <w:szCs w:val="18"/>
          <w:color w:val="auto"/>
        </w:rPr>
        <w:t>Purchase Agreement, dated as of April 6, 1995, by and between Fiserv, Inc. and Information Technology, Inc. (Filed as Exhibit 2.1 to the Company's Registration Statement on Form S-3, File No. 33-58709, and incorporated herein by reference)</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3.1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Articles</w:t>
            </w:r>
          </w:p>
        </w:tc>
        <w:tc>
          <w:tcPr>
            <w:tcW w:w="20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9"/>
              </w:rPr>
              <w:t>of Incorporation,</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as</w:t>
            </w:r>
          </w:p>
        </w:tc>
        <w:tc>
          <w:tcPr>
            <w:tcW w:w="1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amended (filed</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as</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Exhibit 3.1  to</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the</w:t>
            </w:r>
          </w:p>
        </w:tc>
      </w:tr>
      <w:tr>
        <w:trPr>
          <w:trHeight w:val="203"/>
        </w:trPr>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Company's</w:t>
            </w: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Registration</w:t>
            </w:r>
          </w:p>
        </w:tc>
        <w:tc>
          <w:tcPr>
            <w:tcW w:w="1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Statement</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Form S-4,</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File</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  33-62870,  and</w:t>
            </w:r>
          </w:p>
        </w:tc>
      </w:tr>
      <w:tr>
        <w:trPr>
          <w:trHeight w:val="203"/>
        </w:trPr>
        <w:tc>
          <w:tcPr>
            <w:tcW w:w="320" w:type="dxa"/>
            <w:vAlign w:val="bottom"/>
          </w:tcPr>
          <w:p>
            <w:pPr>
              <w:spacing w:after="0"/>
              <w:rPr>
                <w:sz w:val="17"/>
                <w:szCs w:val="17"/>
                <w:color w:val="auto"/>
              </w:rPr>
            </w:pPr>
          </w:p>
        </w:tc>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incorporated herein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1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reference).</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3.2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By-laws,</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(filed as</w:t>
            </w:r>
          </w:p>
        </w:tc>
        <w:tc>
          <w:tcPr>
            <w:tcW w:w="202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9"/>
              </w:rPr>
              <w:t>Exhibit 3.2 to the</w:t>
            </w:r>
          </w:p>
        </w:tc>
        <w:tc>
          <w:tcPr>
            <w:tcW w:w="342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7"/>
              </w:rPr>
              <w:t>Company's Registration Statement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on</w:t>
            </w:r>
          </w:p>
        </w:tc>
      </w:tr>
      <w:tr>
        <w:trPr>
          <w:trHeight w:val="203"/>
        </w:trPr>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Form S-4,</w:t>
            </w:r>
          </w:p>
        </w:tc>
        <w:tc>
          <w:tcPr>
            <w:tcW w:w="2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File No. 33-62870,</w:t>
            </w:r>
          </w:p>
        </w:tc>
        <w:tc>
          <w:tcPr>
            <w:tcW w:w="448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420" w:type="dxa"/>
            <w:vAlign w:val="bottom"/>
          </w:tcPr>
          <w:p>
            <w:pPr>
              <w:spacing w:after="0"/>
              <w:rPr>
                <w:sz w:val="17"/>
                <w:szCs w:val="17"/>
                <w:color w:val="auto"/>
              </w:rPr>
            </w:pPr>
          </w:p>
        </w:tc>
      </w:tr>
    </w:tbl>
    <w:p>
      <w:pPr>
        <w:spacing w:after="0" w:line="207" w:lineRule="exact"/>
        <w:rPr>
          <w:sz w:val="20"/>
          <w:szCs w:val="20"/>
          <w:color w:val="auto"/>
        </w:rPr>
      </w:pPr>
    </w:p>
    <w:p>
      <w:pPr>
        <w:jc w:val="both"/>
        <w:ind w:left="540" w:right="1779" w:hanging="315"/>
        <w:spacing w:after="0" w:line="237" w:lineRule="auto"/>
        <w:tabs>
          <w:tab w:leader="none" w:pos="520" w:val="left"/>
        </w:tabs>
        <w:rPr>
          <w:sz w:val="20"/>
          <w:szCs w:val="20"/>
          <w:color w:val="auto"/>
        </w:rPr>
      </w:pPr>
      <w:r>
        <w:rPr>
          <w:rFonts w:ascii="Courier New" w:cs="Courier New" w:eastAsia="Courier New" w:hAnsi="Courier New"/>
          <w:sz w:val="18"/>
          <w:szCs w:val="18"/>
          <w:color w:val="auto"/>
        </w:rPr>
        <w:t>4.1</w:t>
        <w:tab/>
        <w:t>Credit Agreement dated as of May 17, 1995 among Fiserv, Inc., the Lenders Party Thereto, First Bank National Association, as Co-Agent, and The Bank of New York, as Agent. (Not being filed herewith, but will be provided to the Commission upon its request, pursuant to Item 601(b) (4) (iii) (A) of Regulation S-K.)</w:t>
      </w:r>
    </w:p>
    <w:p>
      <w:pPr>
        <w:spacing w:after="0" w:line="209" w:lineRule="exact"/>
        <w:rPr>
          <w:sz w:val="20"/>
          <w:szCs w:val="20"/>
          <w:color w:val="auto"/>
        </w:rPr>
      </w:pPr>
    </w:p>
    <w:p>
      <w:pPr>
        <w:jc w:val="both"/>
        <w:ind w:left="540" w:right="1779" w:hanging="315"/>
        <w:spacing w:after="0" w:line="237" w:lineRule="auto"/>
        <w:tabs>
          <w:tab w:leader="none" w:pos="520" w:val="left"/>
        </w:tabs>
        <w:rPr>
          <w:sz w:val="20"/>
          <w:szCs w:val="20"/>
          <w:color w:val="auto"/>
        </w:rPr>
      </w:pPr>
      <w:r>
        <w:rPr>
          <w:rFonts w:ascii="Courier New" w:cs="Courier New" w:eastAsia="Courier New" w:hAnsi="Courier New"/>
          <w:sz w:val="18"/>
          <w:szCs w:val="18"/>
          <w:color w:val="auto"/>
        </w:rPr>
        <w:t>4.2</w:t>
        <w:tab/>
        <w:t>Note Purchase Agreement dated as of March 15, 1991, as amended, among Fiserv, Inc., Aid Association for Lutherans, Northwestern National Life Insurance Company, Northern Life Insurance Company and The North Atlantic Life Insurance Company of America. (Not being filed herewith, but will be provided to the Commission upon its request, pursuant to Item 601(b) (4) (iii) (A) of Regulation S-K.)</w:t>
      </w:r>
    </w:p>
    <w:p>
      <w:pPr>
        <w:spacing w:after="0" w:line="210" w:lineRule="exact"/>
        <w:rPr>
          <w:sz w:val="20"/>
          <w:szCs w:val="20"/>
          <w:color w:val="auto"/>
        </w:rPr>
      </w:pPr>
    </w:p>
    <w:p>
      <w:pPr>
        <w:jc w:val="both"/>
        <w:ind w:left="540" w:right="1779" w:hanging="315"/>
        <w:spacing w:after="0" w:line="237" w:lineRule="auto"/>
        <w:tabs>
          <w:tab w:leader="none" w:pos="520" w:val="left"/>
        </w:tabs>
        <w:rPr>
          <w:sz w:val="20"/>
          <w:szCs w:val="20"/>
          <w:color w:val="auto"/>
        </w:rPr>
      </w:pPr>
      <w:r>
        <w:rPr>
          <w:rFonts w:ascii="Courier New" w:cs="Courier New" w:eastAsia="Courier New" w:hAnsi="Courier New"/>
          <w:sz w:val="18"/>
          <w:szCs w:val="18"/>
          <w:color w:val="auto"/>
        </w:rPr>
        <w:t>4.3</w:t>
        <w:tab/>
        <w:t>Note Purchase Agreement dated as of April 30, 1990, as amended, among Fiserv, Inc. and Teachers Insurance and Annuity Association of America. (Not being filed herewith, but will be provided to the Commission upon its request, pursuant to Item 601(b) (4) (iii) (A) of Regulation S-K.)</w:t>
      </w:r>
    </w:p>
    <w:p>
      <w:pPr>
        <w:spacing w:after="0" w:line="207" w:lineRule="exact"/>
        <w:rPr>
          <w:sz w:val="20"/>
          <w:szCs w:val="20"/>
          <w:color w:val="auto"/>
        </w:rPr>
      </w:pPr>
    </w:p>
    <w:p>
      <w:pPr>
        <w:jc w:val="both"/>
        <w:ind w:left="540" w:right="1779" w:hanging="315"/>
        <w:spacing w:after="0" w:line="237" w:lineRule="auto"/>
        <w:tabs>
          <w:tab w:leader="none" w:pos="520" w:val="left"/>
        </w:tabs>
        <w:rPr>
          <w:sz w:val="20"/>
          <w:szCs w:val="20"/>
          <w:color w:val="auto"/>
        </w:rPr>
      </w:pPr>
      <w:r>
        <w:rPr>
          <w:rFonts w:ascii="Courier New" w:cs="Courier New" w:eastAsia="Courier New" w:hAnsi="Courier New"/>
          <w:sz w:val="18"/>
          <w:szCs w:val="18"/>
          <w:color w:val="auto"/>
        </w:rPr>
        <w:t>4.4</w:t>
        <w:tab/>
        <w:t>Note Purchase Agreement dated as of May 17, 1995 among Fiserv, Inc., Teachers Insurance and Annuity Association of America, Massachusetts Mutual Life Insurance Company and Aid Association for Lutherans. (Not being filed herewith, but will be provided to the Commission upon its request, pursuant to Item 601(b) (4) (iii) (A) of Regulation S-K.)</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 Opinion of Charles W. Sprague, Esq.</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*23.1 Manually signed Consent of Deloitte &amp; Touche LLP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23.3 Consent of Charles W. Sprague, Esq.(included in Exhibit 5.1 hereto).</w:t>
      </w:r>
    </w:p>
    <w:p>
      <w:pPr>
        <w:spacing w:after="0" w:line="201" w:lineRule="exact"/>
        <w:rPr>
          <w:sz w:val="20"/>
          <w:szCs w:val="20"/>
          <w:color w:val="auto"/>
        </w:rPr>
      </w:pPr>
    </w:p>
    <w:p>
      <w:pPr>
        <w:ind w:left="640" w:hanging="421"/>
        <w:spacing w:after="0"/>
        <w:tabs>
          <w:tab w:leader="none" w:pos="6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Attorney.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Filed herewith</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Registrant hereby undertakes to include any material information with respect to the plan of distribution not previously disclosed in the registration statement or any material change to such information in the information statement.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undersigned registrant hereby undertakes 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Act, each filing of the Registrant's annual</w:t>
      </w:r>
    </w:p>
    <w:p>
      <w:pPr>
        <w:sectPr>
          <w:pgSz w:w="11900" w:h="16838" w:orient="portrait"/>
          <w:cols w:equalWidth="0" w:num="1">
            <w:col w:w="10219"/>
          </w:cols>
          <w:pgMar w:left="240" w:top="142" w:right="1440" w:bottom="0" w:gutter="0" w:footer="0" w:header="0"/>
        </w:sectPr>
      </w:pPr>
    </w:p>
    <w:bookmarkStart w:id="6" w:name="page7"/>
    <w:bookmarkEnd w:id="6"/>
    <w:p>
      <w:pPr>
        <w:jc w:val="both"/>
        <w:ind w:right="1779"/>
        <w:spacing w:after="0" w:line="237" w:lineRule="auto"/>
        <w:rPr>
          <w:sz w:val="20"/>
          <w:szCs w:val="20"/>
          <w:color w:val="auto"/>
        </w:rPr>
      </w:pPr>
      <w:r>
        <w:rPr>
          <w:rFonts w:ascii="Courier New" w:cs="Courier New" w:eastAsia="Courier New" w:hAnsi="Courier New"/>
          <w:sz w:val="18"/>
          <w:szCs w:val="18"/>
          <w:color w:val="auto"/>
        </w:rPr>
        <w:t>report pursuant to Section 13(a) or 15(d) of the Securities Exchange Act of 1934, as amended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1"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Act may be permitted to directors, officers and controlling persons of the Registrant pursuant to the provisions described in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Registrant hereby further undertakes that:</w:t>
      </w:r>
    </w:p>
    <w:p>
      <w:pPr>
        <w:spacing w:after="0" w:line="207" w:lineRule="exact"/>
        <w:rPr>
          <w:sz w:val="20"/>
          <w:szCs w:val="20"/>
          <w:color w:val="auto"/>
        </w:rPr>
      </w:pPr>
    </w:p>
    <w:p>
      <w:pPr>
        <w:jc w:val="both"/>
        <w:ind w:left="540" w:right="2319" w:hanging="5"/>
        <w:spacing w:after="0" w:line="272" w:lineRule="auto"/>
        <w:tabs>
          <w:tab w:leader="none" w:pos="106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424(b)(1) or (4) or 497(h) under the Act shall be deemed to be part of this registration statement as of the time it was declared effective.</w:t>
      </w:r>
    </w:p>
    <w:p>
      <w:pPr>
        <w:spacing w:after="0" w:line="185" w:lineRule="exact"/>
        <w:rPr>
          <w:rFonts w:ascii="Courier New" w:cs="Courier New" w:eastAsia="Courier New" w:hAnsi="Courier New"/>
          <w:sz w:val="16"/>
          <w:szCs w:val="16"/>
          <w:color w:val="auto"/>
        </w:rPr>
      </w:pPr>
    </w:p>
    <w:p>
      <w:pPr>
        <w:jc w:val="both"/>
        <w:ind w:left="540" w:right="2319" w:hanging="5"/>
        <w:spacing w:after="0" w:line="273" w:lineRule="auto"/>
        <w:tabs>
          <w:tab w:leader="none" w:pos="106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Amendment No. 2 to its Registration Statement to be signed on its behalf by the undersigned, thereunto duly authorized, in the City of Brookfield, State of Wisconsin, on the 4th day of April 1996.</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FISERV, INC.</w:t>
      </w:r>
    </w:p>
    <w:p>
      <w:pPr>
        <w:spacing w:after="0" w:line="201"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tab/>
        <w:t>/S/ K.R. JENSEN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Kenneth R. Jensen,</w:t>
      </w:r>
    </w:p>
    <w:p>
      <w:pPr>
        <w:ind w:left="3160"/>
        <w:spacing w:after="0"/>
        <w:tabs>
          <w:tab w:leader="none" w:pos="5580" w:val="left"/>
        </w:tabs>
        <w:rPr>
          <w:sz w:val="20"/>
          <w:szCs w:val="20"/>
          <w:color w:val="auto"/>
        </w:rPr>
      </w:pPr>
      <w:r>
        <w:rPr>
          <w:rFonts w:ascii="Courier New" w:cs="Courier New" w:eastAsia="Courier New" w:hAnsi="Courier New"/>
          <w:sz w:val="18"/>
          <w:szCs w:val="18"/>
          <w:color w:val="auto"/>
        </w:rPr>
        <w:t>Senior Executive Vice</w:t>
      </w:r>
      <w:r>
        <w:rPr>
          <w:sz w:val="20"/>
          <w:szCs w:val="20"/>
          <w:color w:val="auto"/>
        </w:rPr>
        <w:tab/>
      </w:r>
      <w:r>
        <w:rPr>
          <w:rFonts w:ascii="Courier New" w:cs="Courier New" w:eastAsia="Courier New" w:hAnsi="Courier New"/>
          <w:sz w:val="16"/>
          <w:szCs w:val="16"/>
          <w:color w:val="auto"/>
        </w:rPr>
        <w:t>President</w:t>
      </w:r>
    </w:p>
    <w:p>
      <w:pPr>
        <w:ind w:left="3160"/>
        <w:spacing w:after="0" w:line="238" w:lineRule="auto"/>
        <w:rPr>
          <w:sz w:val="20"/>
          <w:szCs w:val="20"/>
          <w:color w:val="auto"/>
        </w:rPr>
      </w:pPr>
      <w:r>
        <w:rPr>
          <w:rFonts w:ascii="Courier New" w:cs="Courier New" w:eastAsia="Courier New" w:hAnsi="Courier New"/>
          <w:sz w:val="18"/>
          <w:szCs w:val="18"/>
          <w:color w:val="auto"/>
        </w:rPr>
        <w:t>and Treasurer</w:t>
      </w:r>
    </w:p>
    <w:p>
      <w:pPr>
        <w:spacing w:after="0" w:line="20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4200" w:type="dxa"/>
            <w:vAlign w:val="bottom"/>
          </w:tcPr>
          <w:p>
            <w:pPr>
              <w:ind w:left="40"/>
              <w:spacing w:after="0"/>
              <w:rPr>
                <w:sz w:val="20"/>
                <w:szCs w:val="20"/>
                <w:color w:val="auto"/>
              </w:rPr>
            </w:pPr>
            <w:r>
              <w:rPr>
                <w:rFonts w:ascii="Courier New" w:cs="Courier New" w:eastAsia="Courier New" w:hAnsi="Courier New"/>
                <w:sz w:val="18"/>
                <w:szCs w:val="18"/>
                <w:color w:val="auto"/>
              </w:rPr>
              <w:t>Chairman of the Board and Director</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w w:val="96"/>
              </w:rPr>
              <w:t>April 4, 1996</w:t>
            </w:r>
          </w:p>
        </w:tc>
      </w:tr>
      <w:tr>
        <w:trPr>
          <w:trHeight w:val="203"/>
        </w:trPr>
        <w:tc>
          <w:tcPr>
            <w:tcW w:w="2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4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D. Dalton)</w:t>
            </w:r>
          </w:p>
        </w:tc>
        <w:tc>
          <w:tcPr>
            <w:tcW w:w="4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540" w:type="dxa"/>
            <w:vAlign w:val="bottom"/>
          </w:tcPr>
          <w:p>
            <w:pPr>
              <w:spacing w:after="0"/>
              <w:rPr>
                <w:sz w:val="17"/>
                <w:szCs w:val="17"/>
                <w:color w:val="auto"/>
              </w:rPr>
            </w:pPr>
          </w:p>
        </w:tc>
      </w:tr>
      <w:tr>
        <w:trPr>
          <w:trHeight w:val="405"/>
        </w:trPr>
        <w:tc>
          <w:tcPr>
            <w:tcW w:w="228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4200" w:type="dxa"/>
            <w:vAlign w:val="bottom"/>
          </w:tcPr>
          <w:p>
            <w:pPr>
              <w:ind w:left="40"/>
              <w:spacing w:after="0"/>
              <w:rPr>
                <w:sz w:val="20"/>
                <w:szCs w:val="20"/>
                <w:color w:val="auto"/>
              </w:rPr>
            </w:pPr>
            <w:r>
              <w:rPr>
                <w:rFonts w:ascii="Courier New" w:cs="Courier New" w:eastAsia="Courier New" w:hAnsi="Courier New"/>
                <w:sz w:val="18"/>
                <w:szCs w:val="18"/>
                <w:color w:val="auto"/>
              </w:rPr>
              <w:t>President and Director</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w w:val="96"/>
              </w:rPr>
              <w:t>April 4, 1996</w:t>
            </w:r>
          </w:p>
        </w:tc>
      </w:tr>
      <w:tr>
        <w:trPr>
          <w:trHeight w:val="203"/>
        </w:trPr>
        <w:tc>
          <w:tcPr>
            <w:tcW w:w="2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4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(Leslie M. Muma)</w:t>
            </w:r>
          </w:p>
        </w:tc>
        <w:tc>
          <w:tcPr>
            <w:tcW w:w="4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28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4200" w:type="dxa"/>
            <w:vAlign w:val="bottom"/>
          </w:tcPr>
          <w:p>
            <w:pPr>
              <w:ind w:left="40"/>
              <w:spacing w:after="0"/>
              <w:rPr>
                <w:sz w:val="20"/>
                <w:szCs w:val="20"/>
                <w:color w:val="auto"/>
              </w:rPr>
            </w:pPr>
            <w:r>
              <w:rPr>
                <w:rFonts w:ascii="Courier New" w:cs="Courier New" w:eastAsia="Courier New" w:hAnsi="Courier New"/>
                <w:sz w:val="18"/>
                <w:szCs w:val="18"/>
                <w:color w:val="auto"/>
              </w:rPr>
              <w:t>Senior Executive Vice President,</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w w:val="96"/>
              </w:rPr>
              <w:t>April 4, 1996</w:t>
            </w:r>
          </w:p>
        </w:tc>
      </w:tr>
      <w:tr>
        <w:trPr>
          <w:trHeight w:val="203"/>
        </w:trPr>
        <w:tc>
          <w:tcPr>
            <w:tcW w:w="2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4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(Kenneth R. Jensen)</w:t>
            </w:r>
          </w:p>
        </w:tc>
        <w:tc>
          <w:tcPr>
            <w:tcW w:w="4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Treasurer and Director (Principal</w:t>
            </w:r>
          </w:p>
        </w:tc>
        <w:tc>
          <w:tcPr>
            <w:tcW w:w="154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and Accounting Officer)</w:t>
            </w:r>
          </w:p>
        </w:tc>
        <w:tc>
          <w:tcPr>
            <w:tcW w:w="1540" w:type="dxa"/>
            <w:vAlign w:val="bottom"/>
          </w:tcPr>
          <w:p>
            <w:pPr>
              <w:spacing w:after="0"/>
              <w:rPr>
                <w:sz w:val="17"/>
                <w:szCs w:val="17"/>
                <w:color w:val="auto"/>
              </w:rPr>
            </w:pPr>
          </w:p>
        </w:tc>
      </w:tr>
      <w:tr>
        <w:trPr>
          <w:trHeight w:val="405"/>
        </w:trPr>
        <w:tc>
          <w:tcPr>
            <w:tcW w:w="228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4200" w:type="dxa"/>
            <w:vAlign w:val="bottom"/>
          </w:tcPr>
          <w:p>
            <w:pPr>
              <w:ind w:left="40"/>
              <w:spacing w:after="0"/>
              <w:rPr>
                <w:sz w:val="20"/>
                <w:szCs w:val="20"/>
                <w:color w:val="auto"/>
              </w:rPr>
            </w:pPr>
            <w:r>
              <w:rPr>
                <w:rFonts w:ascii="Courier New" w:cs="Courier New" w:eastAsia="Courier New" w:hAnsi="Courier New"/>
                <w:sz w:val="18"/>
                <w:szCs w:val="18"/>
                <w:color w:val="auto"/>
              </w:rPr>
              <w:t>Vice Chairman, President - Information</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w w:val="96"/>
              </w:rPr>
              <w:t>April 4, 1996</w:t>
            </w:r>
          </w:p>
        </w:tc>
      </w:tr>
      <w:tr>
        <w:trPr>
          <w:trHeight w:val="203"/>
        </w:trPr>
        <w:tc>
          <w:tcPr>
            <w:tcW w:w="2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4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F. Dillon)</w:t>
            </w:r>
          </w:p>
        </w:tc>
        <w:tc>
          <w:tcPr>
            <w:tcW w:w="4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Technology, Inc.</w:t>
            </w:r>
          </w:p>
        </w:tc>
        <w:tc>
          <w:tcPr>
            <w:tcW w:w="1540" w:type="dxa"/>
            <w:vAlign w:val="bottom"/>
          </w:tcPr>
          <w:p>
            <w:pPr>
              <w:spacing w:after="0"/>
              <w:rPr>
                <w:sz w:val="17"/>
                <w:szCs w:val="17"/>
                <w:color w:val="auto"/>
              </w:rPr>
            </w:pPr>
          </w:p>
        </w:tc>
      </w:tr>
      <w:tr>
        <w:trPr>
          <w:trHeight w:val="405"/>
        </w:trPr>
        <w:tc>
          <w:tcPr>
            <w:tcW w:w="228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420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w w:val="96"/>
              </w:rPr>
              <w:t>April 4, 1996</w:t>
            </w:r>
          </w:p>
        </w:tc>
      </w:tr>
      <w:tr>
        <w:trPr>
          <w:trHeight w:val="203"/>
        </w:trPr>
        <w:tc>
          <w:tcPr>
            <w:tcW w:w="2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4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J. Levy)</w:t>
            </w:r>
          </w:p>
        </w:tc>
        <w:tc>
          <w:tcPr>
            <w:tcW w:w="4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420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sectPr>
      </w:pPr>
    </w:p>
    <w:bookmarkStart w:id="7" w:name="page8"/>
    <w:bookmarkEnd w:id="7"/>
    <w:p>
      <w:pPr>
        <w:jc w:val="right"/>
        <w:ind w:right="2199"/>
        <w:spacing w:after="0"/>
        <w:tabs>
          <w:tab w:leader="none" w:pos="5680" w:val="left"/>
          <w:tab w:leader="none" w:pos="1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April 4, 1996</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 William Seidman)</w:t>
      </w:r>
    </w:p>
    <w:p>
      <w:pPr>
        <w:spacing w:after="0" w:line="202" w:lineRule="exact"/>
        <w:rPr>
          <w:sz w:val="20"/>
          <w:szCs w:val="20"/>
          <w:color w:val="auto"/>
        </w:rPr>
      </w:pPr>
    </w:p>
    <w:p>
      <w:pPr>
        <w:jc w:val="right"/>
        <w:ind w:right="2199"/>
        <w:spacing w:after="0"/>
        <w:tabs>
          <w:tab w:leader="none" w:pos="5680" w:val="left"/>
          <w:tab w:leader="none" w:pos="1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April 4, 1996</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(Thekla R. Shackelford)</w:t>
      </w:r>
    </w:p>
    <w:p>
      <w:pPr>
        <w:spacing w:after="0" w:line="202" w:lineRule="exact"/>
        <w:rPr>
          <w:sz w:val="20"/>
          <w:szCs w:val="20"/>
          <w:color w:val="auto"/>
        </w:rPr>
      </w:pPr>
    </w:p>
    <w:p>
      <w:pPr>
        <w:jc w:val="right"/>
        <w:ind w:right="2199"/>
        <w:spacing w:after="0"/>
        <w:tabs>
          <w:tab w:leader="none" w:pos="5680" w:val="left"/>
          <w:tab w:leader="none" w:pos="1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April 4, 1996</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(Roland D. Sullivan)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K.R. JENSEN</w:t>
      </w:r>
    </w:p>
    <w:p>
      <w:pPr>
        <w:spacing w:after="0" w:line="238" w:lineRule="auto"/>
        <w:rPr>
          <w:sz w:val="20"/>
          <w:szCs w:val="20"/>
          <w:color w:val="auto"/>
        </w:rPr>
      </w:pPr>
      <w:r>
        <w:rPr>
          <w:rFonts w:ascii="Courier New" w:cs="Courier New" w:eastAsia="Courier New" w:hAnsi="Courier New"/>
          <w:sz w:val="18"/>
          <w:szCs w:val="18"/>
          <w:color w:val="auto"/>
        </w:rPr>
        <w:t>(Kenneth R. Jensen, individually and as</w:t>
      </w:r>
    </w:p>
    <w:p>
      <w:pPr>
        <w:spacing w:after="0"/>
        <w:rPr>
          <w:sz w:val="20"/>
          <w:szCs w:val="20"/>
          <w:color w:val="auto"/>
        </w:rPr>
      </w:pPr>
      <w:r>
        <w:rPr>
          <w:rFonts w:ascii="Courier New" w:cs="Courier New" w:eastAsia="Courier New" w:hAnsi="Courier New"/>
          <w:sz w:val="18"/>
          <w:szCs w:val="18"/>
          <w:color w:val="auto"/>
        </w:rPr>
        <w:t>attorney-in-fact for the persons indicated)</w:t>
      </w:r>
    </w:p>
    <w:p>
      <w:pPr>
        <w:sectPr>
          <w:pgSz w:w="11900" w:h="16838" w:orient="portrait"/>
          <w:cols w:equalWidth="0" w:num="1">
            <w:col w:w="10219"/>
          </w:cols>
          <w:pgMar w:left="240" w:top="33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Amendment No. 2 to Registration Statement No. 333-00913 of Fiserv, Inc. on Form S-3 of our report dated February 2, 1996, incorporated by reference in the Annual Report on Form 10-K of Fiserv, Inc. for the year ended December 31, 1995. We also consent to the reference to us under the heading "Experts" in the Prospectus, which is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38" w:lineRule="auto"/>
        <w:rPr>
          <w:sz w:val="20"/>
          <w:szCs w:val="20"/>
          <w:color w:val="auto"/>
        </w:rPr>
      </w:pPr>
      <w:r>
        <w:rPr>
          <w:rFonts w:ascii="Courier New" w:cs="Courier New" w:eastAsia="Courier New" w:hAnsi="Courier New"/>
          <w:sz w:val="18"/>
          <w:szCs w:val="18"/>
          <w:color w:val="auto"/>
        </w:rPr>
        <w:t>Milwaukee, Wisconsin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5, 1996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35"/>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
      <w:numFmt w:val="bullet"/>
      <w:start w:val="1"/>
    </w:lvl>
    <w:lvl w:ilvl="1">
      <w:lvlJc w:val="left"/>
      <w:lvlText w:val="%2."/>
      <w:numFmt w:val="decimal"/>
      <w:start w:val="24"/>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2019-12-12T08:08:22Z</dcterms:created>
  <dcterms:modified xsi:type="dcterms:W3CDTF">2019-12-12T08:08:22Z</dcterms:modified>
</cp:coreProperties>
</file>