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646430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201295</wp:posOffset>
            </wp:positionV>
            <wp:extent cx="216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229870</wp:posOffset>
            </wp:positionV>
            <wp:extent cx="2168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20" w:lineRule="exact"/>
        <w:rPr>
          <w:sz w:val="24"/>
          <w:szCs w:val="24"/>
          <w:color w:val="auto"/>
        </w:rPr>
      </w:pPr>
    </w:p>
    <w:p>
      <w:pPr>
        <w:ind w:left="5020"/>
        <w:spacing w:after="0"/>
        <w:rPr>
          <w:sz w:val="20"/>
          <w:szCs w:val="20"/>
          <w:color w:val="auto"/>
        </w:rPr>
      </w:pPr>
      <w:r>
        <w:rPr>
          <w:rFonts w:ascii="Arial" w:cs="Arial" w:eastAsia="Arial" w:hAnsi="Arial"/>
          <w:sz w:val="22"/>
          <w:szCs w:val="22"/>
          <w:b w:val="1"/>
          <w:bCs w:val="1"/>
          <w:color w:val="auto"/>
        </w:rPr>
        <w:t>April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216535</wp:posOffset>
            </wp:positionV>
            <wp:extent cx="216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347345</wp:posOffset>
            </wp:positionV>
            <wp:extent cx="216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ectPr>
          <w:pgSz w:w="11900" w:h="16838" w:orient="portrait"/>
          <w:cols w:equalWidth="0" w:num="1">
            <w:col w:w="10560"/>
          </w:cols>
          <w:pgMar w:left="320" w:top="1070"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24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82" w:lineRule="exact"/>
        <w:rPr>
          <w:sz w:val="24"/>
          <w:szCs w:val="24"/>
          <w:color w:val="auto"/>
        </w:rPr>
      </w:pPr>
    </w:p>
    <w:p>
      <w:pPr>
        <w:sectPr>
          <w:pgSz w:w="11900" w:h="16838" w:orient="portrait"/>
          <w:cols w:equalWidth="0" w:num="3">
            <w:col w:w="4460" w:space="720"/>
            <w:col w:w="2940" w:space="720"/>
            <w:col w:w="1720"/>
          </w:cols>
          <w:pgMar w:left="320" w:top="1070" w:right="1019" w:bottom="1440" w:gutter="0" w:footer="0" w:header="0"/>
          <w:type w:val="continuous"/>
        </w:sectPr>
      </w:pPr>
    </w:p>
    <w:p>
      <w:pPr>
        <w:jc w:val="center"/>
        <w:ind w:right="110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2900" w:space="720"/>
            <w:col w:w="1860"/>
          </w:cols>
          <w:pgMar w:left="320" w:top="1070" w:right="1019" w:bottom="1440" w:gutter="0" w:footer="0" w:header="0"/>
          <w:type w:val="continuous"/>
        </w:sectPr>
      </w:pPr>
    </w:p>
    <w:p>
      <w:pPr>
        <w:spacing w:after="0" w:line="19" w:lineRule="exact"/>
        <w:rPr>
          <w:sz w:val="24"/>
          <w:szCs w:val="24"/>
          <w:color w:val="auto"/>
        </w:rPr>
      </w:pPr>
    </w:p>
    <w:p>
      <w:pPr>
        <w:jc w:val="center"/>
        <w:ind w:right="-679"/>
        <w:spacing w:after="0"/>
        <w:rPr>
          <w:sz w:val="20"/>
          <w:szCs w:val="20"/>
          <w:color w:val="auto"/>
        </w:rPr>
      </w:pPr>
      <w:r>
        <w:rPr>
          <w:rFonts w:ascii="Arial" w:cs="Arial" w:eastAsia="Arial" w:hAnsi="Arial"/>
          <w:sz w:val="17"/>
          <w:szCs w:val="17"/>
          <w:b w:val="1"/>
          <w:bCs w:val="1"/>
          <w:color w:val="auto"/>
        </w:rPr>
        <w:t>255 Fiserv Drive, Brookfield, Wisconsin 53045</w:t>
      </w:r>
    </w:p>
    <w:p>
      <w:pPr>
        <w:spacing w:after="0" w:line="32" w:lineRule="exact"/>
        <w:rPr>
          <w:sz w:val="24"/>
          <w:szCs w:val="24"/>
          <w:color w:val="auto"/>
        </w:rPr>
      </w:pPr>
    </w:p>
    <w:p>
      <w:pPr>
        <w:ind w:left="376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1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217805</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ectPr>
          <w:pgSz w:w="11900" w:h="16838" w:orient="portrait"/>
          <w:cols w:equalWidth="0" w:num="1">
            <w:col w:w="10560"/>
          </w:cols>
          <w:pgMar w:left="320" w:top="1070" w:right="1019" w:bottom="1440" w:gutter="0" w:footer="0" w:header="0"/>
          <w:type w:val="continuous"/>
        </w:sectPr>
      </w:pPr>
    </w:p>
    <w:p>
      <w:pPr>
        <w:spacing w:after="0" w:line="200" w:lineRule="exact"/>
        <w:rPr>
          <w:sz w:val="24"/>
          <w:szCs w:val="24"/>
          <w:color w:val="auto"/>
        </w:rPr>
      </w:pPr>
    </w:p>
    <w:p>
      <w:pPr>
        <w:spacing w:after="0" w:line="3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64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0" w:hanging="64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0" w:hanging="64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560"/>
          </w:cols>
          <w:pgMar w:left="320" w:top="1070" w:right="10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9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78"/>
        </w:trPr>
        <w:tc>
          <w:tcPr>
            <w:tcW w:w="1000" w:type="dxa"/>
            <w:vAlign w:val="bottom"/>
          </w:tcPr>
          <w:p>
            <w:pPr>
              <w:spacing w:after="0"/>
              <w:rPr>
                <w:sz w:val="24"/>
                <w:szCs w:val="24"/>
                <w:color w:val="auto"/>
              </w:rPr>
            </w:pPr>
          </w:p>
        </w:tc>
        <w:tc>
          <w:tcPr>
            <w:tcW w:w="3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10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Common Stock, par value $0.01 per share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FISV</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0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0.375% Senior Notes due 2023</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FISV23</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0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1.125% Senior Notes due 2027</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FISV27</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0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1.625% Senior Notes due 2030</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FISV30</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0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2.250% Senior Notes due 2025</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FISV25</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0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3.000% Senior Notes due 2031</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FISV31</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210820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125095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2" w:name="page3"/>
    <w:bookmarkEnd w:id="2"/>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Realignment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Effective for the quarter ending March 31, 2020, Fiserv, Inc. (the "Company") is realigning its reportable segments to correspond with changes to its operating model to reflect its new management structure and organizational responsibilities (the "Segment Realignment") following the acquisition of First Data Corporation ("First Data"). As further described below under Item 8.01 of this Current Report on Form 8-K, the Company's three new reportable segments are: Merchant Acceptance, Financial Technology, and Payments and Network.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Financial Information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providing updated information in the schedules included in Exhibit 99.1 to recalculate certain non-GAAP measures of the Company's historical financial performance under the new segment reporting structure for each of the quarters in 2018 and 2019 as well as the full year 2018 and 2019. The schedules have been prepared by making certain adjustments to the underlying composition of the Company's and First Data's historical financial information. The adjustments are discussed in the notes to the schedules.</w:t>
      </w: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new reportable segments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Merchant Acceptance ("Acceptance")</w:t>
      </w:r>
    </w:p>
    <w:p>
      <w:pPr>
        <w:spacing w:after="0" w:line="23"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The businesses in the Acceptance segment provide a wide range of products and services to merchants around the world, including point-of-sale ("POS") merchant acquiring and e-commerce services, mobile payment services, security and fraud protection products, and the Company's cloud-based Clover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POS platform, which includes a marketplace for proprietary and third-party business applications. The products and services in the global Acceptance businesses are distributed through a variety of channels, including through direct sales teams, strategic partnerships with indirect non-bank sales forces, independent software vendors, and bank and non-bank partners in the form of joint venture alliances, revenue sharing alliances, and referral agreements. Many merchants, financial institutions and distribution partners within the Acceptance segment are also customers of the Company's other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Technology ("Fintech")</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businesses in the Fintech segment provide financial institutions around the world with the technology solutions they need to run their operations, including an institution's general ledger and central information files and products and services that enable financial institutions to process customer deposit and loan accounts. As a complement to the core account processing functionality, the businesses in the global Fintech segment also provide digital banking, financial and risk management, cash management, professional services and consulting, item processing and source capture, and other products and services that support numerous types of financial transactions. In addition, some of the businesses in the Fintech segment provide products or services to corporate clients to facilitate the management of financial processes and transactions. Many of the products and services offered in the Fintech segment are integrated with solutions from the Company's other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Payments and Network ("Payments")</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the Company's other segments.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 ("Corporate and Other")</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Corporate and Other supports the reporting segments above, and consists of amortization of acquisition-related intangible assets, unallocated corporate expenses and other activities that are not considered when management evaluates segment performance, such as gains on sales of businesses, costs associated with acquisition and divestiture activity, and the Company's Output Solutions postage reimbursements. Corporate and Other also includes the historical results of the Company's Investment</w:t>
      </w:r>
    </w:p>
    <w:p>
      <w:pPr>
        <w:sectPr>
          <w:pgSz w:w="11900" w:h="16838" w:orient="portrait"/>
          <w:cols w:equalWidth="0" w:num="1">
            <w:col w:w="11220"/>
          </w:cols>
          <w:pgMar w:left="320" w:top="715" w:right="35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Services business, of which the Company sold a 60% controlling interest in February 2020, as well as certain transition services revenue associated with various dispositions.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will begin reporting its financial results based on the Segment Realignment with the filing of its Quarterly Report on Form 10-Q for the quarter ending March 31, 2020, with prior periods adjusted accordingly.</w:t>
      </w:r>
    </w:p>
    <w:p>
      <w:pPr>
        <w:sectPr>
          <w:pgSz w:w="11900" w:h="16838" w:orient="portrait"/>
          <w:cols w:equalWidth="0" w:num="1">
            <w:col w:w="10980"/>
          </w:cols>
          <w:pgMar w:left="320" w:top="557" w:right="5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60" w:type="dxa"/>
            <w:vAlign w:val="bottom"/>
            <w:gridSpan w:val="5"/>
          </w:tcPr>
          <w:p>
            <w:pPr>
              <w:spacing w:after="0"/>
              <w:rPr>
                <w:sz w:val="20"/>
                <w:szCs w:val="20"/>
                <w:color w:val="auto"/>
              </w:rPr>
            </w:pPr>
            <w:r>
              <w:rPr>
                <w:rFonts w:ascii="Arial" w:cs="Arial" w:eastAsia="Arial" w:hAnsi="Arial"/>
                <w:sz w:val="18"/>
                <w:szCs w:val="18"/>
                <w:b w:val="1"/>
                <w:bCs w:val="1"/>
                <w:color w:val="auto"/>
              </w:rPr>
              <w:t>Item 9.01.</w:t>
            </w:r>
          </w:p>
        </w:tc>
        <w:tc>
          <w:tcPr>
            <w:tcW w:w="912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59"/>
        </w:trPr>
        <w:tc>
          <w:tcPr>
            <w:tcW w:w="126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20" w:type="dxa"/>
            <w:vAlign w:val="bottom"/>
          </w:tcPr>
          <w:p>
            <w:pPr>
              <w:ind w:left="2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8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75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7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100" w:type="dxa"/>
            <w:vAlign w:val="bottom"/>
            <w:gridSpan w:val="3"/>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20" w:type="dxa"/>
            <w:vAlign w:val="bottom"/>
            <w:gridSpan w:val="3"/>
          </w:tcPr>
          <w:p>
            <w:pPr>
              <w:ind w:left="880"/>
              <w:spacing w:after="0"/>
              <w:rPr>
                <w:rFonts w:ascii="Arial" w:cs="Arial" w:eastAsia="Arial" w:hAnsi="Arial"/>
                <w:sz w:val="18"/>
                <w:szCs w:val="18"/>
                <w:u w:val="single" w:color="auto"/>
                <w:color w:val="0000FF"/>
                <w:w w:val="91"/>
              </w:rPr>
            </w:pPr>
            <w:hyperlink w:anchor="page7">
              <w:r>
                <w:rPr>
                  <w:rFonts w:ascii="Arial" w:cs="Arial" w:eastAsia="Arial" w:hAnsi="Arial"/>
                  <w:sz w:val="18"/>
                  <w:szCs w:val="18"/>
                  <w:u w:val="single" w:color="auto"/>
                  <w:color w:val="0000FF"/>
                  <w:w w:val="91"/>
                </w:rPr>
                <w:t>Supplemental segment financial information (furnished pursuant to Item 2.02 of this Current Report on Form 8-K)</w:t>
              </w:r>
            </w:hyperlink>
          </w:p>
        </w:tc>
        <w:tc>
          <w:tcPr>
            <w:tcW w:w="0" w:type="dxa"/>
            <w:vAlign w:val="bottom"/>
          </w:tcPr>
          <w:p>
            <w:pPr>
              <w:spacing w:after="0"/>
              <w:rPr>
                <w:sz w:val="1"/>
                <w:szCs w:val="1"/>
                <w:color w:val="auto"/>
              </w:rPr>
            </w:pPr>
          </w:p>
        </w:tc>
      </w:tr>
      <w:tr>
        <w:trPr>
          <w:trHeight w:val="270"/>
        </w:trPr>
        <w:tc>
          <w:tcPr>
            <w:tcW w:w="1100" w:type="dxa"/>
            <w:vAlign w:val="bottom"/>
            <w:gridSpan w:val="3"/>
          </w:tcPr>
          <w:p>
            <w:pPr>
              <w:jc w:val="right"/>
              <w:ind w:right="28"/>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120" w:type="dxa"/>
            <w:vAlign w:val="bottom"/>
            <w:gridSpan w:val="3"/>
          </w:tcPr>
          <w:p>
            <w:pPr>
              <w:ind w:left="88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380"/>
          </w:cols>
          <w:pgMar w:left="360" w:top="715" w:right="11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FISERV, INC.</w:t>
      </w:r>
    </w:p>
    <w:p>
      <w:pPr>
        <w:spacing w:after="0" w:line="387" w:lineRule="exact"/>
        <w:rPr>
          <w:sz w:val="20"/>
          <w:szCs w:val="20"/>
          <w:color w:val="auto"/>
        </w:rPr>
      </w:pPr>
    </w:p>
    <w:p>
      <w:pPr>
        <w:ind w:left="40"/>
        <w:spacing w:after="0"/>
        <w:tabs>
          <w:tab w:leader="none" w:pos="820" w:val="left"/>
          <w:tab w:leader="none" w:pos="576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00"/>
          </w:cols>
          <w:pgMar w:left="320" w:top="553" w:right="379" w:bottom="1440" w:gutter="0" w:footer="0" w:header="0"/>
        </w:sectPr>
      </w:pPr>
    </w:p>
    <w:bookmarkStart w:id="6" w:name="page7"/>
    <w:bookmarkEnd w:id="6"/>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Realignment</w:t>
      </w:r>
    </w:p>
    <w:p>
      <w:pPr>
        <w:spacing w:after="0" w:line="2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Effective for the quarter ending March 31, 2020, Fiserv, Inc. (the "Company") is realigning its reportable segments to correspond with changes to its operating model and to reflect its new management structure and organizational responsibilities (the "Segment Realignment") following the acquisition of First Data Corporation ("First Data"). As a result of the Segment Realignment, the Company's three new reportable segments are: Merchant Acceptance ("Acceptance"), Financial Technology ("Fintech"), and Payments and Networks ("Payments").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is providing the updated combined adjusted segment financial information set forth in the attached schedules to enhance its shareholders' ability to evaluate the Company's historical operating performance on a combined basis with First Data under the Segment Realignment. The purpose of the attached schedules is to recalculate certain non-GAAP financial performance measures of the Company's historical financial performance on a combined company basis with First Data under the Segment Realignment for each of the quarters in 2018 and 2019 as well as the full year 2018 and 2019. The schedules have been prepared by making certain adjustments to the sum of historical First Data financial information determined in accordance with generally accepted accounting principles ("GAAP") and historical Fiserv financial information determined in accordance with GAAP. The adjustments are discussed in the notes to the schedules. The schedules include the historical adjusted financial results by segment and historical internal revenue growth rate by segment.</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combined adjusted segment financial information in the attached schedules is presented in accordance with the assumptions set forth below, includes various estimates, and is not necessarily indicative of the operating results of the combined companies in the future. The combined adjusted financial information prior to the First Data acquisition date does not reflect any cost savings or other synergies anticipated as a result of the acquisition, nor does it reflect the impact of any purchase accounting adjustments from the acquisition as those impacts are excluded in the preparation of the combined adjusted financial information. The combined adjusted financial information is not pro forma information prepared in accordance with Article 11 of Regulation S-X of the Securities and Exchange Commission, and the preparation of information in accordance with Article 11 would result in a significantly different presentation.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7"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The Company is supplementing its and First Data's historical reporting of information determined in accordance with GAAP, such as revenue, operating income, and operating margin with "combined revenue," "adjusted revenue," "combined operating income," "adjusted operating income," "adjusted operating margin," "internal revenue" and "internal revenue growth." Management believes that providing combined historical segment financial information, making adjustments for certain non-cash or other items and excluding certain pass-through revenue and expenses with respect to such combined information should enhance shareholders' ability to evaluate the combined company's performance under the Segment Realignment, including providing a reasonable basis of comparison with its results for post-acquisition periods and providing additional insights into the factors and trends affecting the combined company's business. Therefore, the Company excludes these items from its and First Data's historical combined revenue and combined operating income to calculate these non-GAAP measures on a segment basis. The corresponding reconciliations of these adjusted financial measures to the most comparable GAAP measures are included in the attached schedules.</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Examples of non-cash or other items may include, but are not limited to, non-cash deferred revenue adjustments arising from acquisitions; non-cash intangible asset amortization expense associated with acquisitions; non-cash impairment charges; severance and restructuring costs; net charges associated with debt financing activities including foreign currency transaction gains or losses, early debt extinguishment and bridge financing costs; merger and integration costs; gains or losses from the sale of businesses; and certain discrete tax benefits and expenses. The Company excludes these items to more clearly focus on the factors management believes are pertinent to the Company's operations, and management uses this information to make operating decisions, including the allocation of resources to the Company's various businesses.</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83" w:right="339" w:bottom="1440" w:gutter="0" w:footer="0" w:header="0"/>
        </w:sectPr>
      </w:pPr>
    </w:p>
    <w:bookmarkStart w:id="7" w:name="page8"/>
    <w:bookmarkEnd w:id="7"/>
    <w:p>
      <w:pPr>
        <w:ind w:right="80"/>
        <w:spacing w:after="0" w:line="286" w:lineRule="auto"/>
        <w:rPr>
          <w:sz w:val="20"/>
          <w:szCs w:val="20"/>
          <w:color w:val="auto"/>
        </w:rPr>
      </w:pPr>
      <w:r>
        <w:rPr>
          <w:rFonts w:ascii="Arial" w:cs="Arial" w:eastAsia="Arial" w:hAnsi="Arial"/>
          <w:sz w:val="17"/>
          <w:szCs w:val="17"/>
          <w:color w:val="auto"/>
        </w:rPr>
        <w:t>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internal revenue growth is useful because it presents combined adjusted revenue growth including deferred revenue purchase accounting adjustments and excluding the impact of foreign currency fluctuations, acquisitions, dispositions and the Company's Output Solutions postage reimbursements. Management believes this supplemental information enhances shareholders' ability to evaluate and understand the Company's core business performance.</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non-GAAP measures may not be comparable to similarly titled measures reported by other companies and should be considered in addition to, and not as a substitute for, revenue, operating income and operating margin, or any other amount determined in accordance with GAAP.</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341" w:right="51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3"/>
          <w:szCs w:val="13"/>
          <w:b w:val="1"/>
          <w:bCs w:val="1"/>
          <w:color w:val="auto"/>
        </w:rPr>
        <w:t>Fiserv,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Non-GAAP Financial Results by Segment</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(In millions,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63"/>
        </w:trPr>
        <w:tc>
          <w:tcPr>
            <w:tcW w:w="4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First Quarter</w:t>
            </w:r>
          </w:p>
        </w:tc>
        <w:tc>
          <w:tcPr>
            <w:tcW w:w="14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Second Quarter</w:t>
            </w:r>
          </w:p>
        </w:tc>
        <w:tc>
          <w:tcPr>
            <w:tcW w:w="16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Third Quarter</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Fourth Quarter</w:t>
            </w:r>
          </w:p>
        </w:tc>
        <w:tc>
          <w:tcPr>
            <w:tcW w:w="220" w:type="dxa"/>
            <w:vAlign w:val="bottom"/>
          </w:tcPr>
          <w:p>
            <w:pPr>
              <w:spacing w:after="0"/>
              <w:rPr>
                <w:sz w:val="22"/>
                <w:szCs w:val="22"/>
                <w:color w:val="auto"/>
              </w:rPr>
            </w:pPr>
          </w:p>
        </w:tc>
        <w:tc>
          <w:tcPr>
            <w:tcW w:w="1020" w:type="dxa"/>
            <w:vAlign w:val="bottom"/>
          </w:tcPr>
          <w:p>
            <w:pPr>
              <w:jc w:val="right"/>
              <w:ind w:right="317"/>
              <w:spacing w:after="0"/>
              <w:rPr>
                <w:sz w:val="20"/>
                <w:szCs w:val="20"/>
                <w:color w:val="auto"/>
              </w:rPr>
            </w:pPr>
            <w:r>
              <w:rPr>
                <w:rFonts w:ascii="Arial" w:cs="Arial" w:eastAsia="Arial" w:hAnsi="Arial"/>
                <w:sz w:val="13"/>
                <w:szCs w:val="13"/>
                <w:b w:val="1"/>
                <w:bCs w:val="1"/>
                <w:color w:val="auto"/>
              </w:rPr>
              <w:t>Full Year</w:t>
            </w:r>
          </w:p>
        </w:tc>
      </w:tr>
      <w:tr>
        <w:trPr>
          <w:trHeight w:val="254"/>
        </w:trPr>
        <w:tc>
          <w:tcPr>
            <w:tcW w:w="4560" w:type="dxa"/>
            <w:vAlign w:val="bottom"/>
          </w:tcPr>
          <w:p>
            <w:pPr>
              <w:spacing w:after="0"/>
              <w:rPr>
                <w:sz w:val="20"/>
                <w:szCs w:val="20"/>
                <w:color w:val="auto"/>
              </w:rPr>
            </w:pPr>
            <w:r>
              <w:rPr>
                <w:rFonts w:ascii="Arial" w:cs="Arial" w:eastAsia="Arial" w:hAnsi="Arial"/>
                <w:sz w:val="13"/>
                <w:szCs w:val="13"/>
                <w:b w:val="1"/>
                <w:bCs w:val="1"/>
                <w:color w:val="auto"/>
              </w:rPr>
              <w:t>Total Company</w:t>
            </w: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Revenue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1,502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1,512</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3,128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4,045</w:t>
            </w:r>
          </w:p>
        </w:tc>
        <w:tc>
          <w:tcPr>
            <w:tcW w:w="120" w:type="dxa"/>
            <w:vAlign w:val="bottom"/>
          </w:tcPr>
          <w:p>
            <w:pPr>
              <w:spacing w:after="0"/>
              <w:rPr>
                <w:sz w:val="23"/>
                <w:szCs w:val="23"/>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10,187</w:t>
            </w:r>
          </w:p>
        </w:tc>
      </w:tr>
      <w:tr>
        <w:trPr>
          <w:trHeight w:val="279"/>
        </w:trPr>
        <w:tc>
          <w:tcPr>
            <w:tcW w:w="4560" w:type="dxa"/>
            <w:vAlign w:val="bottom"/>
          </w:tcPr>
          <w:p>
            <w:pPr>
              <w:spacing w:after="0"/>
              <w:rPr>
                <w:sz w:val="20"/>
                <w:szCs w:val="20"/>
                <w:color w:val="auto"/>
              </w:rPr>
            </w:pPr>
            <w:r>
              <w:rPr>
                <w:rFonts w:ascii="Arial" w:cs="Arial" w:eastAsia="Arial" w:hAnsi="Arial"/>
                <w:sz w:val="13"/>
                <w:szCs w:val="13"/>
                <w:color w:val="auto"/>
              </w:rPr>
              <w:t xml:space="preserve">First Data revenue </w:t>
            </w:r>
            <w:r>
              <w:rPr>
                <w:rFonts w:ascii="Arial" w:cs="Arial" w:eastAsia="Arial" w:hAnsi="Arial"/>
                <w:sz w:val="8"/>
                <w:szCs w:val="8"/>
                <w:color w:val="auto"/>
              </w:rPr>
              <w:t>1</w:t>
            </w:r>
          </w:p>
        </w:tc>
        <w:tc>
          <w:tcPr>
            <w:tcW w:w="180" w:type="dxa"/>
            <w:vAlign w:val="bottom"/>
          </w:tcPr>
          <w:p>
            <w:pPr>
              <w:spacing w:after="0"/>
              <w:rPr>
                <w:sz w:val="24"/>
                <w:szCs w:val="2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2,316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2,485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808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5,609</w:t>
            </w:r>
          </w:p>
        </w:tc>
      </w:tr>
      <w:tr>
        <w:trPr>
          <w:trHeight w:val="200"/>
        </w:trPr>
        <w:tc>
          <w:tcPr>
            <w:tcW w:w="4560" w:type="dxa"/>
            <w:vAlign w:val="bottom"/>
          </w:tcPr>
          <w:p>
            <w:pPr>
              <w:spacing w:after="0"/>
              <w:rPr>
                <w:sz w:val="20"/>
                <w:szCs w:val="20"/>
                <w:color w:val="auto"/>
              </w:rPr>
            </w:pPr>
            <w:r>
              <w:rPr>
                <w:rFonts w:ascii="Arial" w:cs="Arial" w:eastAsia="Arial" w:hAnsi="Arial"/>
                <w:sz w:val="13"/>
                <w:szCs w:val="13"/>
                <w:color w:val="auto"/>
              </w:rPr>
              <w:t>Combined revenue</w:t>
            </w: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3,818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3,997</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3,936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4,045</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15,796</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Combined adjustments:</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 xml:space="preserve">Intercompany eliminations </w:t>
            </w:r>
            <w:r>
              <w:rPr>
                <w:rFonts w:ascii="Arial" w:cs="Arial" w:eastAsia="Arial" w:hAnsi="Arial"/>
                <w:sz w:val="8"/>
                <w:szCs w:val="8"/>
                <w:color w:val="auto"/>
              </w:rPr>
              <w:t>2</w:t>
            </w:r>
          </w:p>
        </w:tc>
        <w:tc>
          <w:tcPr>
            <w:tcW w:w="18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w:t>
            </w: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 xml:space="preserve">Output Solutions postage reimbursements </w:t>
            </w:r>
            <w:r>
              <w:rPr>
                <w:rFonts w:ascii="Arial" w:cs="Arial" w:eastAsia="Arial" w:hAnsi="Arial"/>
                <w:sz w:val="8"/>
                <w:szCs w:val="8"/>
                <w:color w:val="auto"/>
              </w:rPr>
              <w:t>3</w:t>
            </w:r>
          </w:p>
        </w:tc>
        <w:tc>
          <w:tcPr>
            <w:tcW w:w="18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(978)</w:t>
            </w: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Deferred revenue purchase accounting adjustments</w:t>
            </w:r>
          </w:p>
        </w:tc>
        <w:tc>
          <w:tcPr>
            <w:tcW w:w="18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18</w:t>
            </w:r>
          </w:p>
        </w:tc>
      </w:tr>
      <w:tr>
        <w:trPr>
          <w:trHeight w:val="279"/>
        </w:trPr>
        <w:tc>
          <w:tcPr>
            <w:tcW w:w="4560" w:type="dxa"/>
            <w:vAlign w:val="bottom"/>
          </w:tcPr>
          <w:p>
            <w:pPr>
              <w:ind w:left="140"/>
              <w:spacing w:after="0"/>
              <w:rPr>
                <w:sz w:val="20"/>
                <w:szCs w:val="20"/>
                <w:color w:val="auto"/>
              </w:rPr>
            </w:pPr>
            <w:r>
              <w:rPr>
                <w:rFonts w:ascii="Arial" w:cs="Arial" w:eastAsia="Arial" w:hAnsi="Arial"/>
                <w:sz w:val="13"/>
                <w:szCs w:val="13"/>
                <w:color w:val="auto"/>
              </w:rPr>
              <w:t xml:space="preserve">Merchant Services adjustment </w:t>
            </w:r>
            <w:r>
              <w:rPr>
                <w:rFonts w:ascii="Arial" w:cs="Arial" w:eastAsia="Arial" w:hAnsi="Arial"/>
                <w:sz w:val="8"/>
                <w:szCs w:val="8"/>
                <w:color w:val="auto"/>
              </w:rPr>
              <w:t>4</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(387)</w:t>
            </w:r>
          </w:p>
        </w:tc>
      </w:tr>
      <w:tr>
        <w:trPr>
          <w:trHeight w:val="215"/>
        </w:trPr>
        <w:tc>
          <w:tcPr>
            <w:tcW w:w="4560" w:type="dxa"/>
            <w:vAlign w:val="bottom"/>
          </w:tcPr>
          <w:p>
            <w:pPr>
              <w:spacing w:after="0"/>
              <w:rPr>
                <w:sz w:val="20"/>
                <w:szCs w:val="20"/>
                <w:color w:val="auto"/>
              </w:rPr>
            </w:pPr>
            <w:r>
              <w:rPr>
                <w:rFonts w:ascii="Arial" w:cs="Arial" w:eastAsia="Arial" w:hAnsi="Arial"/>
                <w:sz w:val="13"/>
                <w:szCs w:val="13"/>
                <w:color w:val="auto"/>
              </w:rPr>
              <w:t>Adjusted revenue</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3,473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3,643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3,617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3,712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14,445</w:t>
            </w: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1"/>
        </w:trPr>
        <w:tc>
          <w:tcPr>
            <w:tcW w:w="4560" w:type="dxa"/>
            <w:vAlign w:val="bottom"/>
          </w:tcPr>
          <w:p>
            <w:pPr>
              <w:spacing w:after="0"/>
              <w:rPr>
                <w:sz w:val="20"/>
                <w:szCs w:val="20"/>
                <w:color w:val="auto"/>
              </w:rPr>
            </w:pPr>
            <w:r>
              <w:rPr>
                <w:rFonts w:ascii="Arial" w:cs="Arial" w:eastAsia="Arial" w:hAnsi="Arial"/>
                <w:sz w:val="13"/>
                <w:szCs w:val="13"/>
                <w:color w:val="auto"/>
              </w:rPr>
              <w:t>Operating income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373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24"/>
                <w:szCs w:val="2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1,609</w:t>
            </w:r>
          </w:p>
        </w:tc>
      </w:tr>
      <w:tr>
        <w:trPr>
          <w:trHeight w:val="279"/>
        </w:trPr>
        <w:tc>
          <w:tcPr>
            <w:tcW w:w="4560" w:type="dxa"/>
            <w:vAlign w:val="bottom"/>
          </w:tcPr>
          <w:p>
            <w:pPr>
              <w:spacing w:after="0"/>
              <w:rPr>
                <w:sz w:val="20"/>
                <w:szCs w:val="20"/>
                <w:color w:val="auto"/>
              </w:rPr>
            </w:pPr>
            <w:r>
              <w:rPr>
                <w:rFonts w:ascii="Arial" w:cs="Arial" w:eastAsia="Arial" w:hAnsi="Arial"/>
                <w:sz w:val="13"/>
                <w:szCs w:val="13"/>
                <w:color w:val="auto"/>
              </w:rPr>
              <w:t xml:space="preserve">First Data operating income </w:t>
            </w:r>
            <w:r>
              <w:rPr>
                <w:rFonts w:ascii="Arial" w:cs="Arial" w:eastAsia="Arial" w:hAnsi="Arial"/>
                <w:sz w:val="8"/>
                <w:szCs w:val="8"/>
                <w:color w:val="auto"/>
              </w:rPr>
              <w:t>1</w:t>
            </w:r>
          </w:p>
        </w:tc>
        <w:tc>
          <w:tcPr>
            <w:tcW w:w="180" w:type="dxa"/>
            <w:vAlign w:val="bottom"/>
          </w:tcPr>
          <w:p>
            <w:pPr>
              <w:spacing w:after="0"/>
              <w:rPr>
                <w:sz w:val="24"/>
                <w:szCs w:val="2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424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565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1,088</w:t>
            </w:r>
          </w:p>
        </w:tc>
      </w:tr>
      <w:tr>
        <w:trPr>
          <w:trHeight w:val="200"/>
        </w:trPr>
        <w:tc>
          <w:tcPr>
            <w:tcW w:w="4560" w:type="dxa"/>
            <w:vAlign w:val="bottom"/>
          </w:tcPr>
          <w:p>
            <w:pPr>
              <w:spacing w:after="0"/>
              <w:rPr>
                <w:sz w:val="20"/>
                <w:szCs w:val="20"/>
                <w:color w:val="auto"/>
              </w:rPr>
            </w:pPr>
            <w:r>
              <w:rPr>
                <w:rFonts w:ascii="Arial" w:cs="Arial" w:eastAsia="Arial" w:hAnsi="Arial"/>
                <w:sz w:val="13"/>
                <w:szCs w:val="13"/>
                <w:color w:val="auto"/>
              </w:rPr>
              <w:t>Combined operating income</w:t>
            </w: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797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949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473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2,697</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Combined adjustments:</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Merger and integration costs</w:t>
            </w:r>
          </w:p>
        </w:tc>
        <w:tc>
          <w:tcPr>
            <w:tcW w:w="180" w:type="dxa"/>
            <w:vAlign w:val="bottom"/>
          </w:tcPr>
          <w:p>
            <w:pPr>
              <w:spacing w:after="0"/>
              <w:rPr>
                <w:sz w:val="23"/>
                <w:szCs w:val="23"/>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467</w:t>
            </w: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Severance and restructuring costs</w:t>
            </w:r>
          </w:p>
        </w:tc>
        <w:tc>
          <w:tcPr>
            <w:tcW w:w="180" w:type="dxa"/>
            <w:vAlign w:val="bottom"/>
          </w:tcPr>
          <w:p>
            <w:pPr>
              <w:spacing w:after="0"/>
              <w:rPr>
                <w:sz w:val="23"/>
                <w:szCs w:val="23"/>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150</w:t>
            </w: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Amortization of acquisition-related intangible assets</w:t>
            </w:r>
          </w:p>
        </w:tc>
        <w:tc>
          <w:tcPr>
            <w:tcW w:w="180" w:type="dxa"/>
            <w:vAlign w:val="bottom"/>
          </w:tcPr>
          <w:p>
            <w:pPr>
              <w:spacing w:after="0"/>
              <w:rPr>
                <w:sz w:val="23"/>
                <w:szCs w:val="23"/>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1,222</w:t>
            </w: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 xml:space="preserve">Merchant Services adjustment </w:t>
            </w:r>
            <w:r>
              <w:rPr>
                <w:rFonts w:ascii="Arial" w:cs="Arial" w:eastAsia="Arial" w:hAnsi="Arial"/>
                <w:sz w:val="8"/>
                <w:szCs w:val="8"/>
                <w:color w:val="auto"/>
              </w:rPr>
              <w:t>4</w:t>
            </w:r>
          </w:p>
        </w:tc>
        <w:tc>
          <w:tcPr>
            <w:tcW w:w="18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(230)</w:t>
            </w:r>
          </w:p>
        </w:tc>
      </w:tr>
      <w:tr>
        <w:trPr>
          <w:trHeight w:val="280"/>
        </w:trPr>
        <w:tc>
          <w:tcPr>
            <w:tcW w:w="4560" w:type="dxa"/>
            <w:vAlign w:val="bottom"/>
          </w:tcPr>
          <w:p>
            <w:pPr>
              <w:ind w:left="140"/>
              <w:spacing w:after="0"/>
              <w:rPr>
                <w:sz w:val="20"/>
                <w:szCs w:val="20"/>
                <w:color w:val="auto"/>
              </w:rPr>
            </w:pPr>
            <w:r>
              <w:rPr>
                <w:rFonts w:ascii="Arial" w:cs="Arial" w:eastAsia="Arial" w:hAnsi="Arial"/>
                <w:sz w:val="13"/>
                <w:szCs w:val="13"/>
                <w:color w:val="auto"/>
              </w:rPr>
              <w:t>(Gain) loss on sale of businesses</w:t>
            </w:r>
          </w:p>
        </w:tc>
        <w:tc>
          <w:tcPr>
            <w:tcW w:w="180" w:type="dxa"/>
            <w:vAlign w:val="bottom"/>
          </w:tcPr>
          <w:p>
            <w:pPr>
              <w:spacing w:after="0"/>
              <w:rPr>
                <w:sz w:val="24"/>
                <w:szCs w:val="2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(12)</w:t>
            </w:r>
          </w:p>
        </w:tc>
      </w:tr>
      <w:tr>
        <w:trPr>
          <w:trHeight w:val="215"/>
        </w:trPr>
        <w:tc>
          <w:tcPr>
            <w:tcW w:w="4560" w:type="dxa"/>
            <w:vAlign w:val="bottom"/>
          </w:tcPr>
          <w:p>
            <w:pPr>
              <w:spacing w:after="0"/>
              <w:rPr>
                <w:sz w:val="20"/>
                <w:szCs w:val="20"/>
                <w:color w:val="auto"/>
              </w:rPr>
            </w:pPr>
            <w:r>
              <w:rPr>
                <w:rFonts w:ascii="Arial" w:cs="Arial" w:eastAsia="Arial" w:hAnsi="Arial"/>
                <w:sz w:val="13"/>
                <w:szCs w:val="13"/>
                <w:color w:val="auto"/>
              </w:rPr>
              <w:t>Adjusted operating income</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963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1,084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1,079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1,168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4,294</w:t>
            </w: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7"/>
        </w:trPr>
        <w:tc>
          <w:tcPr>
            <w:tcW w:w="4560" w:type="dxa"/>
            <w:vAlign w:val="bottom"/>
          </w:tcPr>
          <w:p>
            <w:pPr>
              <w:spacing w:after="0"/>
              <w:rPr>
                <w:sz w:val="20"/>
                <w:szCs w:val="20"/>
                <w:color w:val="auto"/>
              </w:rPr>
            </w:pPr>
            <w:r>
              <w:rPr>
                <w:rFonts w:ascii="Arial" w:cs="Arial" w:eastAsia="Arial" w:hAnsi="Arial"/>
                <w:sz w:val="13"/>
                <w:szCs w:val="13"/>
                <w:color w:val="auto"/>
              </w:rPr>
              <w:t>Operating margin</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15.8%</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Adjusted operating margin</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29.7%</w:t>
            </w:r>
          </w:p>
        </w:tc>
      </w:tr>
      <w:tr>
        <w:trPr>
          <w:trHeight w:val="445"/>
        </w:trPr>
        <w:tc>
          <w:tcPr>
            <w:tcW w:w="4560" w:type="dxa"/>
            <w:vAlign w:val="bottom"/>
          </w:tcPr>
          <w:p>
            <w:pPr>
              <w:spacing w:after="0"/>
              <w:rPr>
                <w:sz w:val="20"/>
                <w:szCs w:val="20"/>
                <w:color w:val="auto"/>
              </w:rPr>
            </w:pPr>
            <w:r>
              <w:rPr>
                <w:rFonts w:ascii="Arial" w:cs="Arial" w:eastAsia="Arial" w:hAnsi="Arial"/>
                <w:sz w:val="13"/>
                <w:szCs w:val="13"/>
                <w:b w:val="1"/>
                <w:bCs w:val="1"/>
                <w:color w:val="auto"/>
              </w:rPr>
              <w:t>Acceptance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Revenue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1,012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1,559</w:t>
            </w:r>
          </w:p>
        </w:tc>
        <w:tc>
          <w:tcPr>
            <w:tcW w:w="120" w:type="dxa"/>
            <w:vAlign w:val="bottom"/>
          </w:tcPr>
          <w:p>
            <w:pPr>
              <w:spacing w:after="0"/>
              <w:rPr>
                <w:sz w:val="23"/>
                <w:szCs w:val="23"/>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2,571</w:t>
            </w:r>
          </w:p>
        </w:tc>
      </w:tr>
      <w:tr>
        <w:trPr>
          <w:trHeight w:val="280"/>
        </w:trPr>
        <w:tc>
          <w:tcPr>
            <w:tcW w:w="4560" w:type="dxa"/>
            <w:vAlign w:val="bottom"/>
          </w:tcPr>
          <w:p>
            <w:pPr>
              <w:spacing w:after="0"/>
              <w:rPr>
                <w:sz w:val="20"/>
                <w:szCs w:val="20"/>
                <w:color w:val="auto"/>
              </w:rPr>
            </w:pPr>
            <w:r>
              <w:rPr>
                <w:rFonts w:ascii="Arial" w:cs="Arial" w:eastAsia="Arial" w:hAnsi="Arial"/>
                <w:sz w:val="13"/>
                <w:szCs w:val="13"/>
                <w:color w:val="auto"/>
              </w:rPr>
              <w:t xml:space="preserve">First Data revenue </w:t>
            </w:r>
            <w:r>
              <w:rPr>
                <w:rFonts w:ascii="Arial" w:cs="Arial" w:eastAsia="Arial" w:hAnsi="Arial"/>
                <w:sz w:val="8"/>
                <w:szCs w:val="8"/>
                <w:color w:val="auto"/>
              </w:rPr>
              <w:t>1</w:t>
            </w:r>
          </w:p>
        </w:tc>
        <w:tc>
          <w:tcPr>
            <w:tcW w:w="180" w:type="dxa"/>
            <w:vAlign w:val="bottom"/>
          </w:tcPr>
          <w:p>
            <w:pPr>
              <w:spacing w:after="0"/>
              <w:rPr>
                <w:sz w:val="24"/>
                <w:szCs w:val="2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1,427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1,576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3,514</w:t>
            </w:r>
          </w:p>
        </w:tc>
      </w:tr>
      <w:tr>
        <w:trPr>
          <w:trHeight w:val="240"/>
        </w:trPr>
        <w:tc>
          <w:tcPr>
            <w:tcW w:w="4560" w:type="dxa"/>
            <w:vAlign w:val="bottom"/>
          </w:tcPr>
          <w:p>
            <w:pPr>
              <w:spacing w:after="0"/>
              <w:rPr>
                <w:sz w:val="20"/>
                <w:szCs w:val="20"/>
                <w:color w:val="auto"/>
              </w:rPr>
            </w:pPr>
            <w:r>
              <w:rPr>
                <w:rFonts w:ascii="Arial" w:cs="Arial" w:eastAsia="Arial" w:hAnsi="Arial"/>
                <w:sz w:val="13"/>
                <w:szCs w:val="13"/>
                <w:color w:val="auto"/>
              </w:rPr>
              <w:t>Combined revenue</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1,427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1,576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1,523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1,559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6,085</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Combined adjustments:</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Deferred revenue purchase accounting adjustments</w:t>
            </w:r>
          </w:p>
        </w:tc>
        <w:tc>
          <w:tcPr>
            <w:tcW w:w="18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4</w:t>
            </w:r>
          </w:p>
        </w:tc>
      </w:tr>
      <w:tr>
        <w:trPr>
          <w:trHeight w:val="280"/>
        </w:trPr>
        <w:tc>
          <w:tcPr>
            <w:tcW w:w="4560" w:type="dxa"/>
            <w:vAlign w:val="bottom"/>
          </w:tcPr>
          <w:p>
            <w:pPr>
              <w:ind w:left="140"/>
              <w:spacing w:after="0"/>
              <w:rPr>
                <w:sz w:val="20"/>
                <w:szCs w:val="20"/>
                <w:color w:val="auto"/>
              </w:rPr>
            </w:pPr>
            <w:r>
              <w:rPr>
                <w:rFonts w:ascii="Arial" w:cs="Arial" w:eastAsia="Arial" w:hAnsi="Arial"/>
                <w:sz w:val="13"/>
                <w:szCs w:val="13"/>
                <w:color w:val="auto"/>
              </w:rPr>
              <w:t xml:space="preserve">Merchant Services adjustment </w:t>
            </w:r>
            <w:r>
              <w:rPr>
                <w:rFonts w:ascii="Arial" w:cs="Arial" w:eastAsia="Arial" w:hAnsi="Arial"/>
                <w:sz w:val="8"/>
                <w:szCs w:val="8"/>
                <w:color w:val="auto"/>
              </w:rPr>
              <w:t>4</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(387)</w:t>
            </w:r>
          </w:p>
        </w:tc>
      </w:tr>
      <w:tr>
        <w:trPr>
          <w:trHeight w:val="215"/>
        </w:trPr>
        <w:tc>
          <w:tcPr>
            <w:tcW w:w="4560" w:type="dxa"/>
            <w:vAlign w:val="bottom"/>
          </w:tcPr>
          <w:p>
            <w:pPr>
              <w:spacing w:after="0"/>
              <w:rPr>
                <w:sz w:val="20"/>
                <w:szCs w:val="20"/>
                <w:color w:val="auto"/>
              </w:rPr>
            </w:pPr>
            <w:r>
              <w:rPr>
                <w:rFonts w:ascii="Arial" w:cs="Arial" w:eastAsia="Arial" w:hAnsi="Arial"/>
                <w:sz w:val="13"/>
                <w:szCs w:val="13"/>
                <w:color w:val="auto"/>
              </w:rPr>
              <w:t>Adjusted revenue</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1,334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1,467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1,437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1,464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5,702</w:t>
            </w: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1"/>
        </w:trPr>
        <w:tc>
          <w:tcPr>
            <w:tcW w:w="4560" w:type="dxa"/>
            <w:vAlign w:val="bottom"/>
          </w:tcPr>
          <w:p>
            <w:pPr>
              <w:spacing w:after="0"/>
              <w:rPr>
                <w:sz w:val="20"/>
                <w:szCs w:val="20"/>
                <w:color w:val="auto"/>
              </w:rPr>
            </w:pPr>
            <w:r>
              <w:rPr>
                <w:rFonts w:ascii="Arial" w:cs="Arial" w:eastAsia="Arial" w:hAnsi="Arial"/>
                <w:sz w:val="13"/>
                <w:szCs w:val="13"/>
                <w:color w:val="auto"/>
              </w:rPr>
              <w:t>Operating income</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468</w:t>
            </w:r>
          </w:p>
        </w:tc>
        <w:tc>
          <w:tcPr>
            <w:tcW w:w="120" w:type="dxa"/>
            <w:vAlign w:val="bottom"/>
          </w:tcPr>
          <w:p>
            <w:pPr>
              <w:spacing w:after="0"/>
              <w:rPr>
                <w:sz w:val="24"/>
                <w:szCs w:val="2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764</w:t>
            </w:r>
          </w:p>
        </w:tc>
      </w:tr>
      <w:tr>
        <w:trPr>
          <w:trHeight w:val="280"/>
        </w:trPr>
        <w:tc>
          <w:tcPr>
            <w:tcW w:w="4560" w:type="dxa"/>
            <w:vAlign w:val="bottom"/>
          </w:tcPr>
          <w:p>
            <w:pPr>
              <w:spacing w:after="0"/>
              <w:rPr>
                <w:sz w:val="20"/>
                <w:szCs w:val="20"/>
                <w:color w:val="auto"/>
              </w:rPr>
            </w:pPr>
            <w:r>
              <w:rPr>
                <w:rFonts w:ascii="Arial" w:cs="Arial" w:eastAsia="Arial" w:hAnsi="Arial"/>
                <w:sz w:val="13"/>
                <w:szCs w:val="13"/>
                <w:color w:val="auto"/>
              </w:rPr>
              <w:t xml:space="preserve">First Data operating income </w:t>
            </w:r>
            <w:r>
              <w:rPr>
                <w:rFonts w:ascii="Arial" w:cs="Arial" w:eastAsia="Arial" w:hAnsi="Arial"/>
                <w:sz w:val="8"/>
                <w:szCs w:val="8"/>
                <w:color w:val="auto"/>
              </w:rPr>
              <w:t>1</w:t>
            </w:r>
          </w:p>
        </w:tc>
        <w:tc>
          <w:tcPr>
            <w:tcW w:w="180" w:type="dxa"/>
            <w:vAlign w:val="bottom"/>
          </w:tcPr>
          <w:p>
            <w:pPr>
              <w:spacing w:after="0"/>
              <w:rPr>
                <w:sz w:val="24"/>
                <w:szCs w:val="2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486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1,026</w:t>
            </w:r>
          </w:p>
        </w:tc>
      </w:tr>
      <w:tr>
        <w:trPr>
          <w:trHeight w:val="240"/>
        </w:trPr>
        <w:tc>
          <w:tcPr>
            <w:tcW w:w="4560" w:type="dxa"/>
            <w:vAlign w:val="bottom"/>
          </w:tcPr>
          <w:p>
            <w:pPr>
              <w:spacing w:after="0"/>
              <w:rPr>
                <w:sz w:val="20"/>
                <w:szCs w:val="20"/>
                <w:color w:val="auto"/>
              </w:rPr>
            </w:pPr>
            <w:r>
              <w:rPr>
                <w:rFonts w:ascii="Arial" w:cs="Arial" w:eastAsia="Arial" w:hAnsi="Arial"/>
                <w:sz w:val="13"/>
                <w:szCs w:val="13"/>
                <w:color w:val="auto"/>
              </w:rPr>
              <w:t>Combined operating income</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1,790</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Combined adjustments:</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Merger and integration costs</w:t>
            </w:r>
          </w:p>
        </w:tc>
        <w:tc>
          <w:tcPr>
            <w:tcW w:w="18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4</w:t>
            </w:r>
          </w:p>
        </w:tc>
      </w:tr>
      <w:tr>
        <w:trPr>
          <w:trHeight w:val="279"/>
        </w:trPr>
        <w:tc>
          <w:tcPr>
            <w:tcW w:w="4560" w:type="dxa"/>
            <w:vAlign w:val="bottom"/>
          </w:tcPr>
          <w:p>
            <w:pPr>
              <w:ind w:left="140"/>
              <w:spacing w:after="0"/>
              <w:rPr>
                <w:sz w:val="20"/>
                <w:szCs w:val="20"/>
                <w:color w:val="auto"/>
              </w:rPr>
            </w:pPr>
            <w:r>
              <w:rPr>
                <w:rFonts w:ascii="Arial" w:cs="Arial" w:eastAsia="Arial" w:hAnsi="Arial"/>
                <w:sz w:val="13"/>
                <w:szCs w:val="13"/>
                <w:color w:val="auto"/>
              </w:rPr>
              <w:t xml:space="preserve">Merchant Services adjustment </w:t>
            </w:r>
            <w:r>
              <w:rPr>
                <w:rFonts w:ascii="Arial" w:cs="Arial" w:eastAsia="Arial" w:hAnsi="Arial"/>
                <w:sz w:val="8"/>
                <w:szCs w:val="8"/>
                <w:color w:val="auto"/>
              </w:rPr>
              <w:t>4</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(230)</w:t>
            </w:r>
          </w:p>
        </w:tc>
      </w:tr>
      <w:tr>
        <w:trPr>
          <w:trHeight w:val="215"/>
        </w:trPr>
        <w:tc>
          <w:tcPr>
            <w:tcW w:w="4560" w:type="dxa"/>
            <w:vAlign w:val="bottom"/>
          </w:tcPr>
          <w:p>
            <w:pPr>
              <w:spacing w:after="0"/>
              <w:rPr>
                <w:sz w:val="20"/>
                <w:szCs w:val="20"/>
                <w:color w:val="auto"/>
              </w:rPr>
            </w:pPr>
            <w:r>
              <w:rPr>
                <w:rFonts w:ascii="Arial" w:cs="Arial" w:eastAsia="Arial" w:hAnsi="Arial"/>
                <w:sz w:val="13"/>
                <w:szCs w:val="13"/>
                <w:color w:val="auto"/>
              </w:rPr>
              <w:t>Adjusted operating income</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420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409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1,564</w:t>
            </w: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7"/>
        </w:trPr>
        <w:tc>
          <w:tcPr>
            <w:tcW w:w="4560" w:type="dxa"/>
            <w:vAlign w:val="bottom"/>
          </w:tcPr>
          <w:p>
            <w:pPr>
              <w:spacing w:after="0"/>
              <w:rPr>
                <w:sz w:val="20"/>
                <w:szCs w:val="20"/>
                <w:color w:val="auto"/>
              </w:rPr>
            </w:pPr>
            <w:r>
              <w:rPr>
                <w:rFonts w:ascii="Arial" w:cs="Arial" w:eastAsia="Arial" w:hAnsi="Arial"/>
                <w:sz w:val="13"/>
                <w:szCs w:val="13"/>
                <w:color w:val="auto"/>
              </w:rPr>
              <w:t>Operating margin</w:t>
            </w:r>
          </w:p>
        </w:tc>
        <w:tc>
          <w:tcPr>
            <w:tcW w:w="180" w:type="dxa"/>
            <w:vAlign w:val="bottom"/>
          </w:tcPr>
          <w:p>
            <w:pPr>
              <w:spacing w:after="0"/>
              <w:rPr>
                <w:sz w:val="24"/>
                <w:szCs w:val="24"/>
                <w:color w:val="auto"/>
              </w:rPr>
            </w:pPr>
          </w:p>
        </w:tc>
        <w:tc>
          <w:tcPr>
            <w:tcW w:w="1160" w:type="dxa"/>
            <w:vAlign w:val="bottom"/>
            <w:gridSpan w:val="2"/>
          </w:tcPr>
          <w:p>
            <w:pPr>
              <w:ind w:left="720"/>
              <w:spacing w:after="0"/>
              <w:rPr>
                <w:sz w:val="20"/>
                <w:szCs w:val="20"/>
                <w:color w:val="auto"/>
              </w:rPr>
            </w:pPr>
            <w:r>
              <w:rPr>
                <w:rFonts w:ascii="Arial" w:cs="Arial" w:eastAsia="Arial" w:hAnsi="Arial"/>
                <w:sz w:val="13"/>
                <w:szCs w:val="13"/>
                <w:color w:val="auto"/>
              </w:rPr>
              <w:t>n/m</w:t>
            </w:r>
          </w:p>
        </w:tc>
        <w:tc>
          <w:tcPr>
            <w:tcW w:w="140" w:type="dxa"/>
            <w:vAlign w:val="bottom"/>
          </w:tcPr>
          <w:p>
            <w:pPr>
              <w:spacing w:after="0"/>
              <w:rPr>
                <w:sz w:val="24"/>
                <w:szCs w:val="24"/>
                <w:color w:val="auto"/>
              </w:rPr>
            </w:pPr>
          </w:p>
        </w:tc>
        <w:tc>
          <w:tcPr>
            <w:tcW w:w="1220" w:type="dxa"/>
            <w:vAlign w:val="bottom"/>
            <w:gridSpan w:val="2"/>
          </w:tcPr>
          <w:p>
            <w:pPr>
              <w:ind w:left="780"/>
              <w:spacing w:after="0"/>
              <w:rPr>
                <w:sz w:val="20"/>
                <w:szCs w:val="20"/>
                <w:color w:val="auto"/>
              </w:rPr>
            </w:pPr>
            <w:r>
              <w:rPr>
                <w:rFonts w:ascii="Arial" w:cs="Arial" w:eastAsia="Arial" w:hAnsi="Arial"/>
                <w:sz w:val="13"/>
                <w:szCs w:val="13"/>
                <w:color w:val="auto"/>
              </w:rPr>
              <w:t>n/m</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29.7%</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Adjusted operating margin</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27.4%</w:t>
            </w:r>
          </w:p>
        </w:tc>
      </w:tr>
    </w:tbl>
    <w:p>
      <w:pPr>
        <w:spacing w:after="0" w:line="200" w:lineRule="exact"/>
        <w:rPr>
          <w:sz w:val="20"/>
          <w:szCs w:val="20"/>
          <w:color w:val="auto"/>
        </w:rPr>
      </w:pPr>
    </w:p>
    <w:p>
      <w:pPr>
        <w:sectPr>
          <w:pgSz w:w="11900" w:h="16838" w:orient="portrait"/>
          <w:cols w:equalWidth="0" w:num="1">
            <w:col w:w="11200"/>
          </w:cols>
          <w:pgMar w:left="360" w:top="499" w:right="339" w:bottom="1440" w:gutter="0" w:footer="0" w:header="0"/>
        </w:sect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00"/>
          </w:cols>
          <w:pgMar w:left="360" w:top="499" w:right="33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Fintech </w:t>
      </w:r>
      <w:r>
        <w:rPr>
          <w:rFonts w:ascii="Arial" w:cs="Arial" w:eastAsia="Arial" w:hAnsi="Arial"/>
          <w:sz w:val="8"/>
          <w:szCs w:val="8"/>
          <w:b w:val="1"/>
          <w:bCs w:val="1"/>
          <w:color w:val="auto"/>
        </w:rPr>
        <w:t>(5)</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Revenue</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color w:val="auto"/>
        </w:rPr>
        <w:t>Operating income</w:t>
      </w:r>
    </w:p>
    <w:p>
      <w:pPr>
        <w:spacing w:after="0" w:line="304" w:lineRule="exact"/>
        <w:rPr>
          <w:sz w:val="20"/>
          <w:szCs w:val="20"/>
          <w:color w:val="auto"/>
        </w:rPr>
      </w:pPr>
    </w:p>
    <w:p>
      <w:pPr>
        <w:spacing w:after="0"/>
        <w:rPr>
          <w:sz w:val="20"/>
          <w:szCs w:val="20"/>
          <w:color w:val="auto"/>
        </w:rPr>
      </w:pPr>
      <w:r>
        <w:rPr>
          <w:rFonts w:ascii="Arial" w:cs="Arial" w:eastAsia="Arial" w:hAnsi="Arial"/>
          <w:sz w:val="10"/>
          <w:szCs w:val="10"/>
          <w:color w:val="auto"/>
        </w:rPr>
        <w:t>Operating margin</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Payments</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Arial" w:cs="Arial" w:eastAsia="Arial" w:hAnsi="Arial"/>
          <w:sz w:val="13"/>
          <w:szCs w:val="13"/>
          <w:b w:val="1"/>
          <w:bCs w:val="1"/>
          <w:color w:val="auto"/>
        </w:rPr>
        <w:t>Fiserv, Inc.</w:t>
      </w:r>
    </w:p>
    <w:p>
      <w:pPr>
        <w:spacing w:after="0" w:line="40" w:lineRule="exact"/>
        <w:rPr>
          <w:sz w:val="20"/>
          <w:szCs w:val="20"/>
          <w:color w:val="auto"/>
        </w:rPr>
      </w:pPr>
    </w:p>
    <w:p>
      <w:pPr>
        <w:jc w:val="center"/>
        <w:ind w:right="4300"/>
        <w:spacing w:after="0"/>
        <w:rPr>
          <w:sz w:val="20"/>
          <w:szCs w:val="20"/>
          <w:color w:val="auto"/>
        </w:rPr>
      </w:pPr>
      <w:r>
        <w:rPr>
          <w:rFonts w:ascii="Arial" w:cs="Arial" w:eastAsia="Arial" w:hAnsi="Arial"/>
          <w:sz w:val="10"/>
          <w:szCs w:val="10"/>
          <w:b w:val="1"/>
          <w:bCs w:val="1"/>
          <w:color w:val="auto"/>
        </w:rPr>
        <w:t>Non-GAAP Financial Results by Segment (cont.)</w:t>
      </w:r>
    </w:p>
    <w:p>
      <w:pPr>
        <w:spacing w:after="0" w:line="78" w:lineRule="exact"/>
        <w:rPr>
          <w:sz w:val="20"/>
          <w:szCs w:val="20"/>
          <w:color w:val="auto"/>
        </w:rPr>
      </w:pPr>
    </w:p>
    <w:p>
      <w:pPr>
        <w:jc w:val="center"/>
        <w:ind w:right="4300"/>
        <w:spacing w:after="0"/>
        <w:rPr>
          <w:sz w:val="20"/>
          <w:szCs w:val="20"/>
          <w:color w:val="auto"/>
        </w:rPr>
      </w:pPr>
      <w:r>
        <w:rPr>
          <w:rFonts w:ascii="Arial" w:cs="Arial" w:eastAsia="Arial" w:hAnsi="Arial"/>
          <w:sz w:val="13"/>
          <w:szCs w:val="13"/>
          <w:color w:val="auto"/>
        </w:rPr>
        <w:t>(In millions, unaudited)</w:t>
      </w:r>
    </w:p>
    <w:p>
      <w:pPr>
        <w:spacing w:after="0" w:line="238"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19685</wp:posOffset>
            </wp:positionV>
            <wp:extent cx="4217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14" w:lineRule="exact"/>
        <w:rPr>
          <w:sz w:val="20"/>
          <w:szCs w:val="20"/>
          <w:color w:val="auto"/>
        </w:rPr>
      </w:pPr>
    </w:p>
    <w:tbl>
      <w:tblPr>
        <w:tblLayout w:type="fixed"/>
        <w:tblInd w:w="28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First Quarter</w:t>
            </w: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Second Quarter</w:t>
            </w: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Third Quarter</w:t>
            </w:r>
          </w:p>
        </w:tc>
        <w:tc>
          <w:tcPr>
            <w:tcW w:w="16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Fourth Quarter</w:t>
            </w:r>
          </w:p>
        </w:tc>
        <w:tc>
          <w:tcPr>
            <w:tcW w:w="220" w:type="dxa"/>
            <w:vAlign w:val="bottom"/>
          </w:tcPr>
          <w:p>
            <w:pPr>
              <w:spacing w:after="0"/>
              <w:rPr>
                <w:sz w:val="15"/>
                <w:szCs w:val="15"/>
                <w:color w:val="auto"/>
              </w:rPr>
            </w:pPr>
          </w:p>
        </w:tc>
        <w:tc>
          <w:tcPr>
            <w:tcW w:w="1020" w:type="dxa"/>
            <w:vAlign w:val="bottom"/>
          </w:tcPr>
          <w:p>
            <w:pPr>
              <w:jc w:val="right"/>
              <w:ind w:right="317"/>
              <w:spacing w:after="0"/>
              <w:rPr>
                <w:sz w:val="20"/>
                <w:szCs w:val="20"/>
                <w:color w:val="auto"/>
              </w:rPr>
            </w:pPr>
            <w:r>
              <w:rPr>
                <w:rFonts w:ascii="Arial" w:cs="Arial" w:eastAsia="Arial" w:hAnsi="Arial"/>
                <w:sz w:val="13"/>
                <w:szCs w:val="13"/>
                <w:b w:val="1"/>
                <w:bCs w:val="1"/>
                <w:color w:val="auto"/>
              </w:rPr>
              <w:t>Full Year</w:t>
            </w:r>
          </w:p>
        </w:tc>
      </w:tr>
      <w:tr>
        <w:trPr>
          <w:trHeight w:val="520"/>
        </w:trPr>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725</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731</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735</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751</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2,942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8"/>
        </w:trPr>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238</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885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63"/>
        </w:trPr>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30.1%</w:t>
            </w:r>
          </w:p>
        </w:tc>
      </w:tr>
    </w:tbl>
    <w:p>
      <w:pPr>
        <w:spacing w:after="0" w:line="555" w:lineRule="exact"/>
        <w:rPr>
          <w:sz w:val="20"/>
          <w:szCs w:val="20"/>
          <w:color w:val="auto"/>
        </w:rPr>
      </w:pPr>
    </w:p>
    <w:p>
      <w:pPr>
        <w:sectPr>
          <w:pgSz w:w="11900" w:h="16838" w:orient="portrait"/>
          <w:cols w:equalWidth="0" w:num="2">
            <w:col w:w="3560" w:space="720"/>
            <w:col w:w="6920"/>
          </w:cols>
          <w:pgMar w:left="360" w:top="499" w:right="339" w:bottom="1440" w:gutter="0" w:footer="0" w:header="0"/>
        </w:sectPr>
      </w:pPr>
    </w:p>
    <w:tbl>
      <w:tblPr>
        <w:tblLayout w:type="fixed"/>
        <w:tblInd w:w="0" w:type="dxa"/>
        <w:tblCellMar>
          <w:top w:w="0" w:type="dxa"/>
          <w:left w:w="0" w:type="dxa"/>
          <w:bottom w:w="0" w:type="dxa"/>
          <w:right w:w="0" w:type="dxa"/>
        </w:tblCellMar>
      </w:tblPr>
      <w:tr>
        <w:trPr>
          <w:trHeight w:val="160"/>
        </w:trPr>
        <w:tc>
          <w:tcPr>
            <w:tcW w:w="4560" w:type="dxa"/>
            <w:vAlign w:val="bottom"/>
          </w:tcPr>
          <w:p>
            <w:pPr>
              <w:spacing w:after="0"/>
              <w:rPr>
                <w:sz w:val="20"/>
                <w:szCs w:val="20"/>
                <w:color w:val="auto"/>
              </w:rPr>
            </w:pPr>
            <w:r>
              <w:rPr>
                <w:rFonts w:ascii="Arial" w:cs="Arial" w:eastAsia="Arial" w:hAnsi="Arial"/>
                <w:sz w:val="13"/>
                <w:szCs w:val="13"/>
                <w:color w:val="auto"/>
              </w:rPr>
              <w:t>Revenue</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651</w:t>
            </w:r>
          </w:p>
        </w:tc>
        <w:tc>
          <w:tcPr>
            <w:tcW w:w="100" w:type="dxa"/>
            <w:vAlign w:val="bottom"/>
          </w:tcPr>
          <w:p>
            <w:pPr>
              <w:spacing w:after="0"/>
              <w:rPr>
                <w:sz w:val="13"/>
                <w:szCs w:val="13"/>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662</w:t>
            </w:r>
          </w:p>
        </w:tc>
        <w:tc>
          <w:tcPr>
            <w:tcW w:w="120" w:type="dxa"/>
            <w:vAlign w:val="bottom"/>
          </w:tcPr>
          <w:p>
            <w:pPr>
              <w:spacing w:after="0"/>
              <w:rPr>
                <w:sz w:val="13"/>
                <w:szCs w:val="13"/>
                <w:color w:val="auto"/>
              </w:rPr>
            </w:pP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1,153</w:t>
            </w:r>
          </w:p>
        </w:tc>
        <w:tc>
          <w:tcPr>
            <w:tcW w:w="100" w:type="dxa"/>
            <w:vAlign w:val="bottom"/>
          </w:tcPr>
          <w:p>
            <w:pPr>
              <w:spacing w:after="0"/>
              <w:rPr>
                <w:sz w:val="13"/>
                <w:szCs w:val="13"/>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1,443</w:t>
            </w:r>
          </w:p>
        </w:tc>
        <w:tc>
          <w:tcPr>
            <w:tcW w:w="120" w:type="dxa"/>
            <w:vAlign w:val="bottom"/>
          </w:tcPr>
          <w:p>
            <w:pPr>
              <w:spacing w:after="0"/>
              <w:rPr>
                <w:sz w:val="13"/>
                <w:szCs w:val="13"/>
                <w:color w:val="auto"/>
              </w:rPr>
            </w:pP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3,909</w:t>
            </w:r>
          </w:p>
        </w:tc>
      </w:tr>
      <w:tr>
        <w:trPr>
          <w:trHeight w:val="279"/>
        </w:trPr>
        <w:tc>
          <w:tcPr>
            <w:tcW w:w="4560" w:type="dxa"/>
            <w:vAlign w:val="bottom"/>
          </w:tcPr>
          <w:p>
            <w:pPr>
              <w:spacing w:after="0"/>
              <w:rPr>
                <w:sz w:val="20"/>
                <w:szCs w:val="20"/>
                <w:color w:val="auto"/>
              </w:rPr>
            </w:pPr>
            <w:r>
              <w:rPr>
                <w:rFonts w:ascii="Arial" w:cs="Arial" w:eastAsia="Arial" w:hAnsi="Arial"/>
                <w:sz w:val="13"/>
                <w:szCs w:val="13"/>
                <w:color w:val="auto"/>
              </w:rPr>
              <w:t xml:space="preserve">First Data revenue </w:t>
            </w:r>
            <w:r>
              <w:rPr>
                <w:rFonts w:ascii="Arial" w:cs="Arial" w:eastAsia="Arial" w:hAnsi="Arial"/>
                <w:sz w:val="8"/>
                <w:szCs w:val="8"/>
                <w:color w:val="auto"/>
              </w:rPr>
              <w:t>1</w:t>
            </w:r>
          </w:p>
        </w:tc>
        <w:tc>
          <w:tcPr>
            <w:tcW w:w="46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732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1,688</w:t>
            </w:r>
          </w:p>
        </w:tc>
      </w:tr>
      <w:tr>
        <w:trPr>
          <w:trHeight w:val="241"/>
        </w:trPr>
        <w:tc>
          <w:tcPr>
            <w:tcW w:w="4560" w:type="dxa"/>
            <w:vAlign w:val="bottom"/>
          </w:tcPr>
          <w:p>
            <w:pPr>
              <w:spacing w:after="0"/>
              <w:rPr>
                <w:sz w:val="20"/>
                <w:szCs w:val="20"/>
                <w:color w:val="auto"/>
              </w:rPr>
            </w:pPr>
            <w:r>
              <w:rPr>
                <w:rFonts w:ascii="Arial" w:cs="Arial" w:eastAsia="Arial" w:hAnsi="Arial"/>
                <w:sz w:val="13"/>
                <w:szCs w:val="13"/>
                <w:color w:val="auto"/>
              </w:rPr>
              <w:t>Combined revenue</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1,394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1,393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1,443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5,597</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Combined adjustments:</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 xml:space="preserve">Intercompany eliminations </w:t>
            </w:r>
            <w:r>
              <w:rPr>
                <w:rFonts w:ascii="Arial" w:cs="Arial" w:eastAsia="Arial" w:hAnsi="Arial"/>
                <w:sz w:val="8"/>
                <w:szCs w:val="8"/>
                <w:color w:val="auto"/>
              </w:rPr>
              <w:t>2</w:t>
            </w:r>
          </w:p>
        </w:tc>
        <w:tc>
          <w:tcPr>
            <w:tcW w:w="46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w:t>
            </w:r>
          </w:p>
        </w:tc>
      </w:tr>
      <w:tr>
        <w:trPr>
          <w:trHeight w:val="279"/>
        </w:trPr>
        <w:tc>
          <w:tcPr>
            <w:tcW w:w="4560" w:type="dxa"/>
            <w:vAlign w:val="bottom"/>
          </w:tcPr>
          <w:p>
            <w:pPr>
              <w:ind w:left="140"/>
              <w:spacing w:after="0"/>
              <w:rPr>
                <w:sz w:val="20"/>
                <w:szCs w:val="20"/>
                <w:color w:val="auto"/>
              </w:rPr>
            </w:pPr>
            <w:r>
              <w:rPr>
                <w:rFonts w:ascii="Arial" w:cs="Arial" w:eastAsia="Arial" w:hAnsi="Arial"/>
                <w:sz w:val="13"/>
                <w:szCs w:val="13"/>
                <w:color w:val="auto"/>
              </w:rPr>
              <w:t>Deferred revenue purchase accounting adjustments</w:t>
            </w:r>
          </w:p>
        </w:tc>
        <w:tc>
          <w:tcPr>
            <w:tcW w:w="4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14</w:t>
            </w:r>
          </w:p>
        </w:tc>
      </w:tr>
      <w:tr>
        <w:trPr>
          <w:trHeight w:val="215"/>
        </w:trPr>
        <w:tc>
          <w:tcPr>
            <w:tcW w:w="4560" w:type="dxa"/>
            <w:vAlign w:val="bottom"/>
          </w:tcPr>
          <w:p>
            <w:pPr>
              <w:spacing w:after="0"/>
              <w:rPr>
                <w:sz w:val="20"/>
                <w:szCs w:val="20"/>
                <w:color w:val="auto"/>
              </w:rPr>
            </w:pPr>
            <w:r>
              <w:rPr>
                <w:rFonts w:ascii="Arial" w:cs="Arial" w:eastAsia="Arial" w:hAnsi="Arial"/>
                <w:sz w:val="13"/>
                <w:szCs w:val="13"/>
                <w:color w:val="auto"/>
              </w:rPr>
              <w:t>Adjusted revenue</w:t>
            </w: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1,365</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1,392</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1,397</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1,453</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5,607</w:t>
            </w:r>
          </w:p>
        </w:tc>
      </w:tr>
      <w:tr>
        <w:trPr>
          <w:trHeight w:val="20"/>
        </w:trPr>
        <w:tc>
          <w:tcPr>
            <w:tcW w:w="4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1"/>
        </w:trPr>
        <w:tc>
          <w:tcPr>
            <w:tcW w:w="4560" w:type="dxa"/>
            <w:vAlign w:val="bottom"/>
          </w:tcPr>
          <w:p>
            <w:pPr>
              <w:spacing w:after="0"/>
              <w:rPr>
                <w:sz w:val="20"/>
                <w:szCs w:val="20"/>
                <w:color w:val="auto"/>
              </w:rPr>
            </w:pPr>
            <w:r>
              <w:rPr>
                <w:rFonts w:ascii="Arial" w:cs="Arial" w:eastAsia="Arial" w:hAnsi="Arial"/>
                <w:sz w:val="13"/>
                <w:szCs w:val="13"/>
                <w:color w:val="auto"/>
              </w:rPr>
              <w:t>Operating income</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24"/>
                <w:szCs w:val="24"/>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24"/>
                <w:szCs w:val="24"/>
                <w:color w:val="auto"/>
              </w:rPr>
            </w:pP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476</w:t>
            </w:r>
          </w:p>
        </w:tc>
        <w:tc>
          <w:tcPr>
            <w:tcW w:w="100" w:type="dxa"/>
            <w:vAlign w:val="bottom"/>
          </w:tcPr>
          <w:p>
            <w:pPr>
              <w:spacing w:after="0"/>
              <w:rPr>
                <w:sz w:val="24"/>
                <w:szCs w:val="24"/>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620</w:t>
            </w:r>
          </w:p>
        </w:tc>
        <w:tc>
          <w:tcPr>
            <w:tcW w:w="120" w:type="dxa"/>
            <w:vAlign w:val="bottom"/>
          </w:tcPr>
          <w:p>
            <w:pPr>
              <w:spacing w:after="0"/>
              <w:rPr>
                <w:sz w:val="24"/>
                <w:szCs w:val="24"/>
                <w:color w:val="auto"/>
              </w:rPr>
            </w:pP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1,658</w:t>
            </w:r>
          </w:p>
        </w:tc>
      </w:tr>
      <w:tr>
        <w:trPr>
          <w:trHeight w:val="279"/>
        </w:trPr>
        <w:tc>
          <w:tcPr>
            <w:tcW w:w="4560" w:type="dxa"/>
            <w:vAlign w:val="bottom"/>
          </w:tcPr>
          <w:p>
            <w:pPr>
              <w:spacing w:after="0"/>
              <w:rPr>
                <w:sz w:val="20"/>
                <w:szCs w:val="20"/>
                <w:color w:val="auto"/>
              </w:rPr>
            </w:pPr>
            <w:r>
              <w:rPr>
                <w:rFonts w:ascii="Arial" w:cs="Arial" w:eastAsia="Arial" w:hAnsi="Arial"/>
                <w:sz w:val="13"/>
                <w:szCs w:val="13"/>
                <w:color w:val="auto"/>
              </w:rPr>
              <w:t xml:space="preserve">First Data operating income </w:t>
            </w:r>
            <w:r>
              <w:rPr>
                <w:rFonts w:ascii="Arial" w:cs="Arial" w:eastAsia="Arial" w:hAnsi="Arial"/>
                <w:sz w:val="8"/>
                <w:szCs w:val="8"/>
                <w:color w:val="auto"/>
              </w:rPr>
              <w:t>1</w:t>
            </w:r>
          </w:p>
        </w:tc>
        <w:tc>
          <w:tcPr>
            <w:tcW w:w="46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267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600</w:t>
            </w:r>
          </w:p>
        </w:tc>
      </w:tr>
      <w:tr>
        <w:trPr>
          <w:trHeight w:val="241"/>
        </w:trPr>
        <w:tc>
          <w:tcPr>
            <w:tcW w:w="4560" w:type="dxa"/>
            <w:vAlign w:val="bottom"/>
          </w:tcPr>
          <w:p>
            <w:pPr>
              <w:spacing w:after="0"/>
              <w:rPr>
                <w:sz w:val="20"/>
                <w:szCs w:val="20"/>
                <w:color w:val="auto"/>
              </w:rPr>
            </w:pPr>
            <w:r>
              <w:rPr>
                <w:rFonts w:ascii="Arial" w:cs="Arial" w:eastAsia="Arial" w:hAnsi="Arial"/>
                <w:sz w:val="13"/>
                <w:szCs w:val="13"/>
                <w:color w:val="auto"/>
              </w:rPr>
              <w:t>Combined operating income</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555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560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620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2,258</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Combined adjustments:</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80"/>
        </w:trPr>
        <w:tc>
          <w:tcPr>
            <w:tcW w:w="4560" w:type="dxa"/>
            <w:vAlign w:val="bottom"/>
          </w:tcPr>
          <w:p>
            <w:pPr>
              <w:ind w:left="140"/>
              <w:spacing w:after="0"/>
              <w:rPr>
                <w:sz w:val="20"/>
                <w:szCs w:val="20"/>
                <w:color w:val="auto"/>
              </w:rPr>
            </w:pPr>
            <w:r>
              <w:rPr>
                <w:rFonts w:ascii="Arial" w:cs="Arial" w:eastAsia="Arial" w:hAnsi="Arial"/>
                <w:sz w:val="13"/>
                <w:szCs w:val="13"/>
                <w:color w:val="auto"/>
              </w:rPr>
              <w:t>Merger and integration costs</w:t>
            </w:r>
          </w:p>
        </w:tc>
        <w:tc>
          <w:tcPr>
            <w:tcW w:w="4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14</w:t>
            </w:r>
          </w:p>
        </w:tc>
      </w:tr>
      <w:tr>
        <w:trPr>
          <w:trHeight w:val="215"/>
        </w:trPr>
        <w:tc>
          <w:tcPr>
            <w:tcW w:w="4560" w:type="dxa"/>
            <w:vAlign w:val="bottom"/>
          </w:tcPr>
          <w:p>
            <w:pPr>
              <w:spacing w:after="0"/>
              <w:rPr>
                <w:sz w:val="20"/>
                <w:szCs w:val="20"/>
                <w:color w:val="auto"/>
              </w:rPr>
            </w:pPr>
            <w:r>
              <w:rPr>
                <w:rFonts w:ascii="Arial" w:cs="Arial" w:eastAsia="Arial" w:hAnsi="Arial"/>
                <w:sz w:val="13"/>
                <w:szCs w:val="13"/>
                <w:color w:val="auto"/>
              </w:rPr>
              <w:t>Adjusted operating income</w:t>
            </w: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555</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630</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2,272</w:t>
            </w:r>
          </w:p>
        </w:tc>
      </w:tr>
      <w:tr>
        <w:trPr>
          <w:trHeight w:val="20"/>
        </w:trPr>
        <w:tc>
          <w:tcPr>
            <w:tcW w:w="4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57"/>
        </w:trPr>
        <w:tc>
          <w:tcPr>
            <w:tcW w:w="4560" w:type="dxa"/>
            <w:vAlign w:val="bottom"/>
          </w:tcPr>
          <w:p>
            <w:pPr>
              <w:spacing w:after="0"/>
              <w:rPr>
                <w:sz w:val="20"/>
                <w:szCs w:val="20"/>
                <w:color w:val="auto"/>
              </w:rPr>
            </w:pPr>
            <w:r>
              <w:rPr>
                <w:rFonts w:ascii="Arial" w:cs="Arial" w:eastAsia="Arial" w:hAnsi="Arial"/>
                <w:sz w:val="13"/>
                <w:szCs w:val="13"/>
                <w:color w:val="auto"/>
              </w:rPr>
              <w:t>Operating margin</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42.4%</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Adjusted operating margin</w:t>
            </w: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40.5%</w:t>
            </w:r>
          </w:p>
        </w:tc>
      </w:tr>
      <w:tr>
        <w:trPr>
          <w:trHeight w:val="445"/>
        </w:trPr>
        <w:tc>
          <w:tcPr>
            <w:tcW w:w="4560" w:type="dxa"/>
            <w:vAlign w:val="bottom"/>
          </w:tcPr>
          <w:p>
            <w:pPr>
              <w:spacing w:after="0"/>
              <w:rPr>
                <w:sz w:val="20"/>
                <w:szCs w:val="20"/>
                <w:color w:val="auto"/>
              </w:rPr>
            </w:pPr>
            <w:r>
              <w:rPr>
                <w:rFonts w:ascii="Arial" w:cs="Arial" w:eastAsia="Arial" w:hAnsi="Arial"/>
                <w:sz w:val="13"/>
                <w:szCs w:val="13"/>
                <w:b w:val="1"/>
                <w:bCs w:val="1"/>
                <w:color w:val="auto"/>
              </w:rPr>
              <w:t>Corporate and Other</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Revenue</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23"/>
                <w:szCs w:val="23"/>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23"/>
                <w:szCs w:val="23"/>
                <w:color w:val="auto"/>
              </w:rPr>
            </w:pP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23"/>
                <w:szCs w:val="23"/>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23"/>
                <w:szCs w:val="23"/>
                <w:color w:val="auto"/>
              </w:rPr>
            </w:pP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765</w:t>
            </w:r>
          </w:p>
        </w:tc>
      </w:tr>
      <w:tr>
        <w:trPr>
          <w:trHeight w:val="280"/>
        </w:trPr>
        <w:tc>
          <w:tcPr>
            <w:tcW w:w="4560" w:type="dxa"/>
            <w:vAlign w:val="bottom"/>
          </w:tcPr>
          <w:p>
            <w:pPr>
              <w:spacing w:after="0"/>
              <w:rPr>
                <w:sz w:val="20"/>
                <w:szCs w:val="20"/>
                <w:color w:val="auto"/>
              </w:rPr>
            </w:pPr>
            <w:r>
              <w:rPr>
                <w:rFonts w:ascii="Arial" w:cs="Arial" w:eastAsia="Arial" w:hAnsi="Arial"/>
                <w:sz w:val="13"/>
                <w:szCs w:val="13"/>
                <w:color w:val="auto"/>
              </w:rPr>
              <w:t xml:space="preserve">First Data revenue </w:t>
            </w:r>
            <w:r>
              <w:rPr>
                <w:rFonts w:ascii="Arial" w:cs="Arial" w:eastAsia="Arial" w:hAnsi="Arial"/>
                <w:sz w:val="8"/>
                <w:szCs w:val="8"/>
                <w:color w:val="auto"/>
              </w:rPr>
              <w:t>1</w:t>
            </w:r>
          </w:p>
        </w:tc>
        <w:tc>
          <w:tcPr>
            <w:tcW w:w="46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177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407</w:t>
            </w:r>
          </w:p>
        </w:tc>
      </w:tr>
      <w:tr>
        <w:trPr>
          <w:trHeight w:val="240"/>
        </w:trPr>
        <w:tc>
          <w:tcPr>
            <w:tcW w:w="4560" w:type="dxa"/>
            <w:vAlign w:val="bottom"/>
          </w:tcPr>
          <w:p>
            <w:pPr>
              <w:spacing w:after="0"/>
              <w:rPr>
                <w:sz w:val="20"/>
                <w:szCs w:val="20"/>
                <w:color w:val="auto"/>
              </w:rPr>
            </w:pPr>
            <w:r>
              <w:rPr>
                <w:rFonts w:ascii="Arial" w:cs="Arial" w:eastAsia="Arial" w:hAnsi="Arial"/>
                <w:sz w:val="13"/>
                <w:szCs w:val="13"/>
                <w:color w:val="auto"/>
              </w:rPr>
              <w:t>Combined revenue</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1,172</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Combined adjustments:</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80"/>
        </w:trPr>
        <w:tc>
          <w:tcPr>
            <w:tcW w:w="4560" w:type="dxa"/>
            <w:vAlign w:val="bottom"/>
          </w:tcPr>
          <w:p>
            <w:pPr>
              <w:ind w:left="140"/>
              <w:spacing w:after="0"/>
              <w:rPr>
                <w:sz w:val="20"/>
                <w:szCs w:val="20"/>
                <w:color w:val="auto"/>
              </w:rPr>
            </w:pPr>
            <w:r>
              <w:rPr>
                <w:rFonts w:ascii="Arial" w:cs="Arial" w:eastAsia="Arial" w:hAnsi="Arial"/>
                <w:sz w:val="13"/>
                <w:szCs w:val="13"/>
                <w:color w:val="auto"/>
              </w:rPr>
              <w:t xml:space="preserve">Output Solutions postage reimbursements </w:t>
            </w:r>
            <w:r>
              <w:rPr>
                <w:rFonts w:ascii="Arial" w:cs="Arial" w:eastAsia="Arial" w:hAnsi="Arial"/>
                <w:sz w:val="8"/>
                <w:szCs w:val="8"/>
                <w:color w:val="auto"/>
              </w:rPr>
              <w:t>3</w:t>
            </w: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(243)</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(978)</w:t>
            </w:r>
          </w:p>
        </w:tc>
      </w:tr>
      <w:tr>
        <w:trPr>
          <w:trHeight w:val="242"/>
        </w:trPr>
        <w:tc>
          <w:tcPr>
            <w:tcW w:w="4560" w:type="dxa"/>
            <w:vAlign w:val="bottom"/>
          </w:tcPr>
          <w:p>
            <w:pPr>
              <w:spacing w:after="0"/>
              <w:rPr>
                <w:sz w:val="20"/>
                <w:szCs w:val="20"/>
                <w:color w:val="auto"/>
              </w:rPr>
            </w:pPr>
            <w:r>
              <w:rPr>
                <w:rFonts w:ascii="Arial" w:cs="Arial" w:eastAsia="Arial" w:hAnsi="Arial"/>
                <w:sz w:val="13"/>
                <w:szCs w:val="13"/>
                <w:color w:val="auto"/>
              </w:rPr>
              <w:t>Adjusted revenue</w:t>
            </w:r>
          </w:p>
        </w:tc>
        <w:tc>
          <w:tcPr>
            <w:tcW w:w="4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194</w:t>
            </w:r>
          </w:p>
        </w:tc>
      </w:tr>
      <w:tr>
        <w:trPr>
          <w:trHeight w:val="20"/>
        </w:trPr>
        <w:tc>
          <w:tcPr>
            <w:tcW w:w="4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1"/>
        </w:trPr>
        <w:tc>
          <w:tcPr>
            <w:tcW w:w="4560" w:type="dxa"/>
            <w:vAlign w:val="bottom"/>
          </w:tcPr>
          <w:p>
            <w:pPr>
              <w:spacing w:after="0"/>
              <w:rPr>
                <w:sz w:val="20"/>
                <w:szCs w:val="20"/>
                <w:color w:val="auto"/>
              </w:rPr>
            </w:pPr>
            <w:r>
              <w:rPr>
                <w:rFonts w:ascii="Arial" w:cs="Arial" w:eastAsia="Arial" w:hAnsi="Arial"/>
                <w:sz w:val="13"/>
                <w:szCs w:val="13"/>
                <w:color w:val="auto"/>
              </w:rPr>
              <w:t>Operating loss</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24"/>
                <w:szCs w:val="24"/>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24"/>
                <w:szCs w:val="24"/>
                <w:color w:val="auto"/>
              </w:rPr>
            </w:pP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(621)</w:t>
            </w:r>
          </w:p>
        </w:tc>
        <w:tc>
          <w:tcPr>
            <w:tcW w:w="100" w:type="dxa"/>
            <w:vAlign w:val="bottom"/>
          </w:tcPr>
          <w:p>
            <w:pPr>
              <w:spacing w:after="0"/>
              <w:rPr>
                <w:sz w:val="24"/>
                <w:szCs w:val="24"/>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(848)</w:t>
            </w:r>
          </w:p>
        </w:tc>
        <w:tc>
          <w:tcPr>
            <w:tcW w:w="120" w:type="dxa"/>
            <w:vAlign w:val="bottom"/>
          </w:tcPr>
          <w:p>
            <w:pPr>
              <w:spacing w:after="0"/>
              <w:rPr>
                <w:sz w:val="24"/>
                <w:szCs w:val="24"/>
                <w:color w:val="auto"/>
              </w:rPr>
            </w:pP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(1,698)</w:t>
            </w:r>
          </w:p>
        </w:tc>
      </w:tr>
      <w:tr>
        <w:trPr>
          <w:trHeight w:val="280"/>
        </w:trPr>
        <w:tc>
          <w:tcPr>
            <w:tcW w:w="4560" w:type="dxa"/>
            <w:vAlign w:val="bottom"/>
          </w:tcPr>
          <w:p>
            <w:pPr>
              <w:spacing w:after="0"/>
              <w:rPr>
                <w:sz w:val="20"/>
                <w:szCs w:val="20"/>
                <w:color w:val="auto"/>
              </w:rPr>
            </w:pPr>
            <w:r>
              <w:rPr>
                <w:rFonts w:ascii="Arial" w:cs="Arial" w:eastAsia="Arial" w:hAnsi="Arial"/>
                <w:sz w:val="13"/>
                <w:szCs w:val="13"/>
                <w:color w:val="auto"/>
              </w:rPr>
              <w:t xml:space="preserve">First Data operating loss </w:t>
            </w:r>
            <w:r>
              <w:rPr>
                <w:rFonts w:ascii="Arial" w:cs="Arial" w:eastAsia="Arial" w:hAnsi="Arial"/>
                <w:sz w:val="8"/>
                <w:szCs w:val="8"/>
                <w:color w:val="auto"/>
              </w:rPr>
              <w:t>1</w:t>
            </w:r>
          </w:p>
        </w:tc>
        <w:tc>
          <w:tcPr>
            <w:tcW w:w="4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(538)</w:t>
            </w:r>
          </w:p>
        </w:tc>
      </w:tr>
      <w:tr>
        <w:trPr>
          <w:trHeight w:val="240"/>
        </w:trPr>
        <w:tc>
          <w:tcPr>
            <w:tcW w:w="4560" w:type="dxa"/>
            <w:vAlign w:val="bottom"/>
          </w:tcPr>
          <w:p>
            <w:pPr>
              <w:spacing w:after="0"/>
              <w:rPr>
                <w:sz w:val="20"/>
                <w:szCs w:val="20"/>
                <w:color w:val="auto"/>
              </w:rPr>
            </w:pPr>
            <w:r>
              <w:rPr>
                <w:rFonts w:ascii="Arial" w:cs="Arial" w:eastAsia="Arial" w:hAnsi="Arial"/>
                <w:sz w:val="13"/>
                <w:szCs w:val="13"/>
                <w:color w:val="auto"/>
              </w:rPr>
              <w:t>Combined operating loss</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(848)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(2,236)</w:t>
            </w:r>
          </w:p>
        </w:tc>
      </w:tr>
      <w:tr>
        <w:trPr>
          <w:trHeight w:val="270"/>
        </w:trPr>
        <w:tc>
          <w:tcPr>
            <w:tcW w:w="4560" w:type="dxa"/>
            <w:vAlign w:val="bottom"/>
          </w:tcPr>
          <w:p>
            <w:pPr>
              <w:spacing w:after="0"/>
              <w:rPr>
                <w:sz w:val="20"/>
                <w:szCs w:val="20"/>
                <w:color w:val="auto"/>
              </w:rPr>
            </w:pPr>
            <w:r>
              <w:rPr>
                <w:rFonts w:ascii="Arial" w:cs="Arial" w:eastAsia="Arial" w:hAnsi="Arial"/>
                <w:sz w:val="13"/>
                <w:szCs w:val="13"/>
                <w:color w:val="auto"/>
              </w:rPr>
              <w:t>Combined adjustments:</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Merger and integration costs</w:t>
            </w:r>
          </w:p>
        </w:tc>
        <w:tc>
          <w:tcPr>
            <w:tcW w:w="460" w:type="dxa"/>
            <w:vAlign w:val="bottom"/>
          </w:tcPr>
          <w:p>
            <w:pPr>
              <w:spacing w:after="0"/>
              <w:rPr>
                <w:sz w:val="23"/>
                <w:szCs w:val="2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449</w:t>
            </w: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Severance and restructuring costs</w:t>
            </w:r>
          </w:p>
        </w:tc>
        <w:tc>
          <w:tcPr>
            <w:tcW w:w="460" w:type="dxa"/>
            <w:vAlign w:val="bottom"/>
          </w:tcPr>
          <w:p>
            <w:pPr>
              <w:spacing w:after="0"/>
              <w:rPr>
                <w:sz w:val="23"/>
                <w:szCs w:val="2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150</w:t>
            </w:r>
          </w:p>
        </w:tc>
      </w:tr>
      <w:tr>
        <w:trPr>
          <w:trHeight w:val="270"/>
        </w:trPr>
        <w:tc>
          <w:tcPr>
            <w:tcW w:w="4560" w:type="dxa"/>
            <w:vAlign w:val="bottom"/>
          </w:tcPr>
          <w:p>
            <w:pPr>
              <w:ind w:left="140"/>
              <w:spacing w:after="0"/>
              <w:rPr>
                <w:sz w:val="20"/>
                <w:szCs w:val="20"/>
                <w:color w:val="auto"/>
              </w:rPr>
            </w:pPr>
            <w:r>
              <w:rPr>
                <w:rFonts w:ascii="Arial" w:cs="Arial" w:eastAsia="Arial" w:hAnsi="Arial"/>
                <w:sz w:val="13"/>
                <w:szCs w:val="13"/>
                <w:color w:val="auto"/>
              </w:rPr>
              <w:t>Amortization of acquisition-related intangible assets</w:t>
            </w:r>
          </w:p>
        </w:tc>
        <w:tc>
          <w:tcPr>
            <w:tcW w:w="460" w:type="dxa"/>
            <w:vAlign w:val="bottom"/>
          </w:tcPr>
          <w:p>
            <w:pPr>
              <w:spacing w:after="0"/>
              <w:rPr>
                <w:sz w:val="23"/>
                <w:szCs w:val="2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533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1,222</w:t>
            </w:r>
          </w:p>
        </w:tc>
      </w:tr>
      <w:tr>
        <w:trPr>
          <w:trHeight w:val="280"/>
        </w:trPr>
        <w:tc>
          <w:tcPr>
            <w:tcW w:w="4560" w:type="dxa"/>
            <w:vAlign w:val="bottom"/>
          </w:tcPr>
          <w:p>
            <w:pPr>
              <w:ind w:left="140"/>
              <w:spacing w:after="0"/>
              <w:rPr>
                <w:sz w:val="20"/>
                <w:szCs w:val="20"/>
                <w:color w:val="auto"/>
              </w:rPr>
            </w:pPr>
            <w:r>
              <w:rPr>
                <w:rFonts w:ascii="Arial" w:cs="Arial" w:eastAsia="Arial" w:hAnsi="Arial"/>
                <w:sz w:val="13"/>
                <w:szCs w:val="13"/>
                <w:color w:val="auto"/>
              </w:rPr>
              <w:t>(Gain) loss on sale of businesses</w:t>
            </w:r>
          </w:p>
        </w:tc>
        <w:tc>
          <w:tcPr>
            <w:tcW w:w="4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w:t>
            </w:r>
          </w:p>
        </w:tc>
      </w:tr>
      <w:tr>
        <w:trPr>
          <w:trHeight w:val="188"/>
        </w:trPr>
        <w:tc>
          <w:tcPr>
            <w:tcW w:w="4560" w:type="dxa"/>
            <w:vAlign w:val="bottom"/>
          </w:tcPr>
          <w:p>
            <w:pPr>
              <w:spacing w:after="0"/>
              <w:rPr>
                <w:sz w:val="20"/>
                <w:szCs w:val="20"/>
                <w:color w:val="auto"/>
              </w:rPr>
            </w:pPr>
            <w:r>
              <w:rPr>
                <w:rFonts w:ascii="Arial" w:cs="Arial" w:eastAsia="Arial" w:hAnsi="Arial"/>
                <w:sz w:val="13"/>
                <w:szCs w:val="13"/>
                <w:color w:val="auto"/>
              </w:rPr>
              <w:t>Adjusted operating loss</w:t>
            </w: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(427)</w:t>
            </w:r>
          </w:p>
        </w:tc>
      </w:tr>
      <w:tr>
        <w:trPr>
          <w:trHeight w:val="20"/>
        </w:trPr>
        <w:tc>
          <w:tcPr>
            <w:tcW w:w="4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4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00"/>
          </w:cols>
          <w:pgMar w:left="360" w:top="499" w:right="33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3"/>
          <w:szCs w:val="13"/>
          <w:b w:val="1"/>
          <w:bCs w:val="1"/>
          <w:color w:val="auto"/>
        </w:rPr>
        <w:t>Fiserv, Inc.</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Non-GAAP Financial Results by Segment (cont.)</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64"/>
        </w:trPr>
        <w:tc>
          <w:tcPr>
            <w:tcW w:w="4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First Quarter</w:t>
            </w:r>
          </w:p>
        </w:tc>
        <w:tc>
          <w:tcPr>
            <w:tcW w:w="12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Second Quarter</w:t>
            </w:r>
          </w:p>
        </w:tc>
        <w:tc>
          <w:tcPr>
            <w:tcW w:w="12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Third Quarter</w:t>
            </w:r>
          </w:p>
        </w:tc>
        <w:tc>
          <w:tcPr>
            <w:tcW w:w="12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Fourth Quarter</w:t>
            </w:r>
          </w:p>
        </w:tc>
        <w:tc>
          <w:tcPr>
            <w:tcW w:w="200" w:type="dxa"/>
            <w:vAlign w:val="bottom"/>
          </w:tcPr>
          <w:p>
            <w:pPr>
              <w:spacing w:after="0"/>
              <w:rPr>
                <w:sz w:val="22"/>
                <w:szCs w:val="22"/>
                <w:color w:val="auto"/>
              </w:rPr>
            </w:pPr>
          </w:p>
        </w:tc>
        <w:tc>
          <w:tcPr>
            <w:tcW w:w="960" w:type="dxa"/>
            <w:vAlign w:val="bottom"/>
          </w:tcPr>
          <w:p>
            <w:pPr>
              <w:jc w:val="right"/>
              <w:ind w:right="277"/>
              <w:spacing w:after="0"/>
              <w:rPr>
                <w:sz w:val="20"/>
                <w:szCs w:val="20"/>
                <w:color w:val="auto"/>
              </w:rPr>
            </w:pPr>
            <w:r>
              <w:rPr>
                <w:rFonts w:ascii="Arial" w:cs="Arial" w:eastAsia="Arial" w:hAnsi="Arial"/>
                <w:sz w:val="13"/>
                <w:szCs w:val="13"/>
                <w:b w:val="1"/>
                <w:bCs w:val="1"/>
                <w:color w:val="auto"/>
              </w:rPr>
              <w:t>Full Year</w:t>
            </w:r>
          </w:p>
        </w:tc>
      </w:tr>
      <w:tr>
        <w:trPr>
          <w:trHeight w:val="254"/>
        </w:trPr>
        <w:tc>
          <w:tcPr>
            <w:tcW w:w="4220" w:type="dxa"/>
            <w:vAlign w:val="bottom"/>
          </w:tcPr>
          <w:p>
            <w:pPr>
              <w:spacing w:after="0"/>
              <w:rPr>
                <w:sz w:val="20"/>
                <w:szCs w:val="20"/>
                <w:color w:val="auto"/>
              </w:rPr>
            </w:pPr>
            <w:r>
              <w:rPr>
                <w:rFonts w:ascii="Arial" w:cs="Arial" w:eastAsia="Arial" w:hAnsi="Arial"/>
                <w:sz w:val="13"/>
                <w:szCs w:val="13"/>
                <w:b w:val="1"/>
                <w:bCs w:val="1"/>
                <w:color w:val="auto"/>
              </w:rPr>
              <w:t>Total Company</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Revenue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1,440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1,420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1,412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1,551</w:t>
            </w:r>
          </w:p>
        </w:tc>
        <w:tc>
          <w:tcPr>
            <w:tcW w:w="120" w:type="dxa"/>
            <w:vAlign w:val="bottom"/>
          </w:tcPr>
          <w:p>
            <w:pPr>
              <w:spacing w:after="0"/>
              <w:rPr>
                <w:sz w:val="23"/>
                <w:szCs w:val="2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5,823</w:t>
            </w:r>
          </w:p>
        </w:tc>
      </w:tr>
      <w:tr>
        <w:trPr>
          <w:trHeight w:val="279"/>
        </w:trPr>
        <w:tc>
          <w:tcPr>
            <w:tcW w:w="4220" w:type="dxa"/>
            <w:vAlign w:val="bottom"/>
          </w:tcPr>
          <w:p>
            <w:pPr>
              <w:spacing w:after="0"/>
              <w:rPr>
                <w:sz w:val="20"/>
                <w:szCs w:val="20"/>
                <w:color w:val="auto"/>
              </w:rPr>
            </w:pPr>
            <w:r>
              <w:rPr>
                <w:rFonts w:ascii="Arial" w:cs="Arial" w:eastAsia="Arial" w:hAnsi="Arial"/>
                <w:sz w:val="13"/>
                <w:szCs w:val="13"/>
                <w:color w:val="auto"/>
              </w:rPr>
              <w:t xml:space="preserve">First Data revenue </w:t>
            </w:r>
            <w:r>
              <w:rPr>
                <w:rFonts w:ascii="Arial" w:cs="Arial" w:eastAsia="Arial" w:hAnsi="Arial"/>
                <w:sz w:val="8"/>
                <w:szCs w:val="8"/>
                <w:color w:val="auto"/>
              </w:rPr>
              <w:t>1</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2,282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2,448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2,369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2,399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9,498</w:t>
            </w:r>
          </w:p>
        </w:tc>
      </w:tr>
      <w:tr>
        <w:trPr>
          <w:trHeight w:val="241"/>
        </w:trPr>
        <w:tc>
          <w:tcPr>
            <w:tcW w:w="4220" w:type="dxa"/>
            <w:vAlign w:val="bottom"/>
          </w:tcPr>
          <w:p>
            <w:pPr>
              <w:spacing w:after="0"/>
              <w:rPr>
                <w:sz w:val="20"/>
                <w:szCs w:val="20"/>
                <w:color w:val="auto"/>
              </w:rPr>
            </w:pPr>
            <w:r>
              <w:rPr>
                <w:rFonts w:ascii="Arial" w:cs="Arial" w:eastAsia="Arial" w:hAnsi="Arial"/>
                <w:sz w:val="13"/>
                <w:szCs w:val="13"/>
                <w:color w:val="auto"/>
              </w:rPr>
              <w:t>Combined revenue</w:t>
            </w:r>
          </w:p>
        </w:tc>
        <w:tc>
          <w:tcPr>
            <w:tcW w:w="140" w:type="dxa"/>
            <w:vAlign w:val="bottom"/>
          </w:tcPr>
          <w:p>
            <w:pPr>
              <w:spacing w:after="0"/>
              <w:rPr>
                <w:sz w:val="20"/>
                <w:szCs w:val="20"/>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3,722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3,868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3,781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3,950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15,321</w:t>
            </w: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Combined adjustments: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3"/>
                <w:szCs w:val="13"/>
                <w:color w:val="auto"/>
              </w:rPr>
              <w:t xml:space="preserve">Intercompany eliminations </w:t>
            </w:r>
            <w:r>
              <w:rPr>
                <w:rFonts w:ascii="Arial" w:cs="Arial" w:eastAsia="Arial" w:hAnsi="Arial"/>
                <w:sz w:val="8"/>
                <w:szCs w:val="8"/>
                <w:color w:val="auto"/>
              </w:rPr>
              <w:t>2</w:t>
            </w:r>
          </w:p>
        </w:tc>
        <w:tc>
          <w:tcPr>
            <w:tcW w:w="14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(9)</w:t>
            </w:r>
          </w:p>
        </w:tc>
      </w:tr>
      <w:tr>
        <w:trPr>
          <w:trHeight w:val="270"/>
        </w:trPr>
        <w:tc>
          <w:tcPr>
            <w:tcW w:w="4220" w:type="dxa"/>
            <w:vAlign w:val="bottom"/>
          </w:tcPr>
          <w:p>
            <w:pPr>
              <w:ind w:left="120"/>
              <w:spacing w:after="0"/>
              <w:rPr>
                <w:sz w:val="20"/>
                <w:szCs w:val="20"/>
                <w:color w:val="auto"/>
              </w:rPr>
            </w:pPr>
            <w:r>
              <w:rPr>
                <w:rFonts w:ascii="Arial" w:cs="Arial" w:eastAsia="Arial" w:hAnsi="Arial"/>
                <w:sz w:val="13"/>
                <w:szCs w:val="13"/>
                <w:color w:val="auto"/>
              </w:rPr>
              <w:t xml:space="preserve">Output Solutions postage reimbursements </w:t>
            </w:r>
            <w:r>
              <w:rPr>
                <w:rFonts w:ascii="Arial" w:cs="Arial" w:eastAsia="Arial" w:hAnsi="Arial"/>
                <w:sz w:val="8"/>
                <w:szCs w:val="8"/>
                <w:color w:val="auto"/>
              </w:rPr>
              <w:t>3</w:t>
            </w:r>
          </w:p>
        </w:tc>
        <w:tc>
          <w:tcPr>
            <w:tcW w:w="14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(1,016)</w:t>
            </w:r>
          </w:p>
        </w:tc>
      </w:tr>
      <w:tr>
        <w:trPr>
          <w:trHeight w:val="270"/>
        </w:trPr>
        <w:tc>
          <w:tcPr>
            <w:tcW w:w="4220" w:type="dxa"/>
            <w:vAlign w:val="bottom"/>
          </w:tcPr>
          <w:p>
            <w:pPr>
              <w:ind w:left="120"/>
              <w:spacing w:after="0"/>
              <w:rPr>
                <w:sz w:val="20"/>
                <w:szCs w:val="20"/>
                <w:color w:val="auto"/>
              </w:rPr>
            </w:pPr>
            <w:r>
              <w:rPr>
                <w:rFonts w:ascii="Arial" w:cs="Arial" w:eastAsia="Arial" w:hAnsi="Arial"/>
                <w:sz w:val="13"/>
                <w:szCs w:val="13"/>
                <w:color w:val="auto"/>
              </w:rPr>
              <w:t>Deferred revenue purchase accounting adjustments</w:t>
            </w:r>
          </w:p>
        </w:tc>
        <w:tc>
          <w:tcPr>
            <w:tcW w:w="14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3</w:t>
            </w:r>
          </w:p>
        </w:tc>
      </w:tr>
      <w:tr>
        <w:trPr>
          <w:trHeight w:val="279"/>
        </w:trPr>
        <w:tc>
          <w:tcPr>
            <w:tcW w:w="4220" w:type="dxa"/>
            <w:vAlign w:val="bottom"/>
          </w:tcPr>
          <w:p>
            <w:pPr>
              <w:ind w:left="120"/>
              <w:spacing w:after="0"/>
              <w:rPr>
                <w:sz w:val="20"/>
                <w:szCs w:val="20"/>
                <w:color w:val="auto"/>
              </w:rPr>
            </w:pPr>
            <w:r>
              <w:rPr>
                <w:rFonts w:ascii="Arial" w:cs="Arial" w:eastAsia="Arial" w:hAnsi="Arial"/>
                <w:sz w:val="13"/>
                <w:szCs w:val="13"/>
                <w:color w:val="auto"/>
              </w:rPr>
              <w:t xml:space="preserve">Merchant Services adjustment </w:t>
            </w:r>
            <w:r>
              <w:rPr>
                <w:rFonts w:ascii="Arial" w:cs="Arial" w:eastAsia="Arial" w:hAnsi="Arial"/>
                <w:sz w:val="8"/>
                <w:szCs w:val="8"/>
                <w:color w:val="auto"/>
              </w:rPr>
              <w:t>4</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(397)</w:t>
            </w:r>
          </w:p>
        </w:tc>
      </w:tr>
      <w:tr>
        <w:trPr>
          <w:trHeight w:val="242"/>
        </w:trPr>
        <w:tc>
          <w:tcPr>
            <w:tcW w:w="4220" w:type="dxa"/>
            <w:vAlign w:val="bottom"/>
          </w:tcPr>
          <w:p>
            <w:pPr>
              <w:spacing w:after="0"/>
              <w:rPr>
                <w:sz w:val="20"/>
                <w:szCs w:val="20"/>
                <w:color w:val="auto"/>
              </w:rPr>
            </w:pPr>
            <w:r>
              <w:rPr>
                <w:rFonts w:ascii="Arial" w:cs="Arial" w:eastAsia="Arial" w:hAnsi="Arial"/>
                <w:sz w:val="13"/>
                <w:szCs w:val="13"/>
                <w:color w:val="auto"/>
              </w:rPr>
              <w:t>Adjusted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3,376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3,504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3,436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3,586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13,902</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1"/>
        </w:trPr>
        <w:tc>
          <w:tcPr>
            <w:tcW w:w="4220" w:type="dxa"/>
            <w:vAlign w:val="bottom"/>
          </w:tcPr>
          <w:p>
            <w:pPr>
              <w:spacing w:after="0"/>
              <w:rPr>
                <w:sz w:val="20"/>
                <w:szCs w:val="20"/>
                <w:color w:val="auto"/>
              </w:rPr>
            </w:pPr>
            <w:r>
              <w:rPr>
                <w:rFonts w:ascii="Arial" w:cs="Arial" w:eastAsia="Arial" w:hAnsi="Arial"/>
                <w:sz w:val="13"/>
                <w:szCs w:val="13"/>
                <w:color w:val="auto"/>
              </w:rPr>
              <w:t>Operating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608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358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431</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1,753</w:t>
            </w:r>
          </w:p>
        </w:tc>
      </w:tr>
      <w:tr>
        <w:trPr>
          <w:trHeight w:val="279"/>
        </w:trPr>
        <w:tc>
          <w:tcPr>
            <w:tcW w:w="4220" w:type="dxa"/>
            <w:vAlign w:val="bottom"/>
          </w:tcPr>
          <w:p>
            <w:pPr>
              <w:spacing w:after="0"/>
              <w:rPr>
                <w:sz w:val="20"/>
                <w:szCs w:val="20"/>
                <w:color w:val="auto"/>
              </w:rPr>
            </w:pPr>
            <w:r>
              <w:rPr>
                <w:rFonts w:ascii="Arial" w:cs="Arial" w:eastAsia="Arial" w:hAnsi="Arial"/>
                <w:sz w:val="13"/>
                <w:szCs w:val="13"/>
                <w:color w:val="auto"/>
              </w:rPr>
              <w:t xml:space="preserve">First Data operating income </w:t>
            </w:r>
            <w:r>
              <w:rPr>
                <w:rFonts w:ascii="Arial" w:cs="Arial" w:eastAsia="Arial" w:hAnsi="Arial"/>
                <w:sz w:val="8"/>
                <w:szCs w:val="8"/>
                <w:color w:val="auto"/>
              </w:rPr>
              <w:t>1</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537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679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2,092</w:t>
            </w:r>
          </w:p>
        </w:tc>
      </w:tr>
      <w:tr>
        <w:trPr>
          <w:trHeight w:val="241"/>
        </w:trPr>
        <w:tc>
          <w:tcPr>
            <w:tcW w:w="4220" w:type="dxa"/>
            <w:vAlign w:val="bottom"/>
          </w:tcPr>
          <w:p>
            <w:pPr>
              <w:spacing w:after="0"/>
              <w:rPr>
                <w:sz w:val="20"/>
                <w:szCs w:val="20"/>
                <w:color w:val="auto"/>
              </w:rPr>
            </w:pPr>
            <w:r>
              <w:rPr>
                <w:rFonts w:ascii="Arial" w:cs="Arial" w:eastAsia="Arial" w:hAnsi="Arial"/>
                <w:sz w:val="13"/>
                <w:szCs w:val="13"/>
                <w:color w:val="auto"/>
              </w:rPr>
              <w:t>Combined operating income</w:t>
            </w:r>
          </w:p>
        </w:tc>
        <w:tc>
          <w:tcPr>
            <w:tcW w:w="140" w:type="dxa"/>
            <w:vAlign w:val="bottom"/>
          </w:tcPr>
          <w:p>
            <w:pPr>
              <w:spacing w:after="0"/>
              <w:rPr>
                <w:sz w:val="20"/>
                <w:szCs w:val="20"/>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895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1,035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960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3,845</w:t>
            </w: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Combined adjustments: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3"/>
                <w:szCs w:val="13"/>
                <w:color w:val="auto"/>
              </w:rPr>
              <w:t>Merger and integration costs</w:t>
            </w:r>
          </w:p>
        </w:tc>
        <w:tc>
          <w:tcPr>
            <w:tcW w:w="14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55</w:t>
            </w:r>
          </w:p>
        </w:tc>
      </w:tr>
      <w:tr>
        <w:trPr>
          <w:trHeight w:val="270"/>
        </w:trPr>
        <w:tc>
          <w:tcPr>
            <w:tcW w:w="4220" w:type="dxa"/>
            <w:vAlign w:val="bottom"/>
          </w:tcPr>
          <w:p>
            <w:pPr>
              <w:ind w:left="120"/>
              <w:spacing w:after="0"/>
              <w:rPr>
                <w:sz w:val="20"/>
                <w:szCs w:val="20"/>
                <w:color w:val="auto"/>
              </w:rPr>
            </w:pPr>
            <w:r>
              <w:rPr>
                <w:rFonts w:ascii="Arial" w:cs="Arial" w:eastAsia="Arial" w:hAnsi="Arial"/>
                <w:sz w:val="13"/>
                <w:szCs w:val="13"/>
                <w:color w:val="auto"/>
              </w:rPr>
              <w:t>Severance and restructuring costs</w:t>
            </w:r>
          </w:p>
        </w:tc>
        <w:tc>
          <w:tcPr>
            <w:tcW w:w="14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155</w:t>
            </w:r>
          </w:p>
        </w:tc>
      </w:tr>
      <w:tr>
        <w:trPr>
          <w:trHeight w:val="270"/>
        </w:trPr>
        <w:tc>
          <w:tcPr>
            <w:tcW w:w="4220" w:type="dxa"/>
            <w:vAlign w:val="bottom"/>
          </w:tcPr>
          <w:p>
            <w:pPr>
              <w:ind w:left="120"/>
              <w:spacing w:after="0"/>
              <w:rPr>
                <w:sz w:val="20"/>
                <w:szCs w:val="20"/>
                <w:color w:val="auto"/>
              </w:rPr>
            </w:pPr>
            <w:r>
              <w:rPr>
                <w:rFonts w:ascii="Arial" w:cs="Arial" w:eastAsia="Arial" w:hAnsi="Arial"/>
                <w:sz w:val="13"/>
                <w:szCs w:val="13"/>
                <w:color w:val="auto"/>
              </w:rPr>
              <w:t>Amortization of acquisition-related intangible assets</w:t>
            </w:r>
          </w:p>
        </w:tc>
        <w:tc>
          <w:tcPr>
            <w:tcW w:w="14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594</w:t>
            </w:r>
          </w:p>
        </w:tc>
      </w:tr>
      <w:tr>
        <w:trPr>
          <w:trHeight w:val="270"/>
        </w:trPr>
        <w:tc>
          <w:tcPr>
            <w:tcW w:w="4220" w:type="dxa"/>
            <w:vAlign w:val="bottom"/>
          </w:tcPr>
          <w:p>
            <w:pPr>
              <w:ind w:left="120"/>
              <w:spacing w:after="0"/>
              <w:rPr>
                <w:sz w:val="20"/>
                <w:szCs w:val="20"/>
                <w:color w:val="auto"/>
              </w:rPr>
            </w:pPr>
            <w:r>
              <w:rPr>
                <w:rFonts w:ascii="Arial" w:cs="Arial" w:eastAsia="Arial" w:hAnsi="Arial"/>
                <w:sz w:val="13"/>
                <w:szCs w:val="13"/>
                <w:color w:val="auto"/>
              </w:rPr>
              <w:t xml:space="preserve">Merchant Services adjustment </w:t>
            </w:r>
            <w:r>
              <w:rPr>
                <w:rFonts w:ascii="Arial" w:cs="Arial" w:eastAsia="Arial" w:hAnsi="Arial"/>
                <w:sz w:val="8"/>
                <w:szCs w:val="8"/>
                <w:color w:val="auto"/>
              </w:rPr>
              <w:t>4</w:t>
            </w:r>
          </w:p>
        </w:tc>
        <w:tc>
          <w:tcPr>
            <w:tcW w:w="14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(232)</w:t>
            </w:r>
          </w:p>
        </w:tc>
      </w:tr>
      <w:tr>
        <w:trPr>
          <w:trHeight w:val="280"/>
        </w:trPr>
        <w:tc>
          <w:tcPr>
            <w:tcW w:w="4220" w:type="dxa"/>
            <w:vAlign w:val="bottom"/>
          </w:tcPr>
          <w:p>
            <w:pPr>
              <w:ind w:left="120"/>
              <w:spacing w:after="0"/>
              <w:rPr>
                <w:sz w:val="20"/>
                <w:szCs w:val="20"/>
                <w:color w:val="auto"/>
              </w:rPr>
            </w:pPr>
            <w:r>
              <w:rPr>
                <w:rFonts w:ascii="Arial" w:cs="Arial" w:eastAsia="Arial" w:hAnsi="Arial"/>
                <w:sz w:val="13"/>
                <w:szCs w:val="13"/>
                <w:color w:val="auto"/>
              </w:rPr>
              <w:t>(Gain) loss on sale of businesses</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(424)</w:t>
            </w:r>
          </w:p>
        </w:tc>
      </w:tr>
      <w:tr>
        <w:trPr>
          <w:trHeight w:val="242"/>
        </w:trPr>
        <w:tc>
          <w:tcPr>
            <w:tcW w:w="4220" w:type="dxa"/>
            <w:vAlign w:val="bottom"/>
          </w:tcPr>
          <w:p>
            <w:pPr>
              <w:spacing w:after="0"/>
              <w:rPr>
                <w:sz w:val="20"/>
                <w:szCs w:val="20"/>
                <w:color w:val="auto"/>
              </w:rPr>
            </w:pPr>
            <w:r>
              <w:rPr>
                <w:rFonts w:ascii="Arial" w:cs="Arial" w:eastAsia="Arial" w:hAnsi="Arial"/>
                <w:sz w:val="13"/>
                <w:szCs w:val="13"/>
                <w:color w:val="auto"/>
              </w:rPr>
              <w:t>Adjusted 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897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1,027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979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1,090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3,993</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3"/>
                <w:szCs w:val="13"/>
                <w:color w:val="auto"/>
              </w:rPr>
              <w:t>Operating margin</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30.1%</w:t>
            </w: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Adjusted operating margin</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28.7%</w:t>
            </w:r>
          </w:p>
        </w:tc>
      </w:tr>
      <w:tr>
        <w:trPr>
          <w:trHeight w:val="445"/>
        </w:trPr>
        <w:tc>
          <w:tcPr>
            <w:tcW w:w="4220" w:type="dxa"/>
            <w:vAlign w:val="bottom"/>
          </w:tcPr>
          <w:p>
            <w:pPr>
              <w:spacing w:after="0"/>
              <w:rPr>
                <w:sz w:val="20"/>
                <w:szCs w:val="20"/>
                <w:color w:val="auto"/>
              </w:rPr>
            </w:pPr>
            <w:r>
              <w:rPr>
                <w:rFonts w:ascii="Arial" w:cs="Arial" w:eastAsia="Arial" w:hAnsi="Arial"/>
                <w:sz w:val="13"/>
                <w:szCs w:val="13"/>
                <w:b w:val="1"/>
                <w:bCs w:val="1"/>
                <w:color w:val="auto"/>
              </w:rPr>
              <w:t>Acceptance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 xml:space="preserve">First Data revenue </w:t>
            </w:r>
            <w:r>
              <w:rPr>
                <w:rFonts w:ascii="Arial" w:cs="Arial" w:eastAsia="Arial" w:hAnsi="Arial"/>
                <w:sz w:val="8"/>
                <w:szCs w:val="8"/>
                <w:color w:val="auto"/>
              </w:rPr>
              <w:t>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1,355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1,495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1,419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1,465</w:t>
            </w:r>
          </w:p>
        </w:tc>
        <w:tc>
          <w:tcPr>
            <w:tcW w:w="120" w:type="dxa"/>
            <w:vAlign w:val="bottom"/>
          </w:tcPr>
          <w:p>
            <w:pPr>
              <w:spacing w:after="0"/>
              <w:rPr>
                <w:sz w:val="23"/>
                <w:szCs w:val="2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5,734</w:t>
            </w: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Combined adjustments: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0"/>
        </w:trPr>
        <w:tc>
          <w:tcPr>
            <w:tcW w:w="4220" w:type="dxa"/>
            <w:vAlign w:val="bottom"/>
          </w:tcPr>
          <w:p>
            <w:pPr>
              <w:ind w:left="120"/>
              <w:spacing w:after="0"/>
              <w:rPr>
                <w:sz w:val="20"/>
                <w:szCs w:val="20"/>
                <w:color w:val="auto"/>
              </w:rPr>
            </w:pPr>
            <w:r>
              <w:rPr>
                <w:rFonts w:ascii="Arial" w:cs="Arial" w:eastAsia="Arial" w:hAnsi="Arial"/>
                <w:sz w:val="13"/>
                <w:szCs w:val="13"/>
                <w:color w:val="auto"/>
              </w:rPr>
              <w:t xml:space="preserve">Merchant Services adjustment </w:t>
            </w:r>
            <w:r>
              <w:rPr>
                <w:rFonts w:ascii="Arial" w:cs="Arial" w:eastAsia="Arial" w:hAnsi="Arial"/>
                <w:sz w:val="8"/>
                <w:szCs w:val="8"/>
                <w:color w:val="auto"/>
              </w:rPr>
              <w:t>4</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(397)</w:t>
            </w:r>
          </w:p>
        </w:tc>
      </w:tr>
      <w:tr>
        <w:trPr>
          <w:trHeight w:val="242"/>
        </w:trPr>
        <w:tc>
          <w:tcPr>
            <w:tcW w:w="4220" w:type="dxa"/>
            <w:vAlign w:val="bottom"/>
          </w:tcPr>
          <w:p>
            <w:pPr>
              <w:spacing w:after="0"/>
              <w:rPr>
                <w:sz w:val="20"/>
                <w:szCs w:val="20"/>
                <w:color w:val="auto"/>
              </w:rPr>
            </w:pPr>
            <w:r>
              <w:rPr>
                <w:rFonts w:ascii="Arial" w:cs="Arial" w:eastAsia="Arial" w:hAnsi="Arial"/>
                <w:sz w:val="13"/>
                <w:szCs w:val="13"/>
                <w:color w:val="auto"/>
              </w:rPr>
              <w:t>Adjusted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1,263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1,384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1,325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1,365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5,337</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1"/>
        </w:trPr>
        <w:tc>
          <w:tcPr>
            <w:tcW w:w="4220" w:type="dxa"/>
            <w:vAlign w:val="bottom"/>
          </w:tcPr>
          <w:p>
            <w:pPr>
              <w:spacing w:after="0"/>
              <w:rPr>
                <w:sz w:val="20"/>
                <w:szCs w:val="20"/>
                <w:color w:val="auto"/>
              </w:rPr>
            </w:pPr>
            <w:r>
              <w:rPr>
                <w:rFonts w:ascii="Arial" w:cs="Arial" w:eastAsia="Arial" w:hAnsi="Arial"/>
                <w:sz w:val="13"/>
                <w:szCs w:val="13"/>
                <w:color w:val="auto"/>
              </w:rPr>
              <w:t xml:space="preserve">First Data operating income </w:t>
            </w:r>
            <w:r>
              <w:rPr>
                <w:rFonts w:ascii="Arial" w:cs="Arial" w:eastAsia="Arial" w:hAnsi="Arial"/>
                <w:sz w:val="8"/>
                <w:szCs w:val="8"/>
                <w:color w:val="auto"/>
              </w:rPr>
              <w:t>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492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444</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1,715</w:t>
            </w: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Combined adjustments: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0"/>
        </w:trPr>
        <w:tc>
          <w:tcPr>
            <w:tcW w:w="4220" w:type="dxa"/>
            <w:vAlign w:val="bottom"/>
          </w:tcPr>
          <w:p>
            <w:pPr>
              <w:ind w:left="120"/>
              <w:spacing w:after="0"/>
              <w:rPr>
                <w:sz w:val="20"/>
                <w:szCs w:val="20"/>
                <w:color w:val="auto"/>
              </w:rPr>
            </w:pPr>
            <w:r>
              <w:rPr>
                <w:rFonts w:ascii="Arial" w:cs="Arial" w:eastAsia="Arial" w:hAnsi="Arial"/>
                <w:sz w:val="13"/>
                <w:szCs w:val="13"/>
                <w:color w:val="auto"/>
              </w:rPr>
              <w:t xml:space="preserve">Merchant Services adjustment </w:t>
            </w:r>
            <w:r>
              <w:rPr>
                <w:rFonts w:ascii="Arial" w:cs="Arial" w:eastAsia="Arial" w:hAnsi="Arial"/>
                <w:sz w:val="8"/>
                <w:szCs w:val="8"/>
                <w:color w:val="auto"/>
              </w:rPr>
              <w:t>4</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(232)</w:t>
            </w:r>
          </w:p>
        </w:tc>
      </w:tr>
      <w:tr>
        <w:trPr>
          <w:trHeight w:val="242"/>
        </w:trPr>
        <w:tc>
          <w:tcPr>
            <w:tcW w:w="4220" w:type="dxa"/>
            <w:vAlign w:val="bottom"/>
          </w:tcPr>
          <w:p>
            <w:pPr>
              <w:spacing w:after="0"/>
              <w:rPr>
                <w:sz w:val="20"/>
                <w:szCs w:val="20"/>
                <w:color w:val="auto"/>
              </w:rPr>
            </w:pPr>
            <w:r>
              <w:rPr>
                <w:rFonts w:ascii="Arial" w:cs="Arial" w:eastAsia="Arial" w:hAnsi="Arial"/>
                <w:sz w:val="13"/>
                <w:szCs w:val="13"/>
                <w:color w:val="auto"/>
              </w:rPr>
              <w:t>Adjusted 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420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377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1,483</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3"/>
                <w:szCs w:val="13"/>
                <w:color w:val="auto"/>
              </w:rPr>
              <w:t>First Data operating margin</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29.9%</w:t>
            </w: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Adjusted operating margin</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27.8%</w:t>
            </w:r>
          </w:p>
        </w:tc>
      </w:tr>
    </w:tbl>
    <w:p>
      <w:pPr>
        <w:spacing w:after="0" w:line="200" w:lineRule="exact"/>
        <w:rPr>
          <w:sz w:val="20"/>
          <w:szCs w:val="20"/>
          <w:color w:val="auto"/>
        </w:rPr>
      </w:pPr>
    </w:p>
    <w:p>
      <w:pPr>
        <w:sectPr>
          <w:pgSz w:w="11900" w:h="16838" w:orient="portrait"/>
          <w:cols w:equalWidth="0" w:num="1">
            <w:col w:w="10480"/>
          </w:cols>
          <w:pgMar w:left="800" w:top="607" w:right="619" w:bottom="10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480"/>
          </w:cols>
          <w:pgMar w:left="800" w:top="607" w:right="619" w:bottom="1027" w:gutter="0" w:footer="0" w:header="0"/>
          <w:type w:val="continuous"/>
        </w:sectPr>
      </w:pPr>
    </w:p>
    <w:bookmarkStart w:id="11" w:name="page12"/>
    <w:bookmarkEnd w:id="11"/>
    <w:p>
      <w:pPr>
        <w:jc w:val="center"/>
        <w:ind w:right="-279"/>
        <w:spacing w:after="0"/>
        <w:rPr>
          <w:sz w:val="20"/>
          <w:szCs w:val="20"/>
          <w:color w:val="auto"/>
        </w:rPr>
      </w:pPr>
      <w:r>
        <w:rPr>
          <w:rFonts w:ascii="Arial" w:cs="Arial" w:eastAsia="Arial" w:hAnsi="Arial"/>
          <w:sz w:val="13"/>
          <w:szCs w:val="13"/>
          <w:b w:val="1"/>
          <w:bCs w:val="1"/>
          <w:color w:val="auto"/>
        </w:rPr>
        <w:t>Fiserv, Inc.</w:t>
      </w:r>
    </w:p>
    <w:p>
      <w:pPr>
        <w:spacing w:after="0" w:line="40" w:lineRule="exact"/>
        <w:rPr>
          <w:sz w:val="20"/>
          <w:szCs w:val="20"/>
          <w:color w:val="auto"/>
        </w:rPr>
      </w:pPr>
    </w:p>
    <w:p>
      <w:pPr>
        <w:jc w:val="center"/>
        <w:ind w:right="-279"/>
        <w:spacing w:after="0"/>
        <w:rPr>
          <w:sz w:val="20"/>
          <w:szCs w:val="20"/>
          <w:color w:val="auto"/>
        </w:rPr>
      </w:pPr>
      <w:r>
        <w:rPr>
          <w:rFonts w:ascii="Arial" w:cs="Arial" w:eastAsia="Arial" w:hAnsi="Arial"/>
          <w:sz w:val="13"/>
          <w:szCs w:val="13"/>
          <w:b w:val="1"/>
          <w:bCs w:val="1"/>
          <w:color w:val="auto"/>
        </w:rPr>
        <w:t>Non-GAAP Financial Results by Segment (cont.)</w:t>
      </w:r>
    </w:p>
    <w:p>
      <w:pPr>
        <w:spacing w:after="0" w:line="44"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(In millions, unaudited)</w:t>
      </w: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4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64"/>
        </w:trPr>
        <w:tc>
          <w:tcPr>
            <w:tcW w:w="4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First Quarter</w:t>
            </w:r>
          </w:p>
        </w:tc>
        <w:tc>
          <w:tcPr>
            <w:tcW w:w="12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Second Quarter</w:t>
            </w:r>
          </w:p>
        </w:tc>
        <w:tc>
          <w:tcPr>
            <w:tcW w:w="12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Third Quarter</w:t>
            </w:r>
          </w:p>
        </w:tc>
        <w:tc>
          <w:tcPr>
            <w:tcW w:w="12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Fourth Quarter</w:t>
            </w:r>
          </w:p>
        </w:tc>
        <w:tc>
          <w:tcPr>
            <w:tcW w:w="200" w:type="dxa"/>
            <w:vAlign w:val="bottom"/>
          </w:tcPr>
          <w:p>
            <w:pPr>
              <w:spacing w:after="0"/>
              <w:rPr>
                <w:sz w:val="22"/>
                <w:szCs w:val="22"/>
                <w:color w:val="auto"/>
              </w:rPr>
            </w:pPr>
          </w:p>
        </w:tc>
        <w:tc>
          <w:tcPr>
            <w:tcW w:w="960" w:type="dxa"/>
            <w:vAlign w:val="bottom"/>
          </w:tcPr>
          <w:p>
            <w:pPr>
              <w:jc w:val="right"/>
              <w:ind w:right="277"/>
              <w:spacing w:after="0"/>
              <w:rPr>
                <w:sz w:val="20"/>
                <w:szCs w:val="20"/>
                <w:color w:val="auto"/>
              </w:rPr>
            </w:pPr>
            <w:r>
              <w:rPr>
                <w:rFonts w:ascii="Arial" w:cs="Arial" w:eastAsia="Arial" w:hAnsi="Arial"/>
                <w:sz w:val="13"/>
                <w:szCs w:val="13"/>
                <w:b w:val="1"/>
                <w:bCs w:val="1"/>
                <w:color w:val="auto"/>
              </w:rPr>
              <w:t>Full Year</w:t>
            </w:r>
          </w:p>
        </w:tc>
      </w:tr>
      <w:tr>
        <w:trPr>
          <w:trHeight w:val="254"/>
        </w:trPr>
        <w:tc>
          <w:tcPr>
            <w:tcW w:w="4220" w:type="dxa"/>
            <w:vAlign w:val="bottom"/>
          </w:tcPr>
          <w:p>
            <w:pPr>
              <w:spacing w:after="0"/>
              <w:rPr>
                <w:sz w:val="20"/>
                <w:szCs w:val="20"/>
                <w:color w:val="auto"/>
              </w:rPr>
            </w:pPr>
            <w:r>
              <w:rPr>
                <w:rFonts w:ascii="Arial" w:cs="Arial" w:eastAsia="Arial" w:hAnsi="Arial"/>
                <w:sz w:val="13"/>
                <w:szCs w:val="13"/>
                <w:b w:val="1"/>
                <w:bCs w:val="1"/>
                <w:color w:val="auto"/>
              </w:rPr>
              <w:t>Fintech</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Revenue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736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717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706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758</w:t>
            </w:r>
          </w:p>
        </w:tc>
        <w:tc>
          <w:tcPr>
            <w:tcW w:w="120" w:type="dxa"/>
            <w:vAlign w:val="bottom"/>
          </w:tcPr>
          <w:p>
            <w:pPr>
              <w:spacing w:after="0"/>
              <w:rPr>
                <w:sz w:val="23"/>
                <w:szCs w:val="2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2,917</w:t>
            </w: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Combined adjustments: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9"/>
        </w:trPr>
        <w:tc>
          <w:tcPr>
            <w:tcW w:w="4220" w:type="dxa"/>
            <w:vAlign w:val="bottom"/>
          </w:tcPr>
          <w:p>
            <w:pPr>
              <w:ind w:left="120"/>
              <w:spacing w:after="0"/>
              <w:rPr>
                <w:sz w:val="20"/>
                <w:szCs w:val="20"/>
                <w:color w:val="auto"/>
              </w:rPr>
            </w:pPr>
            <w:r>
              <w:rPr>
                <w:rFonts w:ascii="Arial" w:cs="Arial" w:eastAsia="Arial" w:hAnsi="Arial"/>
                <w:sz w:val="13"/>
                <w:szCs w:val="13"/>
                <w:color w:val="auto"/>
              </w:rPr>
              <w:t>Deferred revenue purchase accounting adjustments</w:t>
            </w:r>
          </w:p>
        </w:tc>
        <w:tc>
          <w:tcPr>
            <w:tcW w:w="140" w:type="dxa"/>
            <w:vAlign w:val="bottom"/>
          </w:tcPr>
          <w:p>
            <w:pPr>
              <w:spacing w:after="0"/>
              <w:rPr>
                <w:sz w:val="24"/>
                <w:szCs w:val="2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3</w:t>
            </w:r>
          </w:p>
        </w:tc>
      </w:tr>
      <w:tr>
        <w:trPr>
          <w:trHeight w:val="242"/>
        </w:trPr>
        <w:tc>
          <w:tcPr>
            <w:tcW w:w="4220" w:type="dxa"/>
            <w:vAlign w:val="bottom"/>
          </w:tcPr>
          <w:p>
            <w:pPr>
              <w:spacing w:after="0"/>
              <w:rPr>
                <w:sz w:val="20"/>
                <w:szCs w:val="20"/>
                <w:color w:val="auto"/>
              </w:rPr>
            </w:pPr>
            <w:r>
              <w:rPr>
                <w:rFonts w:ascii="Arial" w:cs="Arial" w:eastAsia="Arial" w:hAnsi="Arial"/>
                <w:sz w:val="13"/>
                <w:szCs w:val="13"/>
                <w:color w:val="auto"/>
              </w:rPr>
              <w:t>Adjusted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738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718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706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758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2,920</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1"/>
        </w:trPr>
        <w:tc>
          <w:tcPr>
            <w:tcW w:w="4220" w:type="dxa"/>
            <w:vAlign w:val="bottom"/>
          </w:tcPr>
          <w:p>
            <w:pPr>
              <w:spacing w:after="0"/>
              <w:rPr>
                <w:sz w:val="20"/>
                <w:szCs w:val="20"/>
                <w:color w:val="auto"/>
              </w:rPr>
            </w:pPr>
            <w:r>
              <w:rPr>
                <w:rFonts w:ascii="Arial" w:cs="Arial" w:eastAsia="Arial" w:hAnsi="Arial"/>
                <w:sz w:val="13"/>
                <w:szCs w:val="13"/>
                <w:color w:val="auto"/>
              </w:rPr>
              <w:t>Operating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851</w:t>
            </w: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Combined adjustments: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9"/>
        </w:trPr>
        <w:tc>
          <w:tcPr>
            <w:tcW w:w="4220" w:type="dxa"/>
            <w:vAlign w:val="bottom"/>
          </w:tcPr>
          <w:p>
            <w:pPr>
              <w:ind w:left="120"/>
              <w:spacing w:after="0"/>
              <w:rPr>
                <w:sz w:val="20"/>
                <w:szCs w:val="20"/>
                <w:color w:val="auto"/>
              </w:rPr>
            </w:pPr>
            <w:r>
              <w:rPr>
                <w:rFonts w:ascii="Arial" w:cs="Arial" w:eastAsia="Arial" w:hAnsi="Arial"/>
                <w:sz w:val="13"/>
                <w:szCs w:val="13"/>
                <w:color w:val="auto"/>
              </w:rPr>
              <w:t>Merger and integration costs</w:t>
            </w:r>
          </w:p>
        </w:tc>
        <w:tc>
          <w:tcPr>
            <w:tcW w:w="140" w:type="dxa"/>
            <w:vAlign w:val="bottom"/>
          </w:tcPr>
          <w:p>
            <w:pPr>
              <w:spacing w:after="0"/>
              <w:rPr>
                <w:sz w:val="24"/>
                <w:szCs w:val="2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2</w:t>
            </w:r>
          </w:p>
        </w:tc>
      </w:tr>
      <w:tr>
        <w:trPr>
          <w:trHeight w:val="242"/>
        </w:trPr>
        <w:tc>
          <w:tcPr>
            <w:tcW w:w="4220" w:type="dxa"/>
            <w:vAlign w:val="bottom"/>
          </w:tcPr>
          <w:p>
            <w:pPr>
              <w:spacing w:after="0"/>
              <w:rPr>
                <w:sz w:val="20"/>
                <w:szCs w:val="20"/>
                <w:color w:val="auto"/>
              </w:rPr>
            </w:pPr>
            <w:r>
              <w:rPr>
                <w:rFonts w:ascii="Arial" w:cs="Arial" w:eastAsia="Arial" w:hAnsi="Arial"/>
                <w:sz w:val="13"/>
                <w:szCs w:val="13"/>
                <w:color w:val="auto"/>
              </w:rPr>
              <w:t>Adjusted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853</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3"/>
                <w:szCs w:val="13"/>
                <w:color w:val="auto"/>
              </w:rPr>
              <w:t>Operating margin</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29.2%</w:t>
            </w:r>
          </w:p>
        </w:tc>
      </w:tr>
      <w:tr>
        <w:trPr>
          <w:trHeight w:val="270"/>
        </w:trPr>
        <w:tc>
          <w:tcPr>
            <w:tcW w:w="4220" w:type="dxa"/>
            <w:vAlign w:val="bottom"/>
          </w:tcPr>
          <w:p>
            <w:pPr>
              <w:spacing w:after="0"/>
              <w:rPr>
                <w:sz w:val="20"/>
                <w:szCs w:val="20"/>
                <w:color w:val="auto"/>
              </w:rPr>
            </w:pPr>
            <w:r>
              <w:rPr>
                <w:rFonts w:ascii="Arial" w:cs="Arial" w:eastAsia="Arial" w:hAnsi="Arial"/>
                <w:sz w:val="13"/>
                <w:szCs w:val="13"/>
                <w:color w:val="auto"/>
              </w:rPr>
              <w:t>Adjusted operating margin</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29.2%</w:t>
            </w:r>
          </w:p>
        </w:tc>
      </w:tr>
    </w:tbl>
    <w:p>
      <w:pPr>
        <w:spacing w:after="0" w:line="281"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Payments</w:t>
      </w:r>
    </w:p>
    <w:p>
      <w:pPr>
        <w:sectPr>
          <w:pgSz w:w="11900" w:h="16838" w:orient="portrait"/>
          <w:cols w:equalWidth="0" w:num="1">
            <w:col w:w="10780"/>
          </w:cols>
          <w:pgMar w:left="500" w:top="877" w:right="619" w:bottom="1440" w:gutter="0" w:footer="0" w:header="0"/>
        </w:sectPr>
      </w:pPr>
    </w:p>
    <w:p>
      <w:pPr>
        <w:spacing w:after="0" w:line="125" w:lineRule="exact"/>
        <w:rPr>
          <w:sz w:val="20"/>
          <w:szCs w:val="20"/>
          <w:color w:val="auto"/>
        </w:rPr>
      </w:pPr>
    </w:p>
    <w:p>
      <w:pPr>
        <w:ind w:left="300"/>
        <w:spacing w:after="0"/>
        <w:tabs>
          <w:tab w:leader="none" w:pos="4520" w:val="left"/>
        </w:tabs>
        <w:rPr>
          <w:sz w:val="20"/>
          <w:szCs w:val="20"/>
          <w:color w:val="auto"/>
        </w:rPr>
      </w:pPr>
      <w:r>
        <w:rPr>
          <w:rFonts w:ascii="Arial" w:cs="Arial" w:eastAsia="Arial" w:hAnsi="Arial"/>
          <w:sz w:val="13"/>
          <w:szCs w:val="13"/>
          <w:color w:val="auto"/>
        </w:rPr>
        <w:t>Revenue</w:t>
      </w:r>
      <w:r>
        <w:rPr>
          <w:sz w:val="20"/>
          <w:szCs w:val="20"/>
          <w:color w:val="auto"/>
        </w:rPr>
        <w:tab/>
      </w:r>
      <w:r>
        <w:rPr>
          <w:rFonts w:ascii="Arial" w:cs="Arial" w:eastAsia="Arial" w:hAnsi="Arial"/>
          <w:sz w:val="13"/>
          <w:szCs w:val="13"/>
          <w:color w:val="auto"/>
        </w:rPr>
        <w: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xml:space="preserve">First Data revenue </w:t>
      </w:r>
      <w:r>
        <w:rPr>
          <w:rFonts w:ascii="Arial" w:cs="Arial" w:eastAsia="Arial" w:hAnsi="Arial"/>
          <w:sz w:val="8"/>
          <w:szCs w:val="8"/>
          <w:color w:val="auto"/>
        </w:rPr>
        <w:t>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Combined revenue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Combined adjustments: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Intercompany eliminations </w:t>
      </w:r>
      <w:r>
        <w:rPr>
          <w:rFonts w:ascii="Arial" w:cs="Arial" w:eastAsia="Arial" w:hAnsi="Arial"/>
          <w:sz w:val="8"/>
          <w:szCs w:val="8"/>
          <w:color w:val="auto"/>
        </w:rPr>
        <w:t>2</w:t>
      </w:r>
    </w:p>
    <w:p>
      <w:pPr>
        <w:spacing w:after="0" w:line="107" w:lineRule="exact"/>
        <w:rPr>
          <w:sz w:val="20"/>
          <w:szCs w:val="20"/>
          <w:color w:val="auto"/>
        </w:rPr>
      </w:pPr>
    </w:p>
    <w:p>
      <w:pPr>
        <w:ind w:left="300"/>
        <w:spacing w:after="0"/>
        <w:tabs>
          <w:tab w:leader="none" w:pos="4520" w:val="left"/>
        </w:tabs>
        <w:rPr>
          <w:sz w:val="20"/>
          <w:szCs w:val="20"/>
          <w:color w:val="auto"/>
        </w:rPr>
      </w:pPr>
      <w:r>
        <w:rPr>
          <w:rFonts w:ascii="Arial" w:cs="Arial" w:eastAsia="Arial" w:hAnsi="Arial"/>
          <w:sz w:val="13"/>
          <w:szCs w:val="13"/>
          <w:color w:val="auto"/>
        </w:rPr>
        <w:t>Adjusted revenue</w:t>
      </w:r>
      <w:r>
        <w:rPr>
          <w:sz w:val="20"/>
          <w:szCs w:val="20"/>
          <w:color w:val="auto"/>
        </w:rPr>
        <w:tab/>
      </w:r>
      <w:r>
        <w:rPr>
          <w:rFonts w:ascii="Arial" w:cs="Arial" w:eastAsia="Arial" w:hAnsi="Arial"/>
          <w:sz w:val="10"/>
          <w:szCs w:val="10"/>
          <w:color w:val="auto"/>
        </w:rPr>
        <w:t>$</w:t>
      </w:r>
    </w:p>
    <w:p>
      <w:pPr>
        <w:spacing w:after="0" w:line="323" w:lineRule="exact"/>
        <w:rPr>
          <w:sz w:val="20"/>
          <w:szCs w:val="20"/>
          <w:color w:val="auto"/>
        </w:rPr>
      </w:pPr>
    </w:p>
    <w:p>
      <w:pPr>
        <w:ind w:left="300"/>
        <w:spacing w:after="0"/>
        <w:tabs>
          <w:tab w:leader="none" w:pos="4520" w:val="left"/>
        </w:tabs>
        <w:rPr>
          <w:sz w:val="20"/>
          <w:szCs w:val="20"/>
          <w:color w:val="auto"/>
        </w:rPr>
      </w:pPr>
      <w:r>
        <w:rPr>
          <w:rFonts w:ascii="Arial" w:cs="Arial" w:eastAsia="Arial" w:hAnsi="Arial"/>
          <w:sz w:val="13"/>
          <w:szCs w:val="13"/>
          <w:color w:val="auto"/>
        </w:rPr>
        <w:t>Operating income</w:t>
      </w:r>
      <w:r>
        <w:rPr>
          <w:sz w:val="20"/>
          <w:szCs w:val="20"/>
          <w:color w:val="auto"/>
        </w:rPr>
        <w:tab/>
      </w:r>
      <w:r>
        <w:rPr>
          <w:rFonts w:ascii="Arial" w:cs="Arial" w:eastAsia="Arial" w:hAnsi="Arial"/>
          <w:sz w:val="10"/>
          <w:szCs w:val="10"/>
          <w:color w:val="auto"/>
        </w:rPr>
        <w: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xml:space="preserve">First Data operating income </w:t>
      </w:r>
      <w:r>
        <w:rPr>
          <w:rFonts w:ascii="Arial" w:cs="Arial" w:eastAsia="Arial" w:hAnsi="Arial"/>
          <w:sz w:val="8"/>
          <w:szCs w:val="8"/>
          <w:color w:val="auto"/>
        </w:rPr>
        <w:t>1</w:t>
      </w:r>
    </w:p>
    <w:p>
      <w:pPr>
        <w:spacing w:after="0" w:line="107" w:lineRule="exact"/>
        <w:rPr>
          <w:sz w:val="20"/>
          <w:szCs w:val="20"/>
          <w:color w:val="auto"/>
        </w:rPr>
      </w:pPr>
    </w:p>
    <w:p>
      <w:pPr>
        <w:ind w:left="300"/>
        <w:spacing w:after="0"/>
        <w:tabs>
          <w:tab w:leader="none" w:pos="4520" w:val="left"/>
        </w:tabs>
        <w:rPr>
          <w:sz w:val="20"/>
          <w:szCs w:val="20"/>
          <w:color w:val="auto"/>
        </w:rPr>
      </w:pPr>
      <w:r>
        <w:rPr>
          <w:rFonts w:ascii="Arial" w:cs="Arial" w:eastAsia="Arial" w:hAnsi="Arial"/>
          <w:sz w:val="13"/>
          <w:szCs w:val="13"/>
          <w:color w:val="auto"/>
        </w:rPr>
        <w:t>Combined operating income</w:t>
      </w:r>
      <w:r>
        <w:rPr>
          <w:sz w:val="20"/>
          <w:szCs w:val="20"/>
          <w:color w:val="auto"/>
        </w:rPr>
        <w:tab/>
      </w:r>
      <w:r>
        <w:rPr>
          <w:rFonts w:ascii="Arial" w:cs="Arial" w:eastAsia="Arial" w:hAnsi="Arial"/>
          <w:sz w:val="10"/>
          <w:szCs w:val="10"/>
          <w:color w:val="auto"/>
        </w:rPr>
        <w:t>$</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Operating margin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Adjusted operating margin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Corporate and Other</w:t>
      </w:r>
    </w:p>
    <w:p>
      <w:pPr>
        <w:spacing w:after="0" w:line="125" w:lineRule="exact"/>
        <w:rPr>
          <w:sz w:val="20"/>
          <w:szCs w:val="20"/>
          <w:color w:val="auto"/>
        </w:rPr>
      </w:pPr>
    </w:p>
    <w:p>
      <w:pPr>
        <w:ind w:left="300"/>
        <w:spacing w:after="0"/>
        <w:tabs>
          <w:tab w:leader="none" w:pos="4520" w:val="left"/>
        </w:tabs>
        <w:rPr>
          <w:sz w:val="20"/>
          <w:szCs w:val="20"/>
          <w:color w:val="auto"/>
        </w:rPr>
      </w:pPr>
      <w:r>
        <w:rPr>
          <w:rFonts w:ascii="Arial" w:cs="Arial" w:eastAsia="Arial" w:hAnsi="Arial"/>
          <w:sz w:val="13"/>
          <w:szCs w:val="13"/>
          <w:color w:val="auto"/>
        </w:rPr>
        <w:t>Revenue</w:t>
      </w:r>
      <w:r>
        <w:rPr>
          <w:sz w:val="20"/>
          <w:szCs w:val="20"/>
          <w:color w:val="auto"/>
        </w:rPr>
        <w:tab/>
      </w:r>
      <w:r>
        <w:rPr>
          <w:rFonts w:ascii="Arial" w:cs="Arial" w:eastAsia="Arial" w:hAnsi="Arial"/>
          <w:sz w:val="13"/>
          <w:szCs w:val="13"/>
          <w:color w:val="auto"/>
        </w:rPr>
        <w: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xml:space="preserve">First Data revenue </w:t>
      </w:r>
      <w:r>
        <w:rPr>
          <w:rFonts w:ascii="Arial" w:cs="Arial" w:eastAsia="Arial" w:hAnsi="Arial"/>
          <w:sz w:val="8"/>
          <w:szCs w:val="8"/>
          <w:color w:val="auto"/>
        </w:rPr>
        <w:t>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Combined revenue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Combined adjustments: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Output Solutions postage reimbursements </w:t>
      </w:r>
      <w:r>
        <w:rPr>
          <w:rFonts w:ascii="Arial" w:cs="Arial" w:eastAsia="Arial" w:hAnsi="Arial"/>
          <w:sz w:val="8"/>
          <w:szCs w:val="8"/>
          <w:color w:val="auto"/>
        </w:rPr>
        <w:t>3</w:t>
      </w:r>
    </w:p>
    <w:p>
      <w:pPr>
        <w:spacing w:after="0" w:line="107" w:lineRule="exact"/>
        <w:rPr>
          <w:sz w:val="20"/>
          <w:szCs w:val="20"/>
          <w:color w:val="auto"/>
        </w:rPr>
      </w:pPr>
    </w:p>
    <w:p>
      <w:pPr>
        <w:ind w:left="300"/>
        <w:spacing w:after="0"/>
        <w:tabs>
          <w:tab w:leader="none" w:pos="4520" w:val="left"/>
        </w:tabs>
        <w:rPr>
          <w:sz w:val="20"/>
          <w:szCs w:val="20"/>
          <w:color w:val="auto"/>
        </w:rPr>
      </w:pPr>
      <w:r>
        <w:rPr>
          <w:rFonts w:ascii="Arial" w:cs="Arial" w:eastAsia="Arial" w:hAnsi="Arial"/>
          <w:sz w:val="13"/>
          <w:szCs w:val="13"/>
          <w:color w:val="auto"/>
        </w:rPr>
        <w:t>Adjusted revenue</w:t>
      </w:r>
      <w:r>
        <w:rPr>
          <w:sz w:val="20"/>
          <w:szCs w:val="20"/>
          <w:color w:val="auto"/>
        </w:rPr>
        <w:tab/>
      </w:r>
      <w:r>
        <w:rPr>
          <w:rFonts w:ascii="Arial" w:cs="Arial" w:eastAsia="Arial" w:hAnsi="Arial"/>
          <w:sz w:val="10"/>
          <w:szCs w:val="10"/>
          <w:color w:val="auto"/>
        </w:rPr>
        <w:t>$</w:t>
      </w:r>
    </w:p>
    <w:p>
      <w:pPr>
        <w:spacing w:after="0" w:line="337" w:lineRule="exact"/>
        <w:rPr>
          <w:sz w:val="20"/>
          <w:szCs w:val="20"/>
          <w:color w:val="auto"/>
        </w:rPr>
      </w:pPr>
    </w:p>
    <w:p>
      <w:pPr>
        <w:ind w:left="300"/>
        <w:spacing w:after="0"/>
        <w:tabs>
          <w:tab w:leader="none" w:pos="4520" w:val="left"/>
        </w:tabs>
        <w:rPr>
          <w:sz w:val="20"/>
          <w:szCs w:val="20"/>
          <w:color w:val="auto"/>
        </w:rPr>
      </w:pPr>
      <w:r>
        <w:rPr>
          <w:rFonts w:ascii="Arial" w:cs="Arial" w:eastAsia="Arial" w:hAnsi="Arial"/>
          <w:sz w:val="13"/>
          <w:szCs w:val="13"/>
          <w:color w:val="auto"/>
        </w:rPr>
        <w:t>Operating (loss) income</w:t>
      </w:r>
      <w:r>
        <w:rPr>
          <w:sz w:val="20"/>
          <w:szCs w:val="20"/>
          <w:color w:val="auto"/>
        </w:rPr>
        <w:tab/>
      </w:r>
      <w:r>
        <w:rPr>
          <w:rFonts w:ascii="Arial" w:cs="Arial" w:eastAsia="Arial" w:hAnsi="Arial"/>
          <w:sz w:val="10"/>
          <w:szCs w:val="10"/>
          <w:color w:val="auto"/>
        </w:rPr>
        <w: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xml:space="preserve">First Data operating loss </w:t>
      </w:r>
      <w:r>
        <w:rPr>
          <w:rFonts w:ascii="Arial" w:cs="Arial" w:eastAsia="Arial" w:hAnsi="Arial"/>
          <w:sz w:val="8"/>
          <w:szCs w:val="8"/>
          <w:color w:val="auto"/>
        </w:rPr>
        <w:t>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Combined operating loss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Combined adjustments: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Merger and integration costs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Severance and restructuring costs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Amortization of acquisition-related intangible assets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(Gain) loss on sale of businesses</w:t>
      </w:r>
    </w:p>
    <w:p>
      <w:pPr>
        <w:spacing w:after="0" w:line="107" w:lineRule="exact"/>
        <w:rPr>
          <w:sz w:val="20"/>
          <w:szCs w:val="20"/>
          <w:color w:val="auto"/>
        </w:rPr>
      </w:pPr>
    </w:p>
    <w:p>
      <w:pPr>
        <w:ind w:left="300"/>
        <w:spacing w:after="0"/>
        <w:tabs>
          <w:tab w:leader="none" w:pos="4520" w:val="left"/>
        </w:tabs>
        <w:rPr>
          <w:sz w:val="20"/>
          <w:szCs w:val="20"/>
          <w:color w:val="auto"/>
        </w:rPr>
      </w:pPr>
      <w:r>
        <w:rPr>
          <w:rFonts w:ascii="Arial" w:cs="Arial" w:eastAsia="Arial" w:hAnsi="Arial"/>
          <w:sz w:val="13"/>
          <w:szCs w:val="13"/>
          <w:color w:val="auto"/>
        </w:rPr>
        <w:t>Adjusted operating loss</w:t>
      </w:r>
      <w:r>
        <w:rPr>
          <w:sz w:val="20"/>
          <w:szCs w:val="20"/>
          <w:color w:val="auto"/>
        </w:rPr>
        <w:tab/>
      </w:r>
      <w:r>
        <w:rPr>
          <w:rFonts w:ascii="Arial" w:cs="Arial" w:eastAsia="Arial" w:hAnsi="Arial"/>
          <w:sz w:val="10"/>
          <w:szCs w:val="1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0"/>
          <w:szCs w:val="10"/>
          <w:color w:val="auto"/>
        </w:rPr>
        <w:t>See page 1 of Exhibit 99.1 for disclosures related to the use of non-GAAP financial measures.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Operating margin percentages are calculated using actual, unrounded amounts.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582</w:t>
            </w: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581</w:t>
            </w:r>
          </w:p>
        </w:tc>
        <w:tc>
          <w:tcPr>
            <w:tcW w:w="120" w:type="dxa"/>
            <w:vAlign w:val="bottom"/>
          </w:tcPr>
          <w:p>
            <w:pPr>
              <w:spacing w:after="0"/>
              <w:rPr>
                <w:sz w:val="13"/>
                <w:szCs w:val="13"/>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587</w:t>
            </w:r>
          </w:p>
        </w:tc>
        <w:tc>
          <w:tcPr>
            <w:tcW w:w="120" w:type="dxa"/>
            <w:vAlign w:val="bottom"/>
          </w:tcPr>
          <w:p>
            <w:pPr>
              <w:spacing w:after="0"/>
              <w:rPr>
                <w:sz w:val="13"/>
                <w:szCs w:val="13"/>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658</w:t>
            </w:r>
          </w:p>
        </w:tc>
        <w:tc>
          <w:tcPr>
            <w:tcW w:w="120" w:type="dxa"/>
            <w:vAlign w:val="bottom"/>
          </w:tcPr>
          <w:p>
            <w:pPr>
              <w:spacing w:after="0"/>
              <w:rPr>
                <w:sz w:val="13"/>
                <w:szCs w:val="13"/>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2,408</w:t>
            </w:r>
          </w:p>
        </w:tc>
      </w:tr>
      <w:tr>
        <w:trPr>
          <w:trHeight w:val="279"/>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755</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773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771</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757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3,056</w:t>
            </w:r>
          </w:p>
        </w:tc>
      </w:tr>
      <w:tr>
        <w:trPr>
          <w:trHeight w:val="240"/>
        </w:trPr>
        <w:tc>
          <w:tcPr>
            <w:tcW w:w="540" w:type="dxa"/>
            <w:vAlign w:val="bottom"/>
          </w:tcPr>
          <w:p>
            <w:pPr>
              <w:jc w:val="right"/>
              <w:ind w:right="177"/>
              <w:spacing w:after="0"/>
              <w:rPr>
                <w:sz w:val="20"/>
                <w:szCs w:val="20"/>
                <w:color w:val="auto"/>
              </w:rPr>
            </w:pPr>
            <w:r>
              <w:rPr>
                <w:rFonts w:ascii="Arial" w:cs="Arial" w:eastAsia="Arial" w:hAnsi="Arial"/>
                <w:sz w:val="13"/>
                <w:szCs w:val="13"/>
                <w:color w:val="auto"/>
                <w:w w:val="85"/>
              </w:rPr>
              <w:t>1,337</w:t>
            </w:r>
          </w:p>
        </w:tc>
        <w:tc>
          <w:tcPr>
            <w:tcW w:w="420" w:type="dxa"/>
            <w:vAlign w:val="bottom"/>
          </w:tcPr>
          <w:p>
            <w:pPr>
              <w:spacing w:after="0"/>
              <w:rPr>
                <w:sz w:val="20"/>
                <w:szCs w:val="20"/>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1,354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1,358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1,415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5,464</w:t>
            </w:r>
          </w:p>
        </w:tc>
      </w:tr>
      <w:tr>
        <w:trPr>
          <w:trHeight w:val="550"/>
        </w:trPr>
        <w:tc>
          <w:tcPr>
            <w:tcW w:w="540" w:type="dxa"/>
            <w:vAlign w:val="bottom"/>
          </w:tcPr>
          <w:p>
            <w:pPr>
              <w:jc w:val="right"/>
              <w:ind w:right="137"/>
              <w:spacing w:after="0"/>
              <w:rPr>
                <w:sz w:val="20"/>
                <w:szCs w:val="20"/>
                <w:color w:val="auto"/>
              </w:rPr>
            </w:pPr>
            <w:r>
              <w:rPr>
                <w:rFonts w:ascii="Arial" w:cs="Arial" w:eastAsia="Arial" w:hAnsi="Arial"/>
                <w:sz w:val="13"/>
                <w:szCs w:val="13"/>
                <w:color w:val="auto"/>
              </w:rPr>
              <w:t>(2)</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r>
      <w:tr>
        <w:trPr>
          <w:trHeight w:val="237"/>
        </w:trPr>
        <w:tc>
          <w:tcPr>
            <w:tcW w:w="540" w:type="dxa"/>
            <w:vAlign w:val="bottom"/>
          </w:tcPr>
          <w:p>
            <w:pPr>
              <w:jc w:val="right"/>
              <w:ind w:right="177"/>
              <w:spacing w:after="0"/>
              <w:rPr>
                <w:sz w:val="20"/>
                <w:szCs w:val="20"/>
                <w:color w:val="auto"/>
              </w:rPr>
            </w:pPr>
            <w:r>
              <w:rPr>
                <w:rFonts w:ascii="Arial" w:cs="Arial" w:eastAsia="Arial" w:hAnsi="Arial"/>
                <w:sz w:val="13"/>
                <w:szCs w:val="13"/>
                <w:color w:val="auto"/>
                <w:w w:val="85"/>
              </w:rPr>
              <w:t>1,335</w:t>
            </w:r>
          </w:p>
        </w:tc>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1,352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1,356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1,412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5,455</w:t>
            </w:r>
          </w:p>
        </w:tc>
      </w:tr>
      <w:tr>
        <w:trPr>
          <w:trHeight w:val="20"/>
        </w:trPr>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03"/>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262</w:t>
            </w: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1,081</w:t>
            </w:r>
          </w:p>
        </w:tc>
      </w:tr>
      <w:tr>
        <w:trPr>
          <w:trHeight w:val="280"/>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244</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265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1,053</w:t>
            </w:r>
          </w:p>
        </w:tc>
      </w:tr>
      <w:tr>
        <w:trPr>
          <w:trHeight w:val="236"/>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506</w:t>
            </w:r>
          </w:p>
        </w:tc>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585</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2,134</w:t>
            </w:r>
          </w:p>
        </w:tc>
      </w:tr>
      <w:tr>
        <w:trPr>
          <w:trHeight w:val="20"/>
        </w:trPr>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63"/>
        </w:trPr>
        <w:tc>
          <w:tcPr>
            <w:tcW w:w="540" w:type="dxa"/>
            <w:vAlign w:val="bottom"/>
          </w:tcPr>
          <w:p>
            <w:pPr>
              <w:jc w:val="right"/>
              <w:ind w:right="77"/>
              <w:spacing w:after="0"/>
              <w:rPr>
                <w:sz w:val="20"/>
                <w:szCs w:val="20"/>
                <w:color w:val="auto"/>
              </w:rPr>
            </w:pPr>
            <w:r>
              <w:rPr>
                <w:rFonts w:ascii="Arial" w:cs="Arial" w:eastAsia="Arial" w:hAnsi="Arial"/>
                <w:sz w:val="13"/>
                <w:szCs w:val="13"/>
                <w:color w:val="auto"/>
              </w:rPr>
              <w:t>45.1%</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44.9%</w:t>
            </w:r>
          </w:p>
        </w:tc>
      </w:tr>
      <w:tr>
        <w:trPr>
          <w:trHeight w:val="270"/>
        </w:trPr>
        <w:tc>
          <w:tcPr>
            <w:tcW w:w="540" w:type="dxa"/>
            <w:vAlign w:val="bottom"/>
          </w:tcPr>
          <w:p>
            <w:pPr>
              <w:jc w:val="right"/>
              <w:ind w:right="77"/>
              <w:spacing w:after="0"/>
              <w:rPr>
                <w:sz w:val="20"/>
                <w:szCs w:val="20"/>
                <w:color w:val="auto"/>
              </w:rPr>
            </w:pPr>
            <w:r>
              <w:rPr>
                <w:rFonts w:ascii="Arial" w:cs="Arial" w:eastAsia="Arial" w:hAnsi="Arial"/>
                <w:sz w:val="13"/>
                <w:szCs w:val="13"/>
                <w:color w:val="auto"/>
              </w:rPr>
              <w:t>37.8%</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39.1%</w:t>
            </w:r>
          </w:p>
        </w:tc>
      </w:tr>
      <w:tr>
        <w:trPr>
          <w:trHeight w:val="715"/>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122</w:t>
            </w: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498</w:t>
            </w:r>
          </w:p>
        </w:tc>
      </w:tr>
      <w:tr>
        <w:trPr>
          <w:trHeight w:val="280"/>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172</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708</w:t>
            </w:r>
          </w:p>
        </w:tc>
      </w:tr>
      <w:tr>
        <w:trPr>
          <w:trHeight w:val="240"/>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294</w:t>
            </w:r>
          </w:p>
        </w:tc>
        <w:tc>
          <w:tcPr>
            <w:tcW w:w="420" w:type="dxa"/>
            <w:vAlign w:val="bottom"/>
          </w:tcPr>
          <w:p>
            <w:pPr>
              <w:spacing w:after="0"/>
              <w:rPr>
                <w:sz w:val="20"/>
                <w:szCs w:val="20"/>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298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1,206</w:t>
            </w:r>
          </w:p>
        </w:tc>
      </w:tr>
      <w:tr>
        <w:trPr>
          <w:trHeight w:val="550"/>
        </w:trPr>
        <w:tc>
          <w:tcPr>
            <w:tcW w:w="540" w:type="dxa"/>
            <w:vAlign w:val="bottom"/>
          </w:tcPr>
          <w:p>
            <w:pPr>
              <w:jc w:val="right"/>
              <w:ind w:right="137"/>
              <w:spacing w:after="0"/>
              <w:rPr>
                <w:sz w:val="20"/>
                <w:szCs w:val="20"/>
                <w:color w:val="auto"/>
              </w:rPr>
            </w:pPr>
            <w:r>
              <w:rPr>
                <w:rFonts w:ascii="Arial" w:cs="Arial" w:eastAsia="Arial" w:hAnsi="Arial"/>
                <w:sz w:val="13"/>
                <w:szCs w:val="13"/>
                <w:color w:val="auto"/>
              </w:rPr>
              <w:t>(254)</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(1,016)</w:t>
            </w:r>
          </w:p>
        </w:tc>
      </w:tr>
      <w:tr>
        <w:trPr>
          <w:trHeight w:val="236"/>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40</w:t>
            </w:r>
          </w:p>
        </w:tc>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190</w:t>
            </w:r>
          </w:p>
        </w:tc>
      </w:tr>
      <w:tr>
        <w:trPr>
          <w:trHeight w:val="20"/>
        </w:trPr>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17"/>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142</w:t>
            </w: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(179)</w:t>
            </w:r>
          </w:p>
        </w:tc>
      </w:tr>
      <w:tr>
        <w:trPr>
          <w:trHeight w:val="279"/>
        </w:trPr>
        <w:tc>
          <w:tcPr>
            <w:tcW w:w="540" w:type="dxa"/>
            <w:vAlign w:val="bottom"/>
          </w:tcPr>
          <w:p>
            <w:pPr>
              <w:jc w:val="right"/>
              <w:ind w:right="137"/>
              <w:spacing w:after="0"/>
              <w:rPr>
                <w:sz w:val="20"/>
                <w:szCs w:val="20"/>
                <w:color w:val="auto"/>
              </w:rPr>
            </w:pPr>
            <w:r>
              <w:rPr>
                <w:rFonts w:ascii="Arial" w:cs="Arial" w:eastAsia="Arial" w:hAnsi="Arial"/>
                <w:sz w:val="13"/>
                <w:szCs w:val="13"/>
                <w:color w:val="auto"/>
              </w:rPr>
              <w:t>(242)</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(676)</w:t>
            </w:r>
          </w:p>
        </w:tc>
      </w:tr>
      <w:tr>
        <w:trPr>
          <w:trHeight w:val="240"/>
        </w:trPr>
        <w:tc>
          <w:tcPr>
            <w:tcW w:w="540" w:type="dxa"/>
            <w:vAlign w:val="bottom"/>
          </w:tcPr>
          <w:p>
            <w:pPr>
              <w:jc w:val="right"/>
              <w:ind w:right="137"/>
              <w:spacing w:after="0"/>
              <w:rPr>
                <w:sz w:val="20"/>
                <w:szCs w:val="20"/>
                <w:color w:val="auto"/>
              </w:rPr>
            </w:pPr>
            <w:r>
              <w:rPr>
                <w:rFonts w:ascii="Arial" w:cs="Arial" w:eastAsia="Arial" w:hAnsi="Arial"/>
                <w:sz w:val="13"/>
                <w:szCs w:val="13"/>
                <w:color w:val="auto"/>
              </w:rPr>
              <w:t>(100)</w:t>
            </w:r>
          </w:p>
        </w:tc>
        <w:tc>
          <w:tcPr>
            <w:tcW w:w="420" w:type="dxa"/>
            <w:vAlign w:val="bottom"/>
          </w:tcPr>
          <w:p>
            <w:pPr>
              <w:spacing w:after="0"/>
              <w:rPr>
                <w:sz w:val="20"/>
                <w:szCs w:val="20"/>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(855)</w:t>
            </w:r>
          </w:p>
        </w:tc>
      </w:tr>
      <w:tr>
        <w:trPr>
          <w:trHeight w:val="540"/>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21</w:t>
            </w:r>
          </w:p>
        </w:tc>
        <w:tc>
          <w:tcPr>
            <w:tcW w:w="420" w:type="dxa"/>
            <w:vAlign w:val="bottom"/>
          </w:tcPr>
          <w:p>
            <w:pPr>
              <w:spacing w:after="0"/>
              <w:rPr>
                <w:sz w:val="24"/>
                <w:szCs w:val="2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53</w:t>
            </w:r>
          </w:p>
        </w:tc>
      </w:tr>
      <w:tr>
        <w:trPr>
          <w:trHeight w:val="270"/>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45</w:t>
            </w:r>
          </w:p>
        </w:tc>
        <w:tc>
          <w:tcPr>
            <w:tcW w:w="420" w:type="dxa"/>
            <w:vAlign w:val="bottom"/>
          </w:tcPr>
          <w:p>
            <w:pPr>
              <w:spacing w:after="0"/>
              <w:rPr>
                <w:sz w:val="23"/>
                <w:szCs w:val="2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155</w:t>
            </w:r>
          </w:p>
        </w:tc>
      </w:tr>
      <w:tr>
        <w:trPr>
          <w:trHeight w:val="270"/>
        </w:trPr>
        <w:tc>
          <w:tcPr>
            <w:tcW w:w="540" w:type="dxa"/>
            <w:vAlign w:val="bottom"/>
          </w:tcPr>
          <w:p>
            <w:pPr>
              <w:jc w:val="right"/>
              <w:ind w:right="177"/>
              <w:spacing w:after="0"/>
              <w:rPr>
                <w:sz w:val="20"/>
                <w:szCs w:val="20"/>
                <w:color w:val="auto"/>
              </w:rPr>
            </w:pPr>
            <w:r>
              <w:rPr>
                <w:rFonts w:ascii="Arial" w:cs="Arial" w:eastAsia="Arial" w:hAnsi="Arial"/>
                <w:sz w:val="13"/>
                <w:szCs w:val="13"/>
                <w:color w:val="auto"/>
              </w:rPr>
              <w:t>149</w:t>
            </w:r>
          </w:p>
        </w:tc>
        <w:tc>
          <w:tcPr>
            <w:tcW w:w="420" w:type="dxa"/>
            <w:vAlign w:val="bottom"/>
          </w:tcPr>
          <w:p>
            <w:pPr>
              <w:spacing w:after="0"/>
              <w:rPr>
                <w:sz w:val="23"/>
                <w:szCs w:val="2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594</w:t>
            </w:r>
          </w:p>
        </w:tc>
      </w:tr>
      <w:tr>
        <w:trPr>
          <w:trHeight w:val="280"/>
        </w:trPr>
        <w:tc>
          <w:tcPr>
            <w:tcW w:w="540" w:type="dxa"/>
            <w:vAlign w:val="bottom"/>
          </w:tcPr>
          <w:p>
            <w:pPr>
              <w:jc w:val="right"/>
              <w:ind w:right="137"/>
              <w:spacing w:after="0"/>
              <w:rPr>
                <w:sz w:val="20"/>
                <w:szCs w:val="20"/>
                <w:color w:val="auto"/>
              </w:rPr>
            </w:pPr>
            <w:r>
              <w:rPr>
                <w:rFonts w:ascii="Arial" w:cs="Arial" w:eastAsia="Arial" w:hAnsi="Arial"/>
                <w:sz w:val="13"/>
                <w:szCs w:val="13"/>
                <w:color w:val="auto"/>
              </w:rPr>
              <w:t>(231)</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(424)</w:t>
            </w:r>
          </w:p>
        </w:tc>
      </w:tr>
      <w:tr>
        <w:trPr>
          <w:trHeight w:val="236"/>
        </w:trPr>
        <w:tc>
          <w:tcPr>
            <w:tcW w:w="540" w:type="dxa"/>
            <w:vAlign w:val="bottom"/>
          </w:tcPr>
          <w:p>
            <w:pPr>
              <w:jc w:val="right"/>
              <w:ind w:right="137"/>
              <w:spacing w:after="0"/>
              <w:rPr>
                <w:sz w:val="20"/>
                <w:szCs w:val="20"/>
                <w:color w:val="auto"/>
              </w:rPr>
            </w:pPr>
            <w:r>
              <w:rPr>
                <w:rFonts w:ascii="Arial" w:cs="Arial" w:eastAsia="Arial" w:hAnsi="Arial"/>
                <w:sz w:val="13"/>
                <w:szCs w:val="13"/>
                <w:color w:val="auto"/>
              </w:rPr>
              <w:t>(116)</w:t>
            </w:r>
          </w:p>
        </w:tc>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(477)</w:t>
            </w:r>
          </w:p>
        </w:tc>
      </w:tr>
      <w:tr>
        <w:trPr>
          <w:trHeight w:val="20"/>
        </w:trPr>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-24765</wp:posOffset>
            </wp:positionV>
            <wp:extent cx="737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-8255</wp:posOffset>
            </wp:positionV>
            <wp:extent cx="737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-187960</wp:posOffset>
            </wp:positionV>
            <wp:extent cx="737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-1216660</wp:posOffset>
            </wp:positionV>
            <wp:extent cx="737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-1696720</wp:posOffset>
            </wp:positionV>
            <wp:extent cx="737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-1679575</wp:posOffset>
            </wp:positionV>
            <wp:extent cx="737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-1859280</wp:posOffset>
            </wp:positionV>
            <wp:extent cx="737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-2373630</wp:posOffset>
            </wp:positionV>
            <wp:extent cx="737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-3445510</wp:posOffset>
            </wp:positionV>
            <wp:extent cx="7372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-3428365</wp:posOffset>
            </wp:positionV>
            <wp:extent cx="7372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-3608070</wp:posOffset>
            </wp:positionV>
            <wp:extent cx="737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-4079875</wp:posOffset>
            </wp:positionV>
            <wp:extent cx="737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-4062730</wp:posOffset>
            </wp:positionV>
            <wp:extent cx="737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-4242435</wp:posOffset>
            </wp:positionV>
            <wp:extent cx="7372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-4756785</wp:posOffset>
            </wp:positionV>
            <wp:extent cx="737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4720" w:space="520"/>
            <w:col w:w="5540"/>
          </w:cols>
          <w:pgMar w:left="500" w:top="877" w:right="619" w:bottom="1440" w:gutter="0" w:footer="0" w:header="0"/>
          <w:type w:val="continuous"/>
        </w:sectPr>
      </w:pP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780"/>
          </w:cols>
          <w:pgMar w:left="500" w:top="877" w:right="619" w:bottom="1440" w:gutter="0" w:footer="0" w:header="0"/>
          <w:type w:val="continuous"/>
        </w:sectPr>
      </w:pPr>
    </w:p>
    <w:bookmarkStart w:id="12" w:name="page13"/>
    <w:bookmarkEnd w:id="12"/>
    <w:p>
      <w:pPr>
        <w:ind w:left="330" w:hanging="330"/>
        <w:spacing w:after="0" w:line="255" w:lineRule="auto"/>
        <w:tabs>
          <w:tab w:leader="none" w:pos="330" w:val="left"/>
        </w:tabs>
        <w:numPr>
          <w:ilvl w:val="0"/>
          <w:numId w:val="2"/>
        </w:numPr>
        <w:rPr>
          <w:rFonts w:ascii="Arial" w:cs="Arial" w:eastAsia="Arial" w:hAnsi="Arial"/>
          <w:sz w:val="9"/>
          <w:szCs w:val="9"/>
          <w:color w:val="auto"/>
        </w:rPr>
      </w:pPr>
      <w:r>
        <w:rPr>
          <w:rFonts w:ascii="Arial" w:cs="Arial" w:eastAsia="Arial" w:hAnsi="Arial"/>
          <w:sz w:val="13"/>
          <w:szCs w:val="13"/>
          <w:color w:val="auto"/>
        </w:rPr>
        <w:t>Represents the financial results of First Data prior to the date of acquisition. For the year ended December 31, 2018, this includes the results of First Data from January 1, 2018 through December 31, 2018. For the year ended December 31, 2019, this includes the results of First Data from January 1, 2019 through July 28, 2019.</w:t>
      </w:r>
    </w:p>
    <w:p>
      <w:pPr>
        <w:spacing w:after="0" w:line="141" w:lineRule="exact"/>
        <w:rPr>
          <w:sz w:val="20"/>
          <w:szCs w:val="20"/>
          <w:color w:val="auto"/>
        </w:rPr>
      </w:pPr>
    </w:p>
    <w:p>
      <w:pPr>
        <w:ind w:left="330" w:hanging="330"/>
        <w:spacing w:after="0"/>
        <w:tabs>
          <w:tab w:leader="none" w:pos="330" w:val="left"/>
        </w:tabs>
        <w:numPr>
          <w:ilvl w:val="0"/>
          <w:numId w:val="3"/>
        </w:numPr>
        <w:rPr>
          <w:rFonts w:ascii="Arial" w:cs="Arial" w:eastAsia="Arial" w:hAnsi="Arial"/>
          <w:sz w:val="9"/>
          <w:szCs w:val="9"/>
          <w:color w:val="auto"/>
        </w:rPr>
      </w:pPr>
      <w:r>
        <w:rPr>
          <w:rFonts w:ascii="Arial" w:cs="Arial" w:eastAsia="Arial" w:hAnsi="Arial"/>
          <w:sz w:val="13"/>
          <w:szCs w:val="13"/>
          <w:color w:val="auto"/>
        </w:rPr>
        <w:t>Represents the elimination of intercompany revenue and expense between First Data and the Company.</w:t>
      </w:r>
    </w:p>
    <w:p>
      <w:pPr>
        <w:spacing w:after="0" w:line="161" w:lineRule="exact"/>
        <w:rPr>
          <w:sz w:val="20"/>
          <w:szCs w:val="20"/>
          <w:color w:val="auto"/>
        </w:rPr>
      </w:pPr>
    </w:p>
    <w:p>
      <w:pPr>
        <w:ind w:left="330" w:hanging="330"/>
        <w:spacing w:after="0"/>
        <w:tabs>
          <w:tab w:leader="none" w:pos="330" w:val="left"/>
        </w:tabs>
        <w:numPr>
          <w:ilvl w:val="0"/>
          <w:numId w:val="4"/>
        </w:numPr>
        <w:rPr>
          <w:rFonts w:ascii="Arial" w:cs="Arial" w:eastAsia="Arial" w:hAnsi="Arial"/>
          <w:sz w:val="9"/>
          <w:szCs w:val="9"/>
          <w:color w:val="auto"/>
        </w:rPr>
      </w:pPr>
      <w:r>
        <w:rPr>
          <w:rFonts w:ascii="Arial" w:cs="Arial" w:eastAsia="Arial" w:hAnsi="Arial"/>
          <w:sz w:val="13"/>
          <w:szCs w:val="13"/>
          <w:color w:val="auto"/>
        </w:rPr>
        <w:t>Adjustment reflects the conformity of historical amounts to be consistent with the combined company's Output Solutions postage reimbursements.</w:t>
      </w:r>
    </w:p>
    <w:p>
      <w:pPr>
        <w:spacing w:after="0" w:line="161" w:lineRule="exact"/>
        <w:rPr>
          <w:sz w:val="20"/>
          <w:szCs w:val="20"/>
          <w:color w:val="auto"/>
        </w:rPr>
      </w:pPr>
    </w:p>
    <w:p>
      <w:pPr>
        <w:ind w:left="330" w:right="20" w:hanging="330"/>
        <w:spacing w:after="0" w:line="328" w:lineRule="auto"/>
        <w:tabs>
          <w:tab w:leader="none" w:pos="330" w:val="left"/>
        </w:tabs>
        <w:numPr>
          <w:ilvl w:val="0"/>
          <w:numId w:val="5"/>
        </w:numPr>
        <w:rPr>
          <w:rFonts w:ascii="Arial" w:cs="Arial" w:eastAsia="Arial" w:hAnsi="Arial"/>
          <w:sz w:val="8"/>
          <w:szCs w:val="8"/>
          <w:color w:val="auto"/>
        </w:rPr>
      </w:pPr>
      <w:r>
        <w:rPr>
          <w:rFonts w:ascii="Arial" w:cs="Arial" w:eastAsia="Arial" w:hAnsi="Arial"/>
          <w:sz w:val="10"/>
          <w:szCs w:val="10"/>
          <w:color w:val="auto"/>
        </w:rPr>
        <w:t>Represents an adjustment primarily related to the Company's joint venture with Bank of America. The Company and Bank of America jointly announced the dissolution of the Banc of America Merchant Services joint venture ("BAMS"), to be effective June 2020. The Company owns 51% of BAMS and BAMS' financial results are 100% consolidated into the Company's financial statements for GAAP reporting purposes. Upon dissolution of the joint venture, the Company is entitled to receive a 51% share of the joint venture's value via an agreed upon contractual process. In addition, Bank of America has the right to require the Company to continue providing merchant processing and related services to the joint venture clients allocated to Bank of America in the dissolution of the joint venture through June 2023 at current pricing. The Company anticipates an ongoing relationship with Bank of America to provide processing and other support services to other Bank of America merchant clients following the joint venture's dissolution. The non-GAAP adjustment reduces adjusted revenue and adjusted operating income by Bank of America's share of ownership, net of processing and support services revenue. This results in adjusted revenue and adjusted operating income which represents the Company's share of the joint venture that is expected to be retained by the Company upon dissolution.</w:t>
      </w:r>
    </w:p>
    <w:p>
      <w:pPr>
        <w:spacing w:after="0" w:line="259" w:lineRule="exact"/>
        <w:rPr>
          <w:sz w:val="20"/>
          <w:szCs w:val="20"/>
          <w:color w:val="auto"/>
        </w:rPr>
      </w:pPr>
    </w:p>
    <w:p>
      <w:pPr>
        <w:ind w:left="330" w:hanging="330"/>
        <w:spacing w:after="0"/>
        <w:tabs>
          <w:tab w:leader="none" w:pos="330" w:val="left"/>
        </w:tabs>
        <w:numPr>
          <w:ilvl w:val="0"/>
          <w:numId w:val="6"/>
        </w:numPr>
        <w:rPr>
          <w:rFonts w:ascii="Arial" w:cs="Arial" w:eastAsia="Arial" w:hAnsi="Arial"/>
          <w:sz w:val="8"/>
          <w:szCs w:val="8"/>
          <w:color w:val="auto"/>
        </w:rPr>
      </w:pPr>
      <w:r>
        <w:rPr>
          <w:rFonts w:ascii="Arial" w:cs="Arial" w:eastAsia="Arial" w:hAnsi="Arial"/>
          <w:sz w:val="12"/>
          <w:szCs w:val="12"/>
          <w:color w:val="auto"/>
        </w:rPr>
        <w:t>For all periods presented in the Fintech segment during 2019, there were no adjustments to GAAP measures presented and thus the adjusted measures are equal to the GAAP measures presented.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30"/>
          </w:cols>
          <w:pgMar w:left="490" w:top="395" w:right="37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3"/>
          <w:szCs w:val="13"/>
          <w:b w:val="1"/>
          <w:bCs w:val="1"/>
          <w:color w:val="auto"/>
        </w:rPr>
        <w:t>Fiserv,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Internal Revenue Growth by Segment</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(In millions,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5"/>
          </w:tcPr>
          <w:p>
            <w:pPr>
              <w:ind w:left="300"/>
              <w:spacing w:after="0"/>
              <w:rPr>
                <w:sz w:val="20"/>
                <w:szCs w:val="20"/>
                <w:color w:val="auto"/>
              </w:rPr>
            </w:pPr>
            <w:r>
              <w:rPr>
                <w:rFonts w:ascii="Arial" w:cs="Arial" w:eastAsia="Arial" w:hAnsi="Arial"/>
                <w:sz w:val="13"/>
                <w:szCs w:val="13"/>
                <w:b w:val="1"/>
                <w:bCs w:val="1"/>
                <w:color w:val="auto"/>
              </w:rPr>
              <w:t>First Quarter</w:t>
            </w:r>
          </w:p>
        </w:tc>
        <w:tc>
          <w:tcPr>
            <w:tcW w:w="160" w:type="dxa"/>
            <w:vAlign w:val="bottom"/>
          </w:tcPr>
          <w:p>
            <w:pPr>
              <w:spacing w:after="0"/>
              <w:rPr>
                <w:sz w:val="15"/>
                <w:szCs w:val="15"/>
                <w:color w:val="auto"/>
              </w:rPr>
            </w:pPr>
          </w:p>
        </w:tc>
        <w:tc>
          <w:tcPr>
            <w:tcW w:w="1580" w:type="dxa"/>
            <w:vAlign w:val="bottom"/>
            <w:gridSpan w:val="5"/>
          </w:tcPr>
          <w:p>
            <w:pPr>
              <w:ind w:left="240"/>
              <w:spacing w:after="0"/>
              <w:rPr>
                <w:sz w:val="20"/>
                <w:szCs w:val="20"/>
                <w:color w:val="auto"/>
              </w:rPr>
            </w:pPr>
            <w:r>
              <w:rPr>
                <w:rFonts w:ascii="Arial" w:cs="Arial" w:eastAsia="Arial" w:hAnsi="Arial"/>
                <w:sz w:val="13"/>
                <w:szCs w:val="13"/>
                <w:b w:val="1"/>
                <w:bCs w:val="1"/>
                <w:color w:val="auto"/>
              </w:rPr>
              <w:t>Second Quarter</w:t>
            </w:r>
          </w:p>
        </w:tc>
        <w:tc>
          <w:tcPr>
            <w:tcW w:w="180" w:type="dxa"/>
            <w:vAlign w:val="bottom"/>
          </w:tcPr>
          <w:p>
            <w:pPr>
              <w:spacing w:after="0"/>
              <w:rPr>
                <w:sz w:val="15"/>
                <w:szCs w:val="15"/>
                <w:color w:val="auto"/>
              </w:rPr>
            </w:pPr>
          </w:p>
        </w:tc>
        <w:tc>
          <w:tcPr>
            <w:tcW w:w="1580" w:type="dxa"/>
            <w:vAlign w:val="bottom"/>
            <w:gridSpan w:val="5"/>
          </w:tcPr>
          <w:p>
            <w:pPr>
              <w:ind w:left="260"/>
              <w:spacing w:after="0"/>
              <w:rPr>
                <w:sz w:val="20"/>
                <w:szCs w:val="20"/>
                <w:color w:val="auto"/>
              </w:rPr>
            </w:pPr>
            <w:r>
              <w:rPr>
                <w:rFonts w:ascii="Arial" w:cs="Arial" w:eastAsia="Arial" w:hAnsi="Arial"/>
                <w:sz w:val="13"/>
                <w:szCs w:val="13"/>
                <w:b w:val="1"/>
                <w:bCs w:val="1"/>
                <w:color w:val="auto"/>
              </w:rPr>
              <w:t>Third Quarter</w:t>
            </w:r>
          </w:p>
        </w:tc>
        <w:tc>
          <w:tcPr>
            <w:tcW w:w="180" w:type="dxa"/>
            <w:vAlign w:val="bottom"/>
          </w:tcPr>
          <w:p>
            <w:pPr>
              <w:spacing w:after="0"/>
              <w:rPr>
                <w:sz w:val="15"/>
                <w:szCs w:val="15"/>
                <w:color w:val="auto"/>
              </w:rPr>
            </w:pPr>
          </w:p>
        </w:tc>
        <w:tc>
          <w:tcPr>
            <w:tcW w:w="1620" w:type="dxa"/>
            <w:vAlign w:val="bottom"/>
            <w:gridSpan w:val="5"/>
          </w:tcPr>
          <w:p>
            <w:pPr>
              <w:ind w:left="240"/>
              <w:spacing w:after="0"/>
              <w:rPr>
                <w:sz w:val="20"/>
                <w:szCs w:val="20"/>
                <w:color w:val="auto"/>
              </w:rPr>
            </w:pPr>
            <w:r>
              <w:rPr>
                <w:rFonts w:ascii="Arial" w:cs="Arial" w:eastAsia="Arial" w:hAnsi="Arial"/>
                <w:sz w:val="13"/>
                <w:szCs w:val="13"/>
                <w:b w:val="1"/>
                <w:bCs w:val="1"/>
                <w:color w:val="auto"/>
              </w:rPr>
              <w:t>Fourth Quarter</w:t>
            </w:r>
          </w:p>
        </w:tc>
        <w:tc>
          <w:tcPr>
            <w:tcW w:w="16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3"/>
                <w:szCs w:val="13"/>
                <w:b w:val="1"/>
                <w:bCs w:val="1"/>
                <w:color w:val="auto"/>
              </w:rPr>
              <w:t>Full Year</w:t>
            </w:r>
          </w:p>
        </w:tc>
        <w:tc>
          <w:tcPr>
            <w:tcW w:w="600" w:type="dxa"/>
            <w:vAlign w:val="bottom"/>
          </w:tcPr>
          <w:p>
            <w:pPr>
              <w:spacing w:after="0"/>
              <w:rPr>
                <w:sz w:val="15"/>
                <w:szCs w:val="15"/>
                <w:color w:val="auto"/>
              </w:rPr>
            </w:pPr>
          </w:p>
        </w:tc>
      </w:tr>
      <w:tr>
        <w:trPr>
          <w:trHeight w:val="263"/>
        </w:trPr>
        <w:tc>
          <w:tcPr>
            <w:tcW w:w="21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9"/>
              </w:rPr>
              <w:t>2018</w:t>
            </w:r>
          </w:p>
        </w:tc>
      </w:tr>
      <w:tr>
        <w:trPr>
          <w:trHeight w:val="254"/>
        </w:trPr>
        <w:tc>
          <w:tcPr>
            <w:tcW w:w="2180" w:type="dxa"/>
            <w:vAlign w:val="bottom"/>
          </w:tcPr>
          <w:p>
            <w:pPr>
              <w:spacing w:after="0"/>
              <w:rPr>
                <w:sz w:val="20"/>
                <w:szCs w:val="20"/>
                <w:color w:val="auto"/>
              </w:rPr>
            </w:pPr>
            <w:r>
              <w:rPr>
                <w:rFonts w:ascii="Arial" w:cs="Arial" w:eastAsia="Arial" w:hAnsi="Arial"/>
                <w:sz w:val="13"/>
                <w:szCs w:val="13"/>
                <w:b w:val="1"/>
                <w:bCs w:val="1"/>
                <w:color w:val="auto"/>
              </w:rPr>
              <w:t>Total Company</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Adjusted revenue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3,473</w:t>
            </w:r>
          </w:p>
        </w:tc>
        <w:tc>
          <w:tcPr>
            <w:tcW w:w="100" w:type="dxa"/>
            <w:vAlign w:val="bottom"/>
          </w:tcPr>
          <w:p>
            <w:pPr>
              <w:spacing w:after="0"/>
              <w:rPr>
                <w:sz w:val="23"/>
                <w:szCs w:val="2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3,376</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3,643</w:t>
            </w:r>
          </w:p>
        </w:tc>
        <w:tc>
          <w:tcPr>
            <w:tcW w:w="10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3,504</w:t>
            </w:r>
          </w:p>
        </w:tc>
        <w:tc>
          <w:tcPr>
            <w:tcW w:w="100" w:type="dxa"/>
            <w:vAlign w:val="bottom"/>
          </w:tcPr>
          <w:p>
            <w:pPr>
              <w:spacing w:after="0"/>
              <w:rPr>
                <w:sz w:val="23"/>
                <w:szCs w:val="2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3,617</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3,436</w:t>
            </w:r>
          </w:p>
        </w:tc>
        <w:tc>
          <w:tcPr>
            <w:tcW w:w="100" w:type="dxa"/>
            <w:vAlign w:val="bottom"/>
          </w:tcPr>
          <w:p>
            <w:pPr>
              <w:spacing w:after="0"/>
              <w:rPr>
                <w:sz w:val="23"/>
                <w:szCs w:val="2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3,712</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3,586</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14,445</w:t>
            </w:r>
          </w:p>
        </w:tc>
        <w:tc>
          <w:tcPr>
            <w:tcW w:w="100" w:type="dxa"/>
            <w:vAlign w:val="bottom"/>
          </w:tcPr>
          <w:p>
            <w:pPr>
              <w:spacing w:after="0"/>
              <w:rPr>
                <w:sz w:val="23"/>
                <w:szCs w:val="23"/>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13,902</w:t>
            </w: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 xml:space="preserve">Currency impact </w:t>
            </w:r>
            <w:r>
              <w:rPr>
                <w:rFonts w:ascii="Arial" w:cs="Arial" w:eastAsia="Arial" w:hAnsi="Arial"/>
                <w:sz w:val="8"/>
                <w:szCs w:val="8"/>
                <w:color w:val="auto"/>
              </w:rPr>
              <w:t>1</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Acquisition adjustments</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9"/>
        </w:trPr>
        <w:tc>
          <w:tcPr>
            <w:tcW w:w="2180" w:type="dxa"/>
            <w:vAlign w:val="bottom"/>
          </w:tcPr>
          <w:p>
            <w:pPr>
              <w:spacing w:after="0"/>
              <w:rPr>
                <w:sz w:val="20"/>
                <w:szCs w:val="20"/>
                <w:color w:val="auto"/>
              </w:rPr>
            </w:pPr>
            <w:r>
              <w:rPr>
                <w:rFonts w:ascii="Arial" w:cs="Arial" w:eastAsia="Arial" w:hAnsi="Arial"/>
                <w:sz w:val="13"/>
                <w:szCs w:val="13"/>
                <w:color w:val="auto"/>
              </w:rPr>
              <w:t>Divestiture adjustments</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w:t>
            </w:r>
          </w:p>
        </w:tc>
      </w:tr>
      <w:tr>
        <w:trPr>
          <w:trHeight w:val="242"/>
        </w:trPr>
        <w:tc>
          <w:tcPr>
            <w:tcW w:w="2180" w:type="dxa"/>
            <w:vAlign w:val="bottom"/>
          </w:tcPr>
          <w:p>
            <w:pPr>
              <w:spacing w:after="0"/>
              <w:rPr>
                <w:sz w:val="20"/>
                <w:szCs w:val="20"/>
                <w:color w:val="auto"/>
              </w:rPr>
            </w:pPr>
            <w:r>
              <w:rPr>
                <w:rFonts w:ascii="Arial" w:cs="Arial" w:eastAsia="Arial" w:hAnsi="Arial"/>
                <w:sz w:val="13"/>
                <w:szCs w:val="13"/>
                <w:color w:val="auto"/>
              </w:rPr>
              <w:t>Internal revenue</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3,493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3,274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3,653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3,446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3,601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3,388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3,670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14,417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13,619</w:t>
            </w:r>
          </w:p>
        </w:tc>
      </w:tr>
      <w:tr>
        <w:trPr>
          <w:trHeight w:val="20"/>
        </w:trPr>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57"/>
        </w:trPr>
        <w:tc>
          <w:tcPr>
            <w:tcW w:w="2180" w:type="dxa"/>
            <w:vAlign w:val="bottom"/>
          </w:tcPr>
          <w:p>
            <w:pPr>
              <w:spacing w:after="0"/>
              <w:rPr>
                <w:sz w:val="20"/>
                <w:szCs w:val="20"/>
                <w:color w:val="auto"/>
              </w:rPr>
            </w:pPr>
            <w:r>
              <w:rPr>
                <w:rFonts w:ascii="Arial" w:cs="Arial" w:eastAsia="Arial" w:hAnsi="Arial"/>
                <w:sz w:val="13"/>
                <w:szCs w:val="13"/>
                <w:color w:val="auto"/>
              </w:rPr>
              <w:t xml:space="preserve">2019 Internal revenue growth </w:t>
            </w:r>
            <w:r>
              <w:rPr>
                <w:rFonts w:ascii="Arial" w:cs="Arial" w:eastAsia="Arial" w:hAnsi="Arial"/>
                <w:sz w:val="8"/>
                <w:szCs w:val="8"/>
                <w:color w:val="auto"/>
              </w:rPr>
              <w:t>2</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3"/>
                <w:szCs w:val="13"/>
                <w:b w:val="1"/>
                <w:bCs w:val="1"/>
                <w:color w:val="auto"/>
              </w:rPr>
              <w:t>Acceptance</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Adjusted revenue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1,334</w:t>
            </w:r>
          </w:p>
        </w:tc>
        <w:tc>
          <w:tcPr>
            <w:tcW w:w="100" w:type="dxa"/>
            <w:vAlign w:val="bottom"/>
          </w:tcPr>
          <w:p>
            <w:pPr>
              <w:spacing w:after="0"/>
              <w:rPr>
                <w:sz w:val="23"/>
                <w:szCs w:val="2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1,263</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1,467</w:t>
            </w:r>
          </w:p>
        </w:tc>
        <w:tc>
          <w:tcPr>
            <w:tcW w:w="10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1,384</w:t>
            </w:r>
          </w:p>
        </w:tc>
        <w:tc>
          <w:tcPr>
            <w:tcW w:w="100" w:type="dxa"/>
            <w:vAlign w:val="bottom"/>
          </w:tcPr>
          <w:p>
            <w:pPr>
              <w:spacing w:after="0"/>
              <w:rPr>
                <w:sz w:val="23"/>
                <w:szCs w:val="2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1,437</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1,325</w:t>
            </w:r>
          </w:p>
        </w:tc>
        <w:tc>
          <w:tcPr>
            <w:tcW w:w="100" w:type="dxa"/>
            <w:vAlign w:val="bottom"/>
          </w:tcPr>
          <w:p>
            <w:pPr>
              <w:spacing w:after="0"/>
              <w:rPr>
                <w:sz w:val="23"/>
                <w:szCs w:val="2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1,464</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1,365</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5,702</w:t>
            </w:r>
          </w:p>
        </w:tc>
        <w:tc>
          <w:tcPr>
            <w:tcW w:w="100" w:type="dxa"/>
            <w:vAlign w:val="bottom"/>
          </w:tcPr>
          <w:p>
            <w:pPr>
              <w:spacing w:after="0"/>
              <w:rPr>
                <w:sz w:val="23"/>
                <w:szCs w:val="23"/>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5,337</w:t>
            </w: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 xml:space="preserve">Currency impact </w:t>
            </w:r>
            <w:r>
              <w:rPr>
                <w:rFonts w:ascii="Arial" w:cs="Arial" w:eastAsia="Arial" w:hAnsi="Arial"/>
                <w:sz w:val="8"/>
                <w:szCs w:val="8"/>
                <w:color w:val="auto"/>
              </w:rPr>
              <w:t>1</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Acquisition adjustments</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9"/>
        </w:trPr>
        <w:tc>
          <w:tcPr>
            <w:tcW w:w="2180" w:type="dxa"/>
            <w:vAlign w:val="bottom"/>
          </w:tcPr>
          <w:p>
            <w:pPr>
              <w:spacing w:after="0"/>
              <w:rPr>
                <w:sz w:val="20"/>
                <w:szCs w:val="20"/>
                <w:color w:val="auto"/>
              </w:rPr>
            </w:pPr>
            <w:r>
              <w:rPr>
                <w:rFonts w:ascii="Arial" w:cs="Arial" w:eastAsia="Arial" w:hAnsi="Arial"/>
                <w:sz w:val="13"/>
                <w:szCs w:val="13"/>
                <w:color w:val="auto"/>
              </w:rPr>
              <w:t>Divestiture adjustments</w:t>
            </w: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42"/>
        </w:trPr>
        <w:tc>
          <w:tcPr>
            <w:tcW w:w="2180" w:type="dxa"/>
            <w:vAlign w:val="bottom"/>
          </w:tcPr>
          <w:p>
            <w:pPr>
              <w:spacing w:after="0"/>
              <w:rPr>
                <w:sz w:val="20"/>
                <w:szCs w:val="20"/>
                <w:color w:val="auto"/>
              </w:rPr>
            </w:pPr>
            <w:r>
              <w:rPr>
                <w:rFonts w:ascii="Arial" w:cs="Arial" w:eastAsia="Arial" w:hAnsi="Arial"/>
                <w:sz w:val="13"/>
                <w:szCs w:val="13"/>
                <w:color w:val="auto"/>
              </w:rPr>
              <w:t>Internal revenue</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1,390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1,261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1,512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1,382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1,458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1,323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1,483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1,357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5,843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5,323</w:t>
            </w:r>
          </w:p>
        </w:tc>
      </w:tr>
      <w:tr>
        <w:trPr>
          <w:trHeight w:val="20"/>
        </w:trPr>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57"/>
        </w:trPr>
        <w:tc>
          <w:tcPr>
            <w:tcW w:w="2180" w:type="dxa"/>
            <w:vAlign w:val="bottom"/>
          </w:tcPr>
          <w:p>
            <w:pPr>
              <w:spacing w:after="0"/>
              <w:rPr>
                <w:sz w:val="20"/>
                <w:szCs w:val="20"/>
                <w:color w:val="auto"/>
              </w:rPr>
            </w:pPr>
            <w:r>
              <w:rPr>
                <w:rFonts w:ascii="Arial" w:cs="Arial" w:eastAsia="Arial" w:hAnsi="Arial"/>
                <w:sz w:val="13"/>
                <w:szCs w:val="13"/>
                <w:color w:val="auto"/>
              </w:rPr>
              <w:t xml:space="preserve">2019 Internal revenue growth </w:t>
            </w:r>
            <w:r>
              <w:rPr>
                <w:rFonts w:ascii="Arial" w:cs="Arial" w:eastAsia="Arial" w:hAnsi="Arial"/>
                <w:sz w:val="8"/>
                <w:szCs w:val="8"/>
                <w:color w:val="auto"/>
              </w:rPr>
              <w:t>2</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3"/>
                <w:szCs w:val="13"/>
                <w:b w:val="1"/>
                <w:bCs w:val="1"/>
                <w:color w:val="auto"/>
              </w:rPr>
              <w:t>Fintech</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Adjusted revenue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725</w:t>
            </w:r>
          </w:p>
        </w:tc>
        <w:tc>
          <w:tcPr>
            <w:tcW w:w="100" w:type="dxa"/>
            <w:vAlign w:val="bottom"/>
          </w:tcPr>
          <w:p>
            <w:pPr>
              <w:spacing w:after="0"/>
              <w:rPr>
                <w:sz w:val="23"/>
                <w:szCs w:val="2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738</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731</w:t>
            </w:r>
          </w:p>
        </w:tc>
        <w:tc>
          <w:tcPr>
            <w:tcW w:w="10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718</w:t>
            </w:r>
          </w:p>
        </w:tc>
        <w:tc>
          <w:tcPr>
            <w:tcW w:w="100" w:type="dxa"/>
            <w:vAlign w:val="bottom"/>
          </w:tcPr>
          <w:p>
            <w:pPr>
              <w:spacing w:after="0"/>
              <w:rPr>
                <w:sz w:val="23"/>
                <w:szCs w:val="2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735</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706</w:t>
            </w:r>
          </w:p>
        </w:tc>
        <w:tc>
          <w:tcPr>
            <w:tcW w:w="100" w:type="dxa"/>
            <w:vAlign w:val="bottom"/>
          </w:tcPr>
          <w:p>
            <w:pPr>
              <w:spacing w:after="0"/>
              <w:rPr>
                <w:sz w:val="23"/>
                <w:szCs w:val="2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751</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758</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2,942</w:t>
            </w:r>
          </w:p>
        </w:tc>
        <w:tc>
          <w:tcPr>
            <w:tcW w:w="100" w:type="dxa"/>
            <w:vAlign w:val="bottom"/>
          </w:tcPr>
          <w:p>
            <w:pPr>
              <w:spacing w:after="0"/>
              <w:rPr>
                <w:sz w:val="23"/>
                <w:szCs w:val="23"/>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2,920</w:t>
            </w: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 xml:space="preserve">Currency impact </w:t>
            </w:r>
            <w:r>
              <w:rPr>
                <w:rFonts w:ascii="Arial" w:cs="Arial" w:eastAsia="Arial" w:hAnsi="Arial"/>
                <w:sz w:val="8"/>
                <w:szCs w:val="8"/>
                <w:color w:val="auto"/>
              </w:rPr>
              <w:t>1</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2180" w:type="dxa"/>
            <w:vAlign w:val="bottom"/>
          </w:tcPr>
          <w:p>
            <w:pPr>
              <w:spacing w:after="0"/>
              <w:rPr>
                <w:sz w:val="20"/>
                <w:szCs w:val="20"/>
                <w:color w:val="auto"/>
              </w:rPr>
            </w:pPr>
            <w:r>
              <w:rPr>
                <w:rFonts w:ascii="Arial" w:cs="Arial" w:eastAsia="Arial" w:hAnsi="Arial"/>
                <w:sz w:val="13"/>
                <w:szCs w:val="13"/>
                <w:color w:val="auto"/>
              </w:rPr>
              <w:t>Divestiture adjustments</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r>
      <w:tr>
        <w:trPr>
          <w:trHeight w:val="242"/>
        </w:trPr>
        <w:tc>
          <w:tcPr>
            <w:tcW w:w="2180" w:type="dxa"/>
            <w:vAlign w:val="bottom"/>
          </w:tcPr>
          <w:p>
            <w:pPr>
              <w:spacing w:after="0"/>
              <w:rPr>
                <w:sz w:val="20"/>
                <w:szCs w:val="20"/>
                <w:color w:val="auto"/>
              </w:rPr>
            </w:pPr>
            <w:r>
              <w:rPr>
                <w:rFonts w:ascii="Arial" w:cs="Arial" w:eastAsia="Arial" w:hAnsi="Arial"/>
                <w:sz w:val="13"/>
                <w:szCs w:val="13"/>
                <w:color w:val="auto"/>
              </w:rPr>
              <w:t>Internal revenue</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725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684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703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740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743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2,929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2,845</w:t>
            </w:r>
          </w:p>
        </w:tc>
      </w:tr>
      <w:tr>
        <w:trPr>
          <w:trHeight w:val="20"/>
        </w:trPr>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57"/>
        </w:trPr>
        <w:tc>
          <w:tcPr>
            <w:tcW w:w="2180" w:type="dxa"/>
            <w:vAlign w:val="bottom"/>
          </w:tcPr>
          <w:p>
            <w:pPr>
              <w:spacing w:after="0"/>
              <w:rPr>
                <w:sz w:val="20"/>
                <w:szCs w:val="20"/>
                <w:color w:val="auto"/>
              </w:rPr>
            </w:pPr>
            <w:r>
              <w:rPr>
                <w:rFonts w:ascii="Arial" w:cs="Arial" w:eastAsia="Arial" w:hAnsi="Arial"/>
                <w:sz w:val="13"/>
                <w:szCs w:val="13"/>
                <w:color w:val="auto"/>
              </w:rPr>
              <w:t xml:space="preserve">2019 Internal revenue growth </w:t>
            </w:r>
            <w:r>
              <w:rPr>
                <w:rFonts w:ascii="Arial" w:cs="Arial" w:eastAsia="Arial" w:hAnsi="Arial"/>
                <w:sz w:val="8"/>
                <w:szCs w:val="8"/>
                <w:color w:val="auto"/>
              </w:rPr>
              <w:t>2</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ind w:left="34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1"/>
        </w:trPr>
        <w:tc>
          <w:tcPr>
            <w:tcW w:w="2180" w:type="dxa"/>
            <w:vAlign w:val="bottom"/>
          </w:tcPr>
          <w:p>
            <w:pPr>
              <w:spacing w:after="0"/>
              <w:rPr>
                <w:sz w:val="20"/>
                <w:szCs w:val="20"/>
                <w:color w:val="auto"/>
              </w:rPr>
            </w:pPr>
            <w:r>
              <w:rPr>
                <w:rFonts w:ascii="Arial" w:cs="Arial" w:eastAsia="Arial" w:hAnsi="Arial"/>
                <w:sz w:val="13"/>
                <w:szCs w:val="13"/>
                <w:b w:val="1"/>
                <w:bCs w:val="1"/>
                <w:color w:val="auto"/>
              </w:rPr>
              <w:t>Payments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Adjusted revenue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1,365</w:t>
            </w:r>
          </w:p>
        </w:tc>
        <w:tc>
          <w:tcPr>
            <w:tcW w:w="100" w:type="dxa"/>
            <w:vAlign w:val="bottom"/>
          </w:tcPr>
          <w:p>
            <w:pPr>
              <w:spacing w:after="0"/>
              <w:rPr>
                <w:sz w:val="23"/>
                <w:szCs w:val="2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1,335</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1,392</w:t>
            </w:r>
          </w:p>
        </w:tc>
        <w:tc>
          <w:tcPr>
            <w:tcW w:w="10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1,352</w:t>
            </w:r>
          </w:p>
        </w:tc>
        <w:tc>
          <w:tcPr>
            <w:tcW w:w="100" w:type="dxa"/>
            <w:vAlign w:val="bottom"/>
          </w:tcPr>
          <w:p>
            <w:pPr>
              <w:spacing w:after="0"/>
              <w:rPr>
                <w:sz w:val="23"/>
                <w:szCs w:val="2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1,397</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23"/>
                <w:szCs w:val="2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1,453</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1,412</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5,607</w:t>
            </w:r>
          </w:p>
        </w:tc>
        <w:tc>
          <w:tcPr>
            <w:tcW w:w="100" w:type="dxa"/>
            <w:vAlign w:val="bottom"/>
          </w:tcPr>
          <w:p>
            <w:pPr>
              <w:spacing w:after="0"/>
              <w:rPr>
                <w:sz w:val="23"/>
                <w:szCs w:val="23"/>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5,455</w:t>
            </w: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 xml:space="preserve">Currency impact </w:t>
            </w:r>
            <w:r>
              <w:rPr>
                <w:rFonts w:ascii="Arial" w:cs="Arial" w:eastAsia="Arial" w:hAnsi="Arial"/>
                <w:sz w:val="8"/>
                <w:szCs w:val="8"/>
                <w:color w:val="auto"/>
              </w:rPr>
              <w:t>1</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Acquisition adjustments</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2180" w:type="dxa"/>
            <w:vAlign w:val="bottom"/>
          </w:tcPr>
          <w:p>
            <w:pPr>
              <w:spacing w:after="0"/>
              <w:rPr>
                <w:sz w:val="20"/>
                <w:szCs w:val="20"/>
                <w:color w:val="auto"/>
              </w:rPr>
            </w:pPr>
            <w:r>
              <w:rPr>
                <w:rFonts w:ascii="Arial" w:cs="Arial" w:eastAsia="Arial" w:hAnsi="Arial"/>
                <w:sz w:val="13"/>
                <w:szCs w:val="13"/>
                <w:color w:val="auto"/>
              </w:rPr>
              <w:t>Divestiture adjustments</w:t>
            </w: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242"/>
        </w:trPr>
        <w:tc>
          <w:tcPr>
            <w:tcW w:w="2180" w:type="dxa"/>
            <w:vAlign w:val="bottom"/>
          </w:tcPr>
          <w:p>
            <w:pPr>
              <w:spacing w:after="0"/>
              <w:rPr>
                <w:sz w:val="20"/>
                <w:szCs w:val="20"/>
                <w:color w:val="auto"/>
              </w:rPr>
            </w:pPr>
            <w:r>
              <w:rPr>
                <w:rFonts w:ascii="Arial" w:cs="Arial" w:eastAsia="Arial" w:hAnsi="Arial"/>
                <w:sz w:val="13"/>
                <w:szCs w:val="13"/>
                <w:color w:val="auto"/>
              </w:rPr>
              <w:t>Internal revenue</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1,289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1,364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1,306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1,445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1,409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5,512</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5,323</w:t>
            </w:r>
          </w:p>
        </w:tc>
      </w:tr>
      <w:tr>
        <w:trPr>
          <w:trHeight w:val="20"/>
        </w:trPr>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57"/>
        </w:trPr>
        <w:tc>
          <w:tcPr>
            <w:tcW w:w="2180" w:type="dxa"/>
            <w:vAlign w:val="bottom"/>
          </w:tcPr>
          <w:p>
            <w:pPr>
              <w:spacing w:after="0"/>
              <w:rPr>
                <w:sz w:val="20"/>
                <w:szCs w:val="20"/>
                <w:color w:val="auto"/>
              </w:rPr>
            </w:pPr>
            <w:r>
              <w:rPr>
                <w:rFonts w:ascii="Arial" w:cs="Arial" w:eastAsia="Arial" w:hAnsi="Arial"/>
                <w:sz w:val="13"/>
                <w:szCs w:val="13"/>
                <w:color w:val="auto"/>
              </w:rPr>
              <w:t xml:space="preserve">2019 Internal revenue growth </w:t>
            </w:r>
            <w:r>
              <w:rPr>
                <w:rFonts w:ascii="Arial" w:cs="Arial" w:eastAsia="Arial" w:hAnsi="Arial"/>
                <w:sz w:val="8"/>
                <w:szCs w:val="8"/>
                <w:color w:val="auto"/>
              </w:rPr>
              <w:t>2</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1"/>
        </w:trPr>
        <w:tc>
          <w:tcPr>
            <w:tcW w:w="2180" w:type="dxa"/>
            <w:vAlign w:val="bottom"/>
          </w:tcPr>
          <w:p>
            <w:pPr>
              <w:spacing w:after="0"/>
              <w:rPr>
                <w:sz w:val="20"/>
                <w:szCs w:val="20"/>
                <w:color w:val="auto"/>
              </w:rPr>
            </w:pPr>
            <w:r>
              <w:rPr>
                <w:rFonts w:ascii="Arial" w:cs="Arial" w:eastAsia="Arial" w:hAnsi="Arial"/>
                <w:sz w:val="13"/>
                <w:szCs w:val="13"/>
                <w:b w:val="1"/>
                <w:bCs w:val="1"/>
                <w:color w:val="auto"/>
              </w:rPr>
              <w:t>Corporate and Other</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3"/>
                <w:szCs w:val="13"/>
                <w:color w:val="auto"/>
              </w:rPr>
              <w:t>Adjusted revenue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3"/>
                <w:szCs w:val="2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3"/>
                <w:szCs w:val="2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3"/>
                <w:szCs w:val="2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23"/>
                <w:szCs w:val="23"/>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190</w:t>
            </w:r>
          </w:p>
        </w:tc>
      </w:tr>
      <w:tr>
        <w:trPr>
          <w:trHeight w:val="280"/>
        </w:trPr>
        <w:tc>
          <w:tcPr>
            <w:tcW w:w="2180" w:type="dxa"/>
            <w:vAlign w:val="bottom"/>
          </w:tcPr>
          <w:p>
            <w:pPr>
              <w:spacing w:after="0"/>
              <w:rPr>
                <w:sz w:val="20"/>
                <w:szCs w:val="20"/>
                <w:color w:val="auto"/>
              </w:rPr>
            </w:pPr>
            <w:r>
              <w:rPr>
                <w:rFonts w:ascii="Arial" w:cs="Arial" w:eastAsia="Arial" w:hAnsi="Arial"/>
                <w:sz w:val="13"/>
                <w:szCs w:val="13"/>
                <w:color w:val="auto"/>
              </w:rPr>
              <w:t>Divestiture adjustments</w:t>
            </w: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242"/>
        </w:trPr>
        <w:tc>
          <w:tcPr>
            <w:tcW w:w="2180" w:type="dxa"/>
            <w:vAlign w:val="bottom"/>
          </w:tcPr>
          <w:p>
            <w:pPr>
              <w:spacing w:after="0"/>
              <w:rPr>
                <w:sz w:val="20"/>
                <w:szCs w:val="20"/>
                <w:color w:val="auto"/>
              </w:rPr>
            </w:pPr>
            <w:r>
              <w:rPr>
                <w:rFonts w:ascii="Arial" w:cs="Arial" w:eastAsia="Arial" w:hAnsi="Arial"/>
                <w:sz w:val="13"/>
                <w:szCs w:val="13"/>
                <w:color w:val="auto"/>
              </w:rPr>
              <w:t>Internal revenue</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128</w:t>
            </w:r>
          </w:p>
        </w:tc>
      </w:tr>
      <w:tr>
        <w:trPr>
          <w:trHeight w:val="20"/>
        </w:trPr>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See page 1 of Exhibit 99.1 for disclosures related to the use of non-GAAP financial measures.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Internal revenue growth is calculated using actual, unrounded amounts.</w:t>
      </w:r>
    </w:p>
    <w:p>
      <w:pPr>
        <w:spacing w:after="0" w:line="148" w:lineRule="exact"/>
        <w:rPr>
          <w:sz w:val="20"/>
          <w:szCs w:val="20"/>
          <w:color w:val="auto"/>
        </w:rPr>
      </w:pPr>
    </w:p>
    <w:p>
      <w:pPr>
        <w:ind w:left="360" w:right="220" w:hanging="330"/>
        <w:spacing w:after="0" w:line="255" w:lineRule="auto"/>
        <w:tabs>
          <w:tab w:leader="none" w:pos="360" w:val="left"/>
        </w:tabs>
        <w:numPr>
          <w:ilvl w:val="0"/>
          <w:numId w:val="7"/>
        </w:numPr>
        <w:rPr>
          <w:rFonts w:ascii="Arial" w:cs="Arial" w:eastAsia="Arial" w:hAnsi="Arial"/>
          <w:sz w:val="9"/>
          <w:szCs w:val="9"/>
          <w:color w:val="auto"/>
        </w:rPr>
      </w:pPr>
      <w:r>
        <w:rPr>
          <w:rFonts w:ascii="Arial" w:cs="Arial" w:eastAsia="Arial" w:hAnsi="Arial"/>
          <w:sz w:val="13"/>
          <w:szCs w:val="13"/>
          <w:color w:val="auto"/>
        </w:rPr>
        <w:t>Currency impact is measured as the increase or decrease in adjusted revenue for the current period by applying prior period foreign currency exchange rates to present a constant currency comparison to prior periods.</w:t>
      </w:r>
    </w:p>
    <w:p>
      <w:pPr>
        <w:spacing w:after="0" w:line="47" w:lineRule="exact"/>
        <w:rPr>
          <w:sz w:val="20"/>
          <w:szCs w:val="20"/>
          <w:color w:val="auto"/>
        </w:rPr>
      </w:pPr>
    </w:p>
    <w:p>
      <w:pPr>
        <w:ind w:left="360" w:right="100" w:hanging="330"/>
        <w:spacing w:after="0" w:line="229" w:lineRule="auto"/>
        <w:tabs>
          <w:tab w:leader="none" w:pos="36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Internal revenue growth is measured as the increase in adjusted revenue (see pages 3-7 of Exhibit 99.1) for the current period excluding the impact of foreign currency fluctuations and revenue attributable to acquisitions (except for revenue attributable to First Data which is presented on a combined company basis) and dispositions, divided by adjusted revenue from the prior period excluding revenue attributable to dispositions. Revenue attributable to dispositions includes transition services revenue.</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sectPr>
      <w:pgSz w:w="11900" w:h="16838" w:orient="portrait"/>
      <w:cols w:equalWidth="0" w:num="1">
        <w:col w:w="11000"/>
      </w:cols>
      <w:pgMar w:left="460" w:top="49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2020-04-01T15:35:34Z</dcterms:created>
  <dcterms:modified xsi:type="dcterms:W3CDTF">2020-04-01T15:35:34Z</dcterms:modified>
</cp:coreProperties>
</file>