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Checkfree Corporation</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162813109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2005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63"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ectPr>
          <w:pgSz w:w="11900" w:h="17038" w:orient="portrait"/>
          <w:cols w:equalWidth="0" w:num="1">
            <w:col w:w="10219"/>
          </w:cols>
          <w:pgMar w:left="240" w:top="447"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1,655,620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 OWNED BY</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2,059,420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ind w:left="1800" w:hanging="423"/>
        <w:spacing w:after="0" w:line="238"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2,059,420</w:t>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219"/>
          </w:cols>
          <w:pgMar w:left="240" w:top="34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162813109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344"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Checkfree Corporation</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4411 East Jones Bridge Road</w:t>
      </w:r>
    </w:p>
    <w:p>
      <w:pPr>
        <w:ind w:left="740"/>
        <w:spacing w:after="0"/>
        <w:rPr>
          <w:sz w:val="20"/>
          <w:szCs w:val="20"/>
          <w:color w:val="auto"/>
        </w:rPr>
      </w:pPr>
      <w:r>
        <w:rPr>
          <w:rFonts w:ascii="Courier New" w:cs="Courier New" w:eastAsia="Courier New" w:hAnsi="Courier New"/>
          <w:sz w:val="18"/>
          <w:szCs w:val="18"/>
          <w:color w:val="auto"/>
        </w:rPr>
        <w:t>Norcross, GA 30092</w:t>
      </w:r>
    </w:p>
    <w:p>
      <w:pPr>
        <w:sectPr>
          <w:pgSz w:w="11900" w:h="16838" w:orient="portrait"/>
          <w:cols w:equalWidth="0" w:num="1">
            <w:col w:w="10219"/>
          </w:cols>
          <w:pgMar w:left="240" w:top="344" w:right="1440" w:bottom="0" w:gutter="0" w:footer="0" w:header="0"/>
          <w:type w:val="continuous"/>
        </w:sectPr>
      </w:pP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Group International,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ectPr>
          <w:pgSz w:w="11900" w:h="16838" w:orient="portrait"/>
          <w:cols w:equalWidth="0" w:num="1">
            <w:col w:w="10219"/>
          </w:cols>
          <w:pgMar w:left="240" w:top="344" w:right="1440" w:bottom="0" w:gutter="0" w:footer="0" w:header="0"/>
          <w:type w:val="continuous"/>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162813109</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jc w:val="both"/>
        <w:ind w:left="1280" w:right="3039" w:hanging="535"/>
        <w:spacing w:after="0" w:line="268" w:lineRule="auto"/>
        <w:tabs>
          <w:tab w:leader="none" w:pos="159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company registered under section 8 of the Investment Company Act of 1940 (15 U.S.C. 80a-8).</w:t>
      </w:r>
    </w:p>
    <w:p>
      <w:pPr>
        <w:ind w:left="1280" w:right="3039" w:hanging="535"/>
        <w:spacing w:after="0" w:line="235" w:lineRule="auto"/>
        <w:tabs>
          <w:tab w:leader="none" w:pos="159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939"/>
        <w:spacing w:after="0" w:line="269" w:lineRule="auto"/>
        <w:rPr>
          <w:sz w:val="20"/>
          <w:szCs w:val="20"/>
          <w:color w:val="auto"/>
        </w:rPr>
      </w:pPr>
      <w:r>
        <w:rPr>
          <w:rFonts w:ascii="Courier New" w:cs="Courier New" w:eastAsia="Courier New" w:hAnsi="Courier New"/>
          <w:sz w:val="16"/>
          <w:szCs w:val="16"/>
          <w:color w:val="auto"/>
        </w:rPr>
        <w:t>Capital Group International, Inc. ("CGII")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CGII does not have investment power or voting power over any of the securities reported herein. However, by virtue of Rule 13d-3 under the Act, CGII may be deemed to "beneficially own" 2,059,420 shares or 2.3% of the 90,670,000 shares of Class A Common Stock believed to be outstanding.</w:t>
      </w:r>
    </w:p>
    <w:p>
      <w:pPr>
        <w:spacing w:after="0" w:line="39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9" w:lineRule="exact"/>
        <w:rPr>
          <w:sz w:val="20"/>
          <w:szCs w:val="20"/>
          <w:color w:val="auto"/>
        </w:rPr>
      </w:pPr>
    </w:p>
    <w:p>
      <w:pPr>
        <w:ind w:left="1060" w:right="2739" w:hanging="315"/>
        <w:spacing w:after="0" w:line="237"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an investment adviser registered under Section 203 of the Investment Adviser Act of 1940, and a wholly owned subsidiary of Capital Group International, Inc.</w:t>
      </w:r>
    </w:p>
    <w:p>
      <w:pPr>
        <w:spacing w:after="0" w:line="208" w:lineRule="exact"/>
        <w:rPr>
          <w:rFonts w:ascii="Courier New" w:cs="Courier New" w:eastAsia="Courier New" w:hAnsi="Courier New"/>
          <w:sz w:val="18"/>
          <w:szCs w:val="18"/>
          <w:color w:val="auto"/>
        </w:rPr>
      </w:pPr>
    </w:p>
    <w:p>
      <w:pPr>
        <w:ind w:left="1060" w:right="2739" w:hanging="315"/>
        <w:spacing w:after="0" w:line="271"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w:t>
      </w:r>
    </w:p>
    <w:p>
      <w:pPr>
        <w:spacing w:after="0" w:line="187" w:lineRule="exact"/>
        <w:rPr>
          <w:rFonts w:ascii="Courier New" w:cs="Courier New" w:eastAsia="Courier New" w:hAnsi="Courier New"/>
          <w:sz w:val="16"/>
          <w:szCs w:val="16"/>
          <w:color w:val="auto"/>
        </w:rPr>
      </w:pPr>
    </w:p>
    <w:p>
      <w:pPr>
        <w:ind w:left="1060" w:right="2939" w:hanging="315"/>
        <w:spacing w:after="0" w:line="279"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International Research and Management, Inc. dba Capital International, Inc. is an investment adviser registered under Section 203 of the Investment Advisers Act</w:t>
      </w:r>
    </w:p>
    <w:p>
      <w:pPr>
        <w:sectPr>
          <w:pgSz w:w="11900" w:h="16838" w:orient="portrait"/>
          <w:cols w:equalWidth="0" w:num="1">
            <w:col w:w="10219"/>
          </w:cols>
          <w:pgMar w:left="240" w:top="136" w:right="1440" w:bottom="0" w:gutter="0" w:footer="0" w:header="0"/>
        </w:sectPr>
      </w:pPr>
    </w:p>
    <w:bookmarkStart w:id="3" w:name="page4"/>
    <w:bookmarkEnd w:id="3"/>
    <w:p>
      <w:pPr>
        <w:ind w:left="1060" w:right="3159"/>
        <w:spacing w:after="0" w:line="235" w:lineRule="auto"/>
        <w:rPr>
          <w:sz w:val="20"/>
          <w:szCs w:val="20"/>
          <w:color w:val="auto"/>
        </w:rPr>
      </w:pPr>
      <w:r>
        <w:rPr>
          <w:rFonts w:ascii="Courier New" w:cs="Courier New" w:eastAsia="Courier New" w:hAnsi="Courier New"/>
          <w:sz w:val="18"/>
          <w:szCs w:val="18"/>
          <w:color w:val="auto"/>
        </w:rPr>
        <w:t>of 1940 and is a wholly owned subsidiary of Capital Group International, Inc.</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9"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3, 2006</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ind w:left="8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ind w:left="2440"/>
        <w:spacing w:after="0"/>
        <w:rPr>
          <w:sz w:val="20"/>
          <w:szCs w:val="20"/>
          <w:color w:val="auto"/>
        </w:rPr>
      </w:pPr>
      <w:r>
        <w:rPr>
          <w:rFonts w:ascii="Courier New" w:cs="Courier New" w:eastAsia="Courier New" w:hAnsi="Courier New"/>
          <w:sz w:val="18"/>
          <w:szCs w:val="18"/>
          <w:color w:val="auto"/>
        </w:rPr>
        <w:t>Capital Group International, Inc.</w:t>
      </w:r>
    </w:p>
    <w:p>
      <w:pPr>
        <w:sectPr>
          <w:pgSz w:w="11900" w:h="16838" w:orient="portrait"/>
          <w:cols w:equalWidth="0" w:num="1">
            <w:col w:w="10219"/>
          </w:cols>
          <w:pgMar w:left="240" w:top="142" w:right="1440" w:bottom="5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Kristine Nishiyama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Kristine Nishiyama</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42" w:right="1440" w:bottom="537" w:gutter="0" w:footer="0" w:header="0"/>
          <w:type w:val="continuous"/>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30, 2003 included as an Exhibit to Schedule 13G filed with the Securities and Exchange Commission by Capital Group International, Inc. on February 10, 2003 with respect to Acclaim Entertainment Inc</w:t>
      </w:r>
    </w:p>
    <w:p>
      <w:pPr>
        <w:sectPr>
          <w:pgSz w:w="11900" w:h="16838" w:orient="portrait"/>
          <w:cols w:equalWidth="0" w:num="1">
            <w:col w:w="10219"/>
          </w:cols>
          <w:pgMar w:left="240" w:top="142" w:right="1440" w:bottom="53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162813109</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42" w:right="1440" w:bottom="5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5"/>
      <w:numFmt w:val="bullet"/>
      <w:start w:val="1"/>
    </w:lvl>
  </w:abstractNum>
  <w:abstractNum w:abstractNumId="6">
    <w:nsid w:val="216231B"/>
    <w:multiLevelType w:val="hybridMultilevel"/>
    <w:lvl w:ilvl="0">
      <w:lvlJc w:val="left"/>
      <w:lvlText w:val="8"/>
      <w:numFmt w:val="bullet"/>
      <w:start w:val="1"/>
    </w:lvl>
  </w:abstractNum>
  <w:abstractNum w:abstractNumId="7">
    <w:nsid w:val="1F16E9E8"/>
    <w:multiLevelType w:val="hybridMultilevel"/>
    <w:lvl w:ilvl="0">
      <w:lvlJc w:val="left"/>
      <w:lvlText w:val="9"/>
      <w:numFmt w:val="bullet"/>
      <w:start w:val="1"/>
    </w:lvl>
  </w:abstractNum>
  <w:abstractNum w:abstractNumId="8">
    <w:nsid w:val="1190CDE7"/>
    <w:multiLevelType w:val="hybridMultilevel"/>
    <w:lvl w:ilvl="0">
      <w:lvlJc w:val="left"/>
      <w:lvlText w:val="%1"/>
      <w:numFmt w:val="decimal"/>
      <w:start w:val="10"/>
    </w:lvl>
  </w:abstractNum>
  <w:abstractNum w:abstractNumId="9">
    <w:nsid w:val="66EF438D"/>
    <w:multiLevelType w:val="hybridMultilevel"/>
    <w:lvl w:ilvl="0">
      <w:lvlJc w:val="left"/>
      <w:lvlText w:val="(%1)"/>
      <w:numFmt w:val="lowerLetter"/>
      <w:start w:val="4"/>
    </w:lvl>
  </w:abstractNum>
  <w:abstractNum w:abstractNumId="10">
    <w:nsid w:val="140E0F76"/>
    <w:multiLevelType w:val="hybridMultilevel"/>
    <w:lvl w:ilvl="0">
      <w:lvlJc w:val="left"/>
      <w:lvlText w:val="(%1)"/>
      <w:numFmt w:val="lowerLetter"/>
      <w:start w:val="7"/>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2019-12-14T05:10:36Z</dcterms:created>
  <dcterms:modified xsi:type="dcterms:W3CDTF">2019-12-14T05:10:36Z</dcterms:modified>
</cp:coreProperties>
</file>