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36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368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Chiarello Guy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07/29/2019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51"/>
        <w:spacing w:after="0"/>
        <w:rPr>
          <w:sz w:val="20"/>
          <w:szCs w:val="20"/>
          <w:color w:val="auto"/>
        </w:rPr>
      </w:pPr>
      <w:r>
        <w:rPr>
          <w:rFonts w:ascii="Arial" w:cs="Arial" w:eastAsia="Arial" w:hAnsi="Arial"/>
          <w:sz w:val="17"/>
          <w:szCs w:val="17"/>
          <w:color w:val="0000FF"/>
        </w:rPr>
        <w:t>Chief Administrative Officer</w:t>
      </w:r>
    </w:p>
    <w:p>
      <w:pPr>
        <w:spacing w:after="0" w:line="324" w:lineRule="exact"/>
        <w:rPr>
          <w:sz w:val="24"/>
          <w:szCs w:val="24"/>
          <w:color w:val="auto"/>
        </w:rPr>
      </w:pPr>
    </w:p>
    <w:p>
      <w:pPr>
        <w:sectPr>
          <w:pgSz w:w="11900" w:h="16838" w:orient="portrait"/>
          <w:cols w:equalWidth="0" w:num="3">
            <w:col w:w="3340" w:space="720"/>
            <w:col w:w="3269" w:space="720"/>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BROOKFIELD</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5"/>
          </w:tcPr>
          <w:p>
            <w:pPr>
              <w:ind w:left="8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380" w:type="dxa"/>
            <w:vAlign w:val="bottom"/>
            <w:gridSpan w:val="2"/>
          </w:tcPr>
          <w:p>
            <w:pPr>
              <w:jc w:val="right"/>
              <w:spacing w:after="0" w:line="130" w:lineRule="exact"/>
              <w:rPr>
                <w:sz w:val="20"/>
                <w:szCs w:val="20"/>
                <w:color w:val="auto"/>
              </w:rPr>
            </w:pPr>
            <w:r>
              <w:rPr>
                <w:rFonts w:ascii="Arial" w:cs="Arial" w:eastAsia="Arial" w:hAnsi="Arial"/>
                <w:sz w:val="12"/>
                <w:szCs w:val="12"/>
                <w:b w:val="1"/>
                <w:bCs w:val="1"/>
                <w:color w:val="auto"/>
              </w:rPr>
              <w:t>Of (D) (Instr. 3, 4 and 5)</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07/29/2019</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1380" w:type="dxa"/>
            <w:vAlign w:val="bottom"/>
            <w:tcBorders>
              <w:bottom w:val="single" w:sz="8" w:color="2C2C2C"/>
            </w:tcBorders>
            <w:gridSpan w:val="2"/>
          </w:tcPr>
          <w:p>
            <w:pPr>
              <w:jc w:val="center"/>
              <w:ind w:right="157"/>
              <w:spacing w:after="0" w:line="317" w:lineRule="exact"/>
              <w:rPr>
                <w:sz w:val="20"/>
                <w:szCs w:val="20"/>
                <w:color w:val="auto"/>
              </w:rPr>
            </w:pPr>
            <w:r>
              <w:rPr>
                <w:rFonts w:ascii="Arial" w:cs="Arial" w:eastAsia="Arial" w:hAnsi="Arial"/>
                <w:sz w:val="34"/>
                <w:szCs w:val="34"/>
                <w:color w:val="0000FF"/>
                <w:w w:val="82"/>
                <w:vertAlign w:val="subscript"/>
              </w:rPr>
              <w:t>464,030</w:t>
            </w:r>
            <w:r>
              <w:rPr>
                <w:rFonts w:ascii="Arial" w:cs="Arial" w:eastAsia="Arial" w:hAnsi="Arial"/>
                <w:sz w:val="11"/>
                <w:szCs w:val="11"/>
                <w:color w:val="008000"/>
                <w:w w:val="82"/>
              </w:rPr>
              <w:t>(1)(2)(3)(4)</w:t>
            </w:r>
          </w:p>
        </w:tc>
        <w:tc>
          <w:tcPr>
            <w:tcW w:w="2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(1)(2)</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464,030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07/29/2019</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F</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15,737</w:t>
            </w:r>
            <w:r>
              <w:rPr>
                <w:rFonts w:ascii="Arial" w:cs="Arial" w:eastAsia="Arial" w:hAnsi="Arial"/>
                <w:sz w:val="22"/>
                <w:szCs w:val="22"/>
                <w:color w:val="008000"/>
                <w:vertAlign w:val="superscript"/>
              </w:rPr>
              <w:t>(5)</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104.64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448,293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59"/>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Acquired (A)</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 Disposed</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 (Instr.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4 and 5)</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1820" w:type="dxa"/>
            <w:vAlign w:val="bottom"/>
            <w:gridSpan w:val="4"/>
          </w:tcPr>
          <w:p>
            <w:pPr>
              <w:spacing w:after="0"/>
              <w:rPr>
                <w:sz w:val="20"/>
                <w:szCs w:val="20"/>
                <w:color w:val="auto"/>
              </w:rPr>
            </w:pPr>
            <w:r>
              <w:rPr>
                <w:rFonts w:ascii="Arial" w:cs="Arial" w:eastAsia="Arial" w:hAnsi="Arial"/>
                <w:sz w:val="12"/>
                <w:szCs w:val="12"/>
                <w:b w:val="1"/>
                <w:bCs w:val="1"/>
                <w:color w:val="auto"/>
              </w:rPr>
              <w:t>(D)  Exercisable  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1"/>
                <w:szCs w:val="11"/>
                <w:color w:val="008000"/>
              </w:rPr>
              <w:t>(6)</w:t>
            </w:r>
          </w:p>
        </w:tc>
        <w:tc>
          <w:tcPr>
            <w:tcW w:w="9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ind w:right="7"/>
              <w:spacing w:after="0"/>
              <w:rPr>
                <w:sz w:val="20"/>
                <w:szCs w:val="20"/>
                <w:color w:val="auto"/>
              </w:rPr>
            </w:pPr>
            <w:r>
              <w:rPr>
                <w:rFonts w:ascii="Arial" w:cs="Arial" w:eastAsia="Arial" w:hAnsi="Arial"/>
                <w:sz w:val="17"/>
                <w:szCs w:val="17"/>
                <w:color w:val="0000FF"/>
                <w:w w:val="91"/>
              </w:rPr>
              <w:t>479,292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9"/>
              <w:spacing w:after="0"/>
              <w:rPr>
                <w:sz w:val="20"/>
                <w:szCs w:val="20"/>
                <w:color w:val="auto"/>
              </w:rPr>
            </w:pPr>
            <w:r>
              <w:rPr>
                <w:rFonts w:ascii="Arial" w:cs="Arial" w:eastAsia="Arial" w:hAnsi="Arial"/>
                <w:sz w:val="11"/>
                <w:szCs w:val="11"/>
                <w:color w:val="008000"/>
                <w:w w:val="88"/>
              </w:rPr>
              <w:t>(7)</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right"/>
              <w:ind w:right="1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36.54</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07/29/2019</w:t>
            </w:r>
          </w:p>
        </w:tc>
        <w:tc>
          <w:tcPr>
            <w:tcW w:w="1120" w:type="dxa"/>
            <w:vAlign w:val="bottom"/>
          </w:tcPr>
          <w:p>
            <w:pPr>
              <w:spacing w:after="0"/>
              <w:rPr>
                <w:sz w:val="11"/>
                <w:szCs w:val="11"/>
                <w:color w:val="auto"/>
              </w:rPr>
            </w:pPr>
          </w:p>
        </w:tc>
        <w:tc>
          <w:tcPr>
            <w:tcW w:w="44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11"/>
                <w:szCs w:val="11"/>
                <w:color w:val="auto"/>
              </w:rPr>
            </w:pPr>
          </w:p>
        </w:tc>
        <w:tc>
          <w:tcPr>
            <w:tcW w:w="600" w:type="dxa"/>
            <w:vAlign w:val="bottom"/>
          </w:tcPr>
          <w:p>
            <w:pPr>
              <w:jc w:val="center"/>
              <w:ind w:right="38"/>
              <w:spacing w:after="0" w:line="128" w:lineRule="exact"/>
              <w:rPr>
                <w:sz w:val="20"/>
                <w:szCs w:val="20"/>
                <w:color w:val="auto"/>
              </w:rPr>
            </w:pPr>
            <w:r>
              <w:rPr>
                <w:rFonts w:ascii="Arial" w:cs="Arial" w:eastAsia="Arial" w:hAnsi="Arial"/>
                <w:sz w:val="13"/>
                <w:szCs w:val="13"/>
                <w:color w:val="0000FF"/>
                <w:w w:val="89"/>
              </w:rPr>
              <w:t>479,292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tcPr>
          <w:p>
            <w:pPr>
              <w:ind w:left="240"/>
              <w:spacing w:after="0" w:line="128" w:lineRule="exact"/>
              <w:rPr>
                <w:sz w:val="20"/>
                <w:szCs w:val="20"/>
                <w:color w:val="auto"/>
              </w:rPr>
            </w:pPr>
            <w:r>
              <w:rPr>
                <w:rFonts w:ascii="Arial" w:cs="Arial" w:eastAsia="Arial" w:hAnsi="Arial"/>
                <w:sz w:val="13"/>
                <w:szCs w:val="13"/>
                <w:color w:val="0000FF"/>
              </w:rPr>
              <w:t>07/11/2023</w:t>
            </w:r>
          </w:p>
        </w:tc>
        <w:tc>
          <w:tcPr>
            <w:tcW w:w="6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89"/>
              </w:rPr>
              <w:t>479,292</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1"/>
                <w:szCs w:val="11"/>
                <w:color w:val="008000"/>
              </w:rPr>
              <w:t>(6)</w:t>
            </w:r>
          </w:p>
        </w:tc>
        <w:tc>
          <w:tcPr>
            <w:tcW w:w="9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41,937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9"/>
              <w:spacing w:after="0"/>
              <w:rPr>
                <w:sz w:val="20"/>
                <w:szCs w:val="20"/>
                <w:color w:val="auto"/>
              </w:rPr>
            </w:pPr>
            <w:r>
              <w:rPr>
                <w:rFonts w:ascii="Arial" w:cs="Arial" w:eastAsia="Arial" w:hAnsi="Arial"/>
                <w:sz w:val="11"/>
                <w:szCs w:val="11"/>
                <w:color w:val="008000"/>
                <w:w w:val="88"/>
              </w:rPr>
              <w:t>(7)</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41.75</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07/29/2019</w:t>
            </w:r>
          </w:p>
        </w:tc>
        <w:tc>
          <w:tcPr>
            <w:tcW w:w="1120" w:type="dxa"/>
            <w:vAlign w:val="bottom"/>
          </w:tcPr>
          <w:p>
            <w:pPr>
              <w:spacing w:after="0"/>
              <w:rPr>
                <w:sz w:val="5"/>
                <w:szCs w:val="5"/>
                <w:color w:val="auto"/>
              </w:rPr>
            </w:pPr>
          </w:p>
        </w:tc>
        <w:tc>
          <w:tcPr>
            <w:tcW w:w="44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5"/>
                <w:szCs w:val="5"/>
                <w:color w:val="auto"/>
              </w:rPr>
            </w:pPr>
          </w:p>
        </w:tc>
        <w:tc>
          <w:tcPr>
            <w:tcW w:w="600" w:type="dxa"/>
            <w:vAlign w:val="bottom"/>
            <w:vMerge w:val="restart"/>
          </w:tcPr>
          <w:p>
            <w:pPr>
              <w:jc w:val="center"/>
              <w:ind w:right="58"/>
              <w:spacing w:after="0" w:line="146" w:lineRule="exact"/>
              <w:rPr>
                <w:sz w:val="20"/>
                <w:szCs w:val="20"/>
                <w:color w:val="auto"/>
              </w:rPr>
            </w:pPr>
            <w:r>
              <w:rPr>
                <w:rFonts w:ascii="Arial" w:cs="Arial" w:eastAsia="Arial" w:hAnsi="Arial"/>
                <w:sz w:val="13"/>
                <w:szCs w:val="13"/>
                <w:color w:val="0000FF"/>
                <w:w w:val="90"/>
              </w:rPr>
              <w:t>41,937</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rPr>
              <w:t>02/10/2024</w:t>
            </w: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center"/>
              <w:ind w:left="158"/>
              <w:spacing w:after="0" w:line="146" w:lineRule="exact"/>
              <w:rPr>
                <w:sz w:val="20"/>
                <w:szCs w:val="20"/>
                <w:color w:val="auto"/>
              </w:rPr>
            </w:pPr>
            <w:r>
              <w:rPr>
                <w:rFonts w:ascii="Arial" w:cs="Arial" w:eastAsia="Arial" w:hAnsi="Arial"/>
                <w:sz w:val="13"/>
                <w:szCs w:val="13"/>
                <w:color w:val="0000FF"/>
                <w:w w:val="95"/>
              </w:rPr>
              <w:t>41,937</w:t>
            </w:r>
          </w:p>
        </w:tc>
        <w:tc>
          <w:tcPr>
            <w:tcW w:w="28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1"/>
                <w:szCs w:val="11"/>
                <w:color w:val="008000"/>
              </w:rPr>
              <w:t>(6)</w:t>
            </w:r>
          </w:p>
        </w:tc>
        <w:tc>
          <w:tcPr>
            <w:tcW w:w="9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47,929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9"/>
              <w:spacing w:after="0"/>
              <w:rPr>
                <w:sz w:val="20"/>
                <w:szCs w:val="20"/>
                <w:color w:val="auto"/>
              </w:rPr>
            </w:pPr>
            <w:r>
              <w:rPr>
                <w:rFonts w:ascii="Arial" w:cs="Arial" w:eastAsia="Arial" w:hAnsi="Arial"/>
                <w:sz w:val="11"/>
                <w:szCs w:val="11"/>
                <w:color w:val="008000"/>
                <w:w w:val="88"/>
              </w:rPr>
              <w:t>(7)</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46.97</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07/29/2019</w:t>
            </w:r>
          </w:p>
        </w:tc>
        <w:tc>
          <w:tcPr>
            <w:tcW w:w="1120" w:type="dxa"/>
            <w:vAlign w:val="bottom"/>
          </w:tcPr>
          <w:p>
            <w:pPr>
              <w:spacing w:after="0"/>
              <w:rPr>
                <w:sz w:val="5"/>
                <w:szCs w:val="5"/>
                <w:color w:val="auto"/>
              </w:rPr>
            </w:pPr>
          </w:p>
        </w:tc>
        <w:tc>
          <w:tcPr>
            <w:tcW w:w="44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5"/>
                <w:szCs w:val="5"/>
                <w:color w:val="auto"/>
              </w:rPr>
            </w:pPr>
          </w:p>
        </w:tc>
        <w:tc>
          <w:tcPr>
            <w:tcW w:w="600" w:type="dxa"/>
            <w:vAlign w:val="bottom"/>
            <w:vMerge w:val="restart"/>
          </w:tcPr>
          <w:p>
            <w:pPr>
              <w:jc w:val="center"/>
              <w:ind w:right="58"/>
              <w:spacing w:after="0" w:line="146" w:lineRule="exact"/>
              <w:rPr>
                <w:sz w:val="20"/>
                <w:szCs w:val="20"/>
                <w:color w:val="auto"/>
              </w:rPr>
            </w:pPr>
            <w:r>
              <w:rPr>
                <w:rFonts w:ascii="Arial" w:cs="Arial" w:eastAsia="Arial" w:hAnsi="Arial"/>
                <w:sz w:val="13"/>
                <w:szCs w:val="13"/>
                <w:color w:val="0000FF"/>
                <w:w w:val="90"/>
              </w:rPr>
              <w:t>47,929</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rPr>
              <w:t>01/14/2025</w:t>
            </w: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center"/>
              <w:ind w:left="158"/>
              <w:spacing w:after="0" w:line="146" w:lineRule="exact"/>
              <w:rPr>
                <w:sz w:val="20"/>
                <w:szCs w:val="20"/>
                <w:color w:val="auto"/>
              </w:rPr>
            </w:pPr>
            <w:r>
              <w:rPr>
                <w:rFonts w:ascii="Arial" w:cs="Arial" w:eastAsia="Arial" w:hAnsi="Arial"/>
                <w:sz w:val="13"/>
                <w:szCs w:val="13"/>
                <w:color w:val="0000FF"/>
                <w:w w:val="95"/>
              </w:rPr>
              <w:t>47,929</w:t>
            </w:r>
          </w:p>
        </w:tc>
        <w:tc>
          <w:tcPr>
            <w:tcW w:w="28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1"/>
                <w:szCs w:val="11"/>
                <w:color w:val="008000"/>
              </w:rPr>
              <w:t>(8)</w:t>
            </w:r>
          </w:p>
        </w:tc>
        <w:tc>
          <w:tcPr>
            <w:tcW w:w="9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79,882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9"/>
              <w:spacing w:after="0"/>
              <w:rPr>
                <w:sz w:val="20"/>
                <w:szCs w:val="20"/>
                <w:color w:val="auto"/>
              </w:rPr>
            </w:pPr>
            <w:r>
              <w:rPr>
                <w:rFonts w:ascii="Arial" w:cs="Arial" w:eastAsia="Arial" w:hAnsi="Arial"/>
                <w:sz w:val="11"/>
                <w:szCs w:val="11"/>
                <w:color w:val="008000"/>
                <w:w w:val="88"/>
              </w:rPr>
              <w:t>(7)</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52.81</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07/29/2019</w:t>
            </w:r>
          </w:p>
        </w:tc>
        <w:tc>
          <w:tcPr>
            <w:tcW w:w="1120" w:type="dxa"/>
            <w:vAlign w:val="bottom"/>
          </w:tcPr>
          <w:p>
            <w:pPr>
              <w:spacing w:after="0"/>
              <w:rPr>
                <w:sz w:val="5"/>
                <w:szCs w:val="5"/>
                <w:color w:val="auto"/>
              </w:rPr>
            </w:pPr>
          </w:p>
        </w:tc>
        <w:tc>
          <w:tcPr>
            <w:tcW w:w="44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5"/>
                <w:szCs w:val="5"/>
                <w:color w:val="auto"/>
              </w:rPr>
            </w:pPr>
          </w:p>
        </w:tc>
        <w:tc>
          <w:tcPr>
            <w:tcW w:w="600" w:type="dxa"/>
            <w:vAlign w:val="bottom"/>
            <w:vMerge w:val="restart"/>
          </w:tcPr>
          <w:p>
            <w:pPr>
              <w:jc w:val="center"/>
              <w:ind w:right="58"/>
              <w:spacing w:after="0" w:line="146" w:lineRule="exact"/>
              <w:rPr>
                <w:sz w:val="20"/>
                <w:szCs w:val="20"/>
                <w:color w:val="auto"/>
              </w:rPr>
            </w:pPr>
            <w:r>
              <w:rPr>
                <w:rFonts w:ascii="Arial" w:cs="Arial" w:eastAsia="Arial" w:hAnsi="Arial"/>
                <w:sz w:val="13"/>
                <w:szCs w:val="13"/>
                <w:color w:val="0000FF"/>
                <w:w w:val="90"/>
              </w:rPr>
              <w:t>79,882</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rPr>
              <w:t>10/15/2025</w:t>
            </w: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center"/>
              <w:ind w:left="158"/>
              <w:spacing w:after="0" w:line="146" w:lineRule="exact"/>
              <w:rPr>
                <w:sz w:val="20"/>
                <w:szCs w:val="20"/>
                <w:color w:val="auto"/>
              </w:rPr>
            </w:pPr>
            <w:r>
              <w:rPr>
                <w:rFonts w:ascii="Arial" w:cs="Arial" w:eastAsia="Arial" w:hAnsi="Arial"/>
                <w:sz w:val="13"/>
                <w:szCs w:val="13"/>
                <w:color w:val="0000FF"/>
                <w:w w:val="95"/>
              </w:rPr>
              <w:t>79,882</w:t>
            </w:r>
          </w:p>
        </w:tc>
        <w:tc>
          <w:tcPr>
            <w:tcW w:w="28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1"/>
                <w:szCs w:val="11"/>
                <w:color w:val="008000"/>
              </w:rPr>
              <w:t>(9)</w:t>
            </w:r>
          </w:p>
        </w:tc>
        <w:tc>
          <w:tcPr>
            <w:tcW w:w="9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ind w:right="7"/>
              <w:spacing w:after="0"/>
              <w:rPr>
                <w:sz w:val="20"/>
                <w:szCs w:val="20"/>
                <w:color w:val="auto"/>
              </w:rPr>
            </w:pPr>
            <w:r>
              <w:rPr>
                <w:rFonts w:ascii="Arial" w:cs="Arial" w:eastAsia="Arial" w:hAnsi="Arial"/>
                <w:sz w:val="17"/>
                <w:szCs w:val="17"/>
                <w:color w:val="0000FF"/>
                <w:w w:val="91"/>
              </w:rPr>
              <w:t>159,764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9"/>
              <w:spacing w:after="0"/>
              <w:rPr>
                <w:sz w:val="20"/>
                <w:szCs w:val="20"/>
                <w:color w:val="auto"/>
              </w:rPr>
            </w:pPr>
            <w:r>
              <w:rPr>
                <w:rFonts w:ascii="Arial" w:cs="Arial" w:eastAsia="Arial" w:hAnsi="Arial"/>
                <w:sz w:val="11"/>
                <w:szCs w:val="11"/>
                <w:color w:val="008000"/>
                <w:w w:val="88"/>
              </w:rPr>
              <w:t>(7)</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right"/>
              <w:ind w:right="1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52.81</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07/29/2019</w:t>
            </w:r>
          </w:p>
        </w:tc>
        <w:tc>
          <w:tcPr>
            <w:tcW w:w="1120" w:type="dxa"/>
            <w:vAlign w:val="bottom"/>
          </w:tcPr>
          <w:p>
            <w:pPr>
              <w:spacing w:after="0"/>
              <w:rPr>
                <w:sz w:val="11"/>
                <w:szCs w:val="11"/>
                <w:color w:val="auto"/>
              </w:rPr>
            </w:pPr>
          </w:p>
        </w:tc>
        <w:tc>
          <w:tcPr>
            <w:tcW w:w="44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11"/>
                <w:szCs w:val="11"/>
                <w:color w:val="auto"/>
              </w:rPr>
            </w:pPr>
          </w:p>
        </w:tc>
        <w:tc>
          <w:tcPr>
            <w:tcW w:w="600" w:type="dxa"/>
            <w:vAlign w:val="bottom"/>
          </w:tcPr>
          <w:p>
            <w:pPr>
              <w:jc w:val="center"/>
              <w:ind w:right="38"/>
              <w:spacing w:after="0" w:line="128" w:lineRule="exact"/>
              <w:rPr>
                <w:sz w:val="20"/>
                <w:szCs w:val="20"/>
                <w:color w:val="auto"/>
              </w:rPr>
            </w:pPr>
            <w:r>
              <w:rPr>
                <w:rFonts w:ascii="Arial" w:cs="Arial" w:eastAsia="Arial" w:hAnsi="Arial"/>
                <w:sz w:val="13"/>
                <w:szCs w:val="13"/>
                <w:color w:val="0000FF"/>
                <w:w w:val="89"/>
              </w:rPr>
              <w:t>159,764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tcPr>
          <w:p>
            <w:pPr>
              <w:ind w:left="240"/>
              <w:spacing w:after="0" w:line="128" w:lineRule="exact"/>
              <w:rPr>
                <w:sz w:val="20"/>
                <w:szCs w:val="20"/>
                <w:color w:val="auto"/>
              </w:rPr>
            </w:pPr>
            <w:r>
              <w:rPr>
                <w:rFonts w:ascii="Arial" w:cs="Arial" w:eastAsia="Arial" w:hAnsi="Arial"/>
                <w:sz w:val="13"/>
                <w:szCs w:val="13"/>
                <w:color w:val="0000FF"/>
              </w:rPr>
              <w:t>10/15/2025</w:t>
            </w:r>
          </w:p>
        </w:tc>
        <w:tc>
          <w:tcPr>
            <w:tcW w:w="6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89"/>
              </w:rPr>
              <w:t>159,764</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1"/>
                <w:szCs w:val="11"/>
                <w:color w:val="008000"/>
              </w:rPr>
              <w:t>(6)</w:t>
            </w:r>
          </w:p>
        </w:tc>
        <w:tc>
          <w:tcPr>
            <w:tcW w:w="9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61,802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79"/>
              <w:spacing w:after="0"/>
              <w:rPr>
                <w:sz w:val="20"/>
                <w:szCs w:val="20"/>
                <w:color w:val="auto"/>
              </w:rPr>
            </w:pPr>
            <w:r>
              <w:rPr>
                <w:rFonts w:ascii="Arial" w:cs="Arial" w:eastAsia="Arial" w:hAnsi="Arial"/>
                <w:sz w:val="11"/>
                <w:szCs w:val="11"/>
                <w:color w:val="008000"/>
                <w:w w:val="88"/>
              </w:rPr>
              <w:t>(7)</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41.33</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07/29/2019</w:t>
            </w:r>
          </w:p>
        </w:tc>
        <w:tc>
          <w:tcPr>
            <w:tcW w:w="1120" w:type="dxa"/>
            <w:vAlign w:val="bottom"/>
          </w:tcPr>
          <w:p>
            <w:pPr>
              <w:spacing w:after="0"/>
              <w:rPr>
                <w:sz w:val="5"/>
                <w:szCs w:val="5"/>
                <w:color w:val="auto"/>
              </w:rPr>
            </w:pPr>
          </w:p>
        </w:tc>
        <w:tc>
          <w:tcPr>
            <w:tcW w:w="44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440" w:type="dxa"/>
            <w:vAlign w:val="bottom"/>
          </w:tcPr>
          <w:p>
            <w:pPr>
              <w:spacing w:after="0"/>
              <w:rPr>
                <w:sz w:val="5"/>
                <w:szCs w:val="5"/>
                <w:color w:val="auto"/>
              </w:rPr>
            </w:pPr>
          </w:p>
        </w:tc>
        <w:tc>
          <w:tcPr>
            <w:tcW w:w="600" w:type="dxa"/>
            <w:vAlign w:val="bottom"/>
            <w:vMerge w:val="restart"/>
          </w:tcPr>
          <w:p>
            <w:pPr>
              <w:jc w:val="center"/>
              <w:ind w:right="58"/>
              <w:spacing w:after="0" w:line="146" w:lineRule="exact"/>
              <w:rPr>
                <w:sz w:val="20"/>
                <w:szCs w:val="20"/>
                <w:color w:val="auto"/>
              </w:rPr>
            </w:pPr>
            <w:r>
              <w:rPr>
                <w:rFonts w:ascii="Arial" w:cs="Arial" w:eastAsia="Arial" w:hAnsi="Arial"/>
                <w:sz w:val="13"/>
                <w:szCs w:val="13"/>
                <w:color w:val="0000FF"/>
                <w:w w:val="90"/>
              </w:rPr>
              <w:t>61,802</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rPr>
              <w:t>02/24/2026</w:t>
            </w:r>
          </w:p>
        </w:tc>
        <w:tc>
          <w:tcPr>
            <w:tcW w:w="6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center"/>
              <w:ind w:left="158"/>
              <w:spacing w:after="0" w:line="146" w:lineRule="exact"/>
              <w:rPr>
                <w:sz w:val="20"/>
                <w:szCs w:val="20"/>
                <w:color w:val="auto"/>
              </w:rPr>
            </w:pPr>
            <w:r>
              <w:rPr>
                <w:rFonts w:ascii="Arial" w:cs="Arial" w:eastAsia="Arial" w:hAnsi="Arial"/>
                <w:sz w:val="13"/>
                <w:szCs w:val="13"/>
                <w:color w:val="0000FF"/>
                <w:w w:val="95"/>
              </w:rPr>
              <w:t>61,802</w:t>
            </w:r>
          </w:p>
        </w:tc>
        <w:tc>
          <w:tcPr>
            <w:tcW w:w="28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69"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of common stock, par value $0.01, of Fiserv, Inc. (the "Issuer") acquired on July 29, 2019, upon the completion of the merger (the "Merger") of 300 Holdings, Inc., a wholly owned subsidiary of the Issuer, with and into First Data Corporation ("First Data"), pursuant to the Agreement and Plan of Merger, dated as of January 16, 2019 (the "Merger Agreement"). At the effective time of the Merger (the "Effective Time"), each share of First Data Class A common stock and First Data Class B common stock (the "First Data common stock") issued and outstanding immediately prior to the Effective Time (other than certain shares) was converted into the right to receive 0.303 of a share (the "Exchange Ratio") of the Issuer's common stock, with cash payable in lieu of any fractional share of the Issuer's common stock.</w:t>
      </w:r>
    </w:p>
    <w:p>
      <w:pPr>
        <w:spacing w:after="0" w:line="16" w:lineRule="exact"/>
        <w:rPr>
          <w:rFonts w:ascii="Arial" w:cs="Arial" w:eastAsia="Arial" w:hAnsi="Arial"/>
          <w:sz w:val="12"/>
          <w:szCs w:val="12"/>
          <w:color w:val="008000"/>
        </w:rPr>
      </w:pPr>
    </w:p>
    <w:p>
      <w:pPr>
        <w:ind w:left="40" w:right="40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164,556 shares of the Issuer's common stock acquired by the Reporting Person upon the completion of the Merger, (ii) 267,522 restricted stock units of the Issuer subject to time-based vesting, which were converted in the Merger from units denominated in shares of First Data common stock based on the Exchange Ratio (rounded to the nearest whole number), and (iii) 31,952 shares of the Issuer's restricted stock subject to performance-vesting, which were converted in the Merger from awards denominated in shares of First Data common stock based on the Exchange Ratio (rounded to the nearest whole number).</w:t>
      </w:r>
    </w:p>
    <w:p>
      <w:pPr>
        <w:spacing w:after="0" w:line="32" w:lineRule="exact"/>
        <w:rPr>
          <w:rFonts w:ascii="Arial" w:cs="Arial" w:eastAsia="Arial" w:hAnsi="Arial"/>
          <w:sz w:val="13"/>
          <w:szCs w:val="13"/>
          <w:color w:val="008000"/>
        </w:rPr>
      </w:pPr>
    </w:p>
    <w:p>
      <w:pPr>
        <w:ind w:left="40" w:right="24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converted and as applicable, these restricted stock units and shares of restricted stock will generally continue to be governed by the same terms and conditions as were applicable prior to the Effective Time, except that the shares of restricted stock subject to performance-vesting will be eligible to vest upon satisfaction of an adjusted performance condition based on a target price per share of the Issuer's common stock equal to $32.00 divided by the Exchange Ratio, in each case, in accordance with the Merger Agreement.</w:t>
      </w:r>
    </w:p>
    <w:p>
      <w:pPr>
        <w:spacing w:after="0" w:line="29" w:lineRule="exact"/>
        <w:rPr>
          <w:rFonts w:ascii="Arial" w:cs="Arial" w:eastAsia="Arial" w:hAnsi="Arial"/>
          <w:sz w:val="13"/>
          <w:szCs w:val="13"/>
          <w:color w:val="008000"/>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267,522 restricted stock units subject to time-based vesting will vest as follows: 60,600 on August 15, 2019; 41,538 on February 15, 2020; 31,718 on February 20, 2020; 60,600 on August 15, 2020; 52,048 on February 15, 2021; and 21,018 on February 15, 2022.</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by the Issuer to pay tax liability incident to the vesting of First Data restricted stock in the Merger and receipt of shares of the Issuer's common stock in the Merger.</w:t>
      </w:r>
    </w:p>
    <w:p>
      <w:pPr>
        <w:sectPr>
          <w:pgSz w:w="11900" w:h="16838" w:orient="portrait"/>
          <w:cols w:equalWidth="0" w:num="1">
            <w:col w:w="11520"/>
          </w:cols>
          <w:pgMar w:left="240" w:top="224" w:right="139" w:bottom="0" w:gutter="0" w:footer="0" w:header="0"/>
          <w:type w:val="continuous"/>
        </w:sectPr>
      </w:pPr>
    </w:p>
    <w:bookmarkStart w:id="1" w:name="page2"/>
    <w:bookmarkEnd w:id="1"/>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stock options are fully vested and exercisable.</w:t>
      </w:r>
    </w:p>
    <w:p>
      <w:pPr>
        <w:spacing w:after="0" w:line="48" w:lineRule="exact"/>
        <w:rPr>
          <w:rFonts w:ascii="Arial" w:cs="Arial" w:eastAsia="Arial" w:hAnsi="Arial"/>
          <w:sz w:val="13"/>
          <w:szCs w:val="13"/>
          <w:color w:val="008000"/>
        </w:rPr>
      </w:pPr>
    </w:p>
    <w:p>
      <w:pPr>
        <w:jc w:val="both"/>
        <w:ind w:firstLine="6"/>
        <w:spacing w:after="0" w:line="269" w:lineRule="auto"/>
        <w:tabs>
          <w:tab w:leader="none" w:pos="132"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Merger Agreement and immediately after the Effective Time, each First Data stock option was converted into a stock option to purchase a number of shares of the Issuer's common stock equal to the product (rounded down to the nearest whole number) of (a) the number of shares of First Data common stock subject to such option and (b) the Exchange Ratio, at an exercise price per share (rounded up to the nearest whole cent) equal to (i) the exercise price per share of such First Data stock option divided by (ii) the Exchange Ratio. As converted, the stock options will generally continue to be governed by the same terms and conditions as were applicable prior to the Effective Time, except that certain of the stock options will be eligible to vest upon satisfaction of an adjusted performance condition.</w:t>
      </w:r>
    </w:p>
    <w:p>
      <w:pPr>
        <w:spacing w:after="0" w:line="16" w:lineRule="exact"/>
        <w:rPr>
          <w:rFonts w:ascii="Arial" w:cs="Arial" w:eastAsia="Arial" w:hAnsi="Arial"/>
          <w:sz w:val="12"/>
          <w:szCs w:val="12"/>
          <w:color w:val="008000"/>
        </w:rPr>
      </w:pPr>
    </w:p>
    <w:p>
      <w:pPr>
        <w:ind w:right="28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stock options will become vested and exercisable upon satisfaction of an adjusted performance condition based on a target price per share of the Issuer's common stock equal to $32.00 divided by the Exchange Ratio, in accordance with the Merger Agreement.</w:t>
      </w:r>
    </w:p>
    <w:p>
      <w:pPr>
        <w:spacing w:after="0" w:line="21" w:lineRule="exact"/>
        <w:rPr>
          <w:rFonts w:ascii="Arial" w:cs="Arial" w:eastAsia="Arial" w:hAnsi="Arial"/>
          <w:sz w:val="13"/>
          <w:szCs w:val="13"/>
          <w:color w:val="008000"/>
        </w:rPr>
      </w:pPr>
    </w:p>
    <w:p>
      <w:pPr>
        <w:ind w:right="20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Of these stock options, (i) half became vested and exercisable pursuant to their terms in equal portions on each of December 31, 2017 and 2018, and (ii) the remaining half, which would have vested in equal portions on each of December 31, 2019 and 2020, was subject to accelerated vesting and became immediately vested and exercisable upon completion of the Merger.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820"/>
        <w:spacing w:after="0" w:line="227"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4"/>
          <w:szCs w:val="34"/>
          <w:color w:val="0000FF"/>
          <w:vertAlign w:val="subscript"/>
        </w:rPr>
        <w:t>07/31/2019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-27305</wp:posOffset>
            </wp:positionV>
            <wp:extent cx="1398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-17780</wp:posOffset>
            </wp:positionV>
            <wp:extent cx="321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131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20" w:firstLine="6"/>
        <w:spacing w:after="0" w:line="316"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2019-12-24T04:36:22Z</dcterms:created>
  <dcterms:modified xsi:type="dcterms:W3CDTF">2019-12-24T04:36:22Z</dcterms:modified>
</cp:coreProperties>
</file>