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tbl>
      <w:tblPr>
        <w:tblLayout w:type="fixed"/>
        <w:tblInd w:w="100" w:type="dxa"/>
        <w:tblCellMar>
          <w:top w:w="0" w:type="dxa"/>
          <w:left w:w="0" w:type="dxa"/>
          <w:bottom w:w="0" w:type="dxa"/>
          <w:right w:w="0" w:type="dxa"/>
        </w:tblCellMar>
      </w:tblPr>
      <w:tr>
        <w:trPr>
          <w:trHeight w:val="296"/>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FORM 8-K</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CURRENT REPORT</w:t>
            </w:r>
          </w:p>
        </w:tc>
        <w:tc>
          <w:tcPr>
            <w:tcW w:w="26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PURSUANT TO SECTION 13 OR 15(d)</w:t>
            </w:r>
          </w:p>
        </w:tc>
        <w:tc>
          <w:tcPr>
            <w:tcW w:w="2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4"/>
                <w:szCs w:val="24"/>
                <w:color w:val="auto"/>
              </w:rPr>
            </w:pPr>
          </w:p>
        </w:tc>
        <w:tc>
          <w:tcPr>
            <w:tcW w:w="6120" w:type="dxa"/>
            <w:vAlign w:val="bottom"/>
            <w:gridSpan w:val="2"/>
          </w:tcPr>
          <w:p>
            <w:pPr>
              <w:jc w:val="center"/>
              <w:ind w:right="2132"/>
              <w:spacing w:after="0"/>
              <w:rPr>
                <w:sz w:val="20"/>
                <w:szCs w:val="20"/>
                <w:color w:val="auto"/>
              </w:rPr>
            </w:pPr>
            <w:r>
              <w:rPr>
                <w:rFonts w:ascii="Courier New" w:cs="Courier New" w:eastAsia="Courier New" w:hAnsi="Courier New"/>
                <w:sz w:val="18"/>
                <w:szCs w:val="18"/>
                <w:color w:val="auto"/>
                <w:w w:val="97"/>
              </w:rPr>
              <w:t>THE SECURITIES EXCHANGE ACT OF 1934</w:t>
            </w: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DATE OF REPORT: MAY 24, 1999</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800" w:type="dxa"/>
            <w:vAlign w:val="bottom"/>
          </w:tcPr>
          <w:p>
            <w:pPr>
              <w:spacing w:after="0"/>
              <w:rPr>
                <w:sz w:val="24"/>
                <w:szCs w:val="24"/>
                <w:color w:val="auto"/>
              </w:rPr>
            </w:pPr>
          </w:p>
        </w:tc>
        <w:tc>
          <w:tcPr>
            <w:tcW w:w="6120" w:type="dxa"/>
            <w:vAlign w:val="bottom"/>
            <w:gridSpan w:val="2"/>
          </w:tcPr>
          <w:p>
            <w:pPr>
              <w:jc w:val="center"/>
              <w:ind w:right="2032"/>
              <w:spacing w:after="0"/>
              <w:rPr>
                <w:sz w:val="20"/>
                <w:szCs w:val="20"/>
                <w:color w:val="auto"/>
              </w:rPr>
            </w:pPr>
            <w:r>
              <w:rPr>
                <w:rFonts w:ascii="Courier New" w:cs="Courier New" w:eastAsia="Courier New" w:hAnsi="Courier New"/>
                <w:sz w:val="18"/>
                <w:szCs w:val="18"/>
                <w:color w:val="auto"/>
                <w:w w:val="97"/>
              </w:rPr>
              <w:t>CHECKFREE HOLDINGS CORPORATION</w:t>
            </w:r>
          </w:p>
        </w:tc>
        <w:tc>
          <w:tcPr>
            <w:tcW w:w="0" w:type="dxa"/>
            <w:vAlign w:val="bottom"/>
          </w:tcPr>
          <w:p>
            <w:pPr>
              <w:spacing w:after="0"/>
              <w:rPr>
                <w:sz w:val="1"/>
                <w:szCs w:val="1"/>
                <w:color w:val="auto"/>
              </w:rPr>
            </w:pPr>
          </w:p>
        </w:tc>
      </w:tr>
      <w:tr>
        <w:trPr>
          <w:trHeight w:val="296"/>
        </w:trPr>
        <w:tc>
          <w:tcPr>
            <w:tcW w:w="5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(EXACT NAME OF REGISTRANT AS SPECIFIED IN</w:t>
            </w:r>
          </w:p>
        </w:tc>
        <w:tc>
          <w:tcPr>
            <w:tcW w:w="2600" w:type="dxa"/>
            <w:vAlign w:val="bottom"/>
          </w:tcPr>
          <w:p>
            <w:pPr>
              <w:ind w:left="60"/>
              <w:spacing w:after="0"/>
              <w:rPr>
                <w:sz w:val="20"/>
                <w:szCs w:val="20"/>
                <w:color w:val="auto"/>
              </w:rPr>
            </w:pPr>
            <w:r>
              <w:rPr>
                <w:rFonts w:ascii="Courier New" w:cs="Courier New" w:eastAsia="Courier New" w:hAnsi="Courier New"/>
                <w:sz w:val="18"/>
                <w:szCs w:val="18"/>
                <w:color w:val="auto"/>
              </w:rPr>
              <w:t>ITS CHARTER)</w:t>
            </w: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800" w:type="dxa"/>
            <w:vAlign w:val="bottom"/>
          </w:tcPr>
          <w:p>
            <w:pPr>
              <w:ind w:left="440"/>
              <w:spacing w:after="0"/>
              <w:rPr>
                <w:sz w:val="20"/>
                <w:szCs w:val="20"/>
                <w:color w:val="auto"/>
              </w:rPr>
            </w:pPr>
            <w:r>
              <w:rPr>
                <w:rFonts w:ascii="Courier New" w:cs="Courier New" w:eastAsia="Courier New" w:hAnsi="Courier New"/>
                <w:sz w:val="18"/>
                <w:szCs w:val="18"/>
                <w:color w:val="auto"/>
              </w:rPr>
              <w:t>Delaware</w:t>
            </w:r>
          </w:p>
        </w:tc>
        <w:tc>
          <w:tcPr>
            <w:tcW w:w="3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0-26802</w:t>
            </w:r>
          </w:p>
        </w:tc>
        <w:tc>
          <w:tcPr>
            <w:tcW w:w="260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58-2360335</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23"/>
                <w:szCs w:val="23"/>
                <w:color w:val="auto"/>
                <w:w w:val="72"/>
                <w:vertAlign w:val="subscript"/>
              </w:rPr>
              <w:t>(STATE</w:t>
            </w:r>
            <w:r>
              <w:rPr>
                <w:rFonts w:ascii="Courier New" w:cs="Courier New" w:eastAsia="Courier New" w:hAnsi="Courier New"/>
                <w:sz w:val="13"/>
                <w:szCs w:val="13"/>
                <w:color w:val="auto"/>
                <w:w w:val="72"/>
              </w:rPr>
              <w:t>----------------</w:t>
            </w:r>
            <w:r>
              <w:rPr>
                <w:rFonts w:ascii="Courier New" w:cs="Courier New" w:eastAsia="Courier New" w:hAnsi="Courier New"/>
                <w:sz w:val="23"/>
                <w:szCs w:val="23"/>
                <w:color w:val="auto"/>
                <w:w w:val="72"/>
                <w:vertAlign w:val="subscript"/>
              </w:rPr>
              <w:t>OROTHER</w:t>
            </w:r>
          </w:p>
        </w:tc>
        <w:tc>
          <w:tcPr>
            <w:tcW w:w="35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35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(COMMISSION FILE NO.)</w:t>
            </w:r>
          </w:p>
        </w:tc>
        <w:tc>
          <w:tcPr>
            <w:tcW w:w="2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3520" w:type="dxa"/>
            <w:vAlign w:val="bottom"/>
          </w:tcPr>
          <w:p>
            <w:pPr>
              <w:spacing w:after="0"/>
              <w:rPr>
                <w:sz w:val="17"/>
                <w:szCs w:val="17"/>
                <w:color w:val="auto"/>
              </w:rPr>
            </w:pP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NUMBER)</w:t>
            </w: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w:t>
            </w:r>
          </w:p>
        </w:tc>
        <w:tc>
          <w:tcPr>
            <w:tcW w:w="3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0"/>
                <w:szCs w:val="20"/>
                <w:color w:val="auto"/>
              </w:rPr>
            </w:pPr>
            <w:r>
              <w:rPr>
                <w:rFonts w:ascii="Courier New" w:cs="Courier New" w:eastAsia="Courier New" w:hAnsi="Courier New"/>
                <w:sz w:val="18"/>
                <w:szCs w:val="18"/>
                <w:color w:val="auto"/>
              </w:rPr>
              <w:t>ORGANIZATION)</w:t>
            </w:r>
          </w:p>
        </w:tc>
        <w:tc>
          <w:tcPr>
            <w:tcW w:w="3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4"/>
                <w:szCs w:val="24"/>
                <w:color w:val="auto"/>
              </w:rPr>
            </w:pPr>
          </w:p>
        </w:tc>
        <w:tc>
          <w:tcPr>
            <w:tcW w:w="3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4411 East Jones Bridge Road</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Norcross, Georgia 30092</w:t>
      </w:r>
    </w:p>
    <w:p>
      <w:pPr>
        <w:ind w:left="3160"/>
        <w:spacing w:after="0" w:line="238" w:lineRule="auto"/>
        <w:rPr>
          <w:sz w:val="20"/>
          <w:szCs w:val="20"/>
          <w:color w:val="auto"/>
        </w:rPr>
      </w:pPr>
      <w:r>
        <w:rPr>
          <w:rFonts w:ascii="Courier New" w:cs="Courier New" w:eastAsia="Courier New" w:hAnsi="Courier New"/>
          <w:sz w:val="18"/>
          <w:szCs w:val="18"/>
          <w:color w:val="auto"/>
        </w:rPr>
        <w:t>(678) 375-3387</w:t>
      </w:r>
    </w:p>
    <w:p>
      <w:pPr>
        <w:ind w:left="1260"/>
        <w:spacing w:after="0"/>
        <w:rPr>
          <w:sz w:val="20"/>
          <w:szCs w:val="20"/>
          <w:color w:val="auto"/>
        </w:rPr>
      </w:pPr>
      <w:r>
        <w:rPr>
          <w:rFonts w:ascii="Courier New" w:cs="Courier New" w:eastAsia="Courier New" w:hAnsi="Courier New"/>
          <w:sz w:val="18"/>
          <w:szCs w:val="18"/>
          <w:color w:val="auto"/>
        </w:rPr>
        <w:t>(ADDRESS, INCLUDING ZIP CODE, AND TELEPHONE NUMBER</w:t>
      </w:r>
    </w:p>
    <w:p>
      <w:pPr>
        <w:ind w:left="2000"/>
        <w:spacing w:after="0" w:line="238" w:lineRule="auto"/>
        <w:rPr>
          <w:sz w:val="20"/>
          <w:szCs w:val="20"/>
          <w:color w:val="auto"/>
        </w:rPr>
      </w:pPr>
      <w:r>
        <w:rPr>
          <w:rFonts w:ascii="Courier New" w:cs="Courier New" w:eastAsia="Courier New" w:hAnsi="Courier New"/>
          <w:sz w:val="18"/>
          <w:szCs w:val="18"/>
          <w:color w:val="auto"/>
        </w:rPr>
        <w:t>INCLUDING AREA CODE OF REGISTRANT'S</w:t>
      </w:r>
    </w:p>
    <w:p>
      <w:pPr>
        <w:ind w:left="2420"/>
        <w:spacing w:after="0"/>
        <w:rPr>
          <w:sz w:val="20"/>
          <w:szCs w:val="20"/>
          <w:color w:val="auto"/>
        </w:rPr>
      </w:pPr>
      <w:r>
        <w:rPr>
          <w:rFonts w:ascii="Courier New" w:cs="Courier New" w:eastAsia="Courier New" w:hAnsi="Courier New"/>
          <w:sz w:val="18"/>
          <w:szCs w:val="18"/>
          <w:color w:val="auto"/>
        </w:rPr>
        <w:t>PRINCIPAL EXECUTIVE OFFICES)</w:t>
      </w:r>
    </w:p>
    <w:p>
      <w:pPr>
        <w:spacing w:after="0" w:line="169"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9899"/>
          </w:cols>
          <w:pgMar w:left="56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On May 24, 1999, CheckFree Holdings Corporation, a Delaware corporation ("CheckFree"), and Intuit Inc. ("Intuit") announced that they have reached an amicable resolution of the issues that led to Intuit's lawsuit filed in March 1999 and the subsequent arbitration proceedings. The specific terms of the settlement were not disclosed.</w:t>
      </w:r>
    </w:p>
    <w:p>
      <w:pPr>
        <w:spacing w:after="0" w:line="90"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CheckFree's press release issued May 24, 1999 regarding the Settlement Agreement is attached as an exhibit to this report and is incorporated herein by reference.</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285" w:right="1440" w:bottom="1440" w:gutter="0" w:footer="0" w:header="0"/>
        </w:sectPr>
      </w:pP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4660" w:space="720"/>
            <w:col w:w="4839"/>
          </w:cols>
          <w:pgMar w:left="240" w:top="285"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Press release of CheckFree Holdings Corporation issued May 24, 1999, regarding the Settlement Agreement.</w:t>
      </w:r>
    </w:p>
    <w:p>
      <w:pPr>
        <w:spacing w:after="0" w:line="66" w:lineRule="exact"/>
        <w:rPr>
          <w:sz w:val="20"/>
          <w:szCs w:val="20"/>
          <w:color w:val="auto"/>
        </w:rPr>
      </w:pPr>
    </w:p>
    <w:p>
      <w:pPr>
        <w:sectPr>
          <w:pgSz w:w="11900" w:h="16838" w:orient="portrait"/>
          <w:cols w:equalWidth="0" w:num="2">
            <w:col w:w="2980" w:space="720"/>
            <w:col w:w="6519"/>
          </w:cols>
          <w:pgMar w:left="240" w:top="285" w:right="1440" w:bottom="1440" w:gutter="0" w:footer="0" w:header="0"/>
          <w:type w:val="continuous"/>
        </w:sectPr>
      </w:pPr>
    </w:p>
    <w:p>
      <w:pPr>
        <w:ind w:left="412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28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CHECKFREE HOLDINGS CORPORATION</w:t>
      </w:r>
    </w:p>
    <w:p>
      <w:pPr>
        <w:sectPr>
          <w:pgSz w:w="11900" w:h="16838" w:orient="portrait"/>
          <w:cols w:equalWidth="0" w:num="1">
            <w:col w:w="10219"/>
          </w:cols>
          <w:pgMar w:left="240" w:top="285"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24, 1999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Allen L. Shulman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Allen L. Shulman, Executive</w:t>
      </w:r>
    </w:p>
    <w:p>
      <w:pPr>
        <w:ind w:left="320"/>
        <w:spacing w:after="0" w:line="238" w:lineRule="auto"/>
        <w:rPr>
          <w:sz w:val="20"/>
          <w:szCs w:val="20"/>
          <w:color w:val="auto"/>
        </w:rPr>
      </w:pPr>
      <w:r>
        <w:rPr>
          <w:rFonts w:ascii="Courier New" w:cs="Courier New" w:eastAsia="Courier New" w:hAnsi="Courier New"/>
          <w:sz w:val="18"/>
          <w:szCs w:val="18"/>
          <w:color w:val="auto"/>
        </w:rPr>
        <w:t>Vice President, Chief Financial</w:t>
      </w:r>
    </w:p>
    <w:p>
      <w:pPr>
        <w:ind w:left="320"/>
        <w:spacing w:after="0"/>
        <w:rPr>
          <w:sz w:val="20"/>
          <w:szCs w:val="20"/>
          <w:color w:val="auto"/>
        </w:rPr>
      </w:pPr>
      <w:r>
        <w:rPr>
          <w:rFonts w:ascii="Courier New" w:cs="Courier New" w:eastAsia="Courier New" w:hAnsi="Courier New"/>
          <w:sz w:val="18"/>
          <w:szCs w:val="18"/>
          <w:color w:val="auto"/>
        </w:rPr>
        <w:t>Officer and General Counsel</w:t>
      </w:r>
    </w:p>
    <w:p>
      <w:pPr>
        <w:sectPr>
          <w:pgSz w:w="11900" w:h="16838" w:orient="portrait"/>
          <w:cols w:equalWidth="0" w:num="3">
            <w:col w:w="540" w:space="200"/>
            <w:col w:w="2120" w:space="720"/>
            <w:col w:w="6639"/>
          </w:cols>
          <w:pgMar w:left="240" w:top="285"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3500" w:space="720"/>
            <w:col w:w="5999"/>
          </w:cols>
          <w:pgMar w:left="240" w:top="285" w:right="1440" w:bottom="1440" w:gutter="0" w:footer="0" w:header="0"/>
          <w:type w:val="continuous"/>
        </w:sect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2419"/>
        <w:spacing w:after="0" w:line="420" w:lineRule="auto"/>
        <w:rPr>
          <w:sz w:val="20"/>
          <w:szCs w:val="20"/>
          <w:color w:val="auto"/>
        </w:rPr>
      </w:pPr>
      <w:r>
        <w:rPr>
          <w:rFonts w:ascii="Courier New" w:cs="Courier New" w:eastAsia="Courier New" w:hAnsi="Courier New"/>
          <w:sz w:val="16"/>
          <w:szCs w:val="16"/>
          <w:color w:val="auto"/>
        </w:rPr>
        <w:t>Press release of CheckFree Holdings Corporation issued May 24, 1999, regarding the Settlement Agreement.</w:t>
      </w:r>
    </w:p>
    <w:p>
      <w:pPr>
        <w:sectPr>
          <w:pgSz w:w="11900" w:h="16838" w:orient="portrait"/>
          <w:cols w:equalWidth="0" w:num="2">
            <w:col w:w="1400" w:space="720"/>
            <w:col w:w="8099"/>
          </w:cols>
          <w:pgMar w:left="240" w:top="285"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Exhibit 99</w:t>
      </w:r>
    </w:p>
    <w:p>
      <w:pPr>
        <w:sectPr>
          <w:pgSz w:w="11900" w:h="16838" w:orient="portrait"/>
          <w:cols w:equalWidth="0" w:num="1">
            <w:col w:w="10219"/>
          </w:cols>
          <w:pgMar w:left="240" w:top="110" w:right="1440" w:bottom="1440" w:gutter="0" w:footer="0" w:header="0"/>
        </w:sectPr>
      </w:pPr>
    </w:p>
    <w:p>
      <w:pPr>
        <w:spacing w:after="0" w:line="394" w:lineRule="exact"/>
        <w:rPr>
          <w:sz w:val="20"/>
          <w:szCs w:val="20"/>
          <w:color w:val="auto"/>
        </w:rPr>
      </w:pPr>
    </w:p>
    <w:p>
      <w:pPr>
        <w:ind w:right="440"/>
        <w:spacing w:after="0" w:line="274" w:lineRule="auto"/>
        <w:rPr>
          <w:sz w:val="20"/>
          <w:szCs w:val="20"/>
          <w:color w:val="auto"/>
        </w:rPr>
      </w:pPr>
      <w:r>
        <w:rPr>
          <w:rFonts w:ascii="Courier New" w:cs="Courier New" w:eastAsia="Courier New" w:hAnsi="Courier New"/>
          <w:sz w:val="18"/>
          <w:szCs w:val="18"/>
          <w:color w:val="auto"/>
        </w:rPr>
        <w:t>CheckFree Media Relations: Laurinda Wilson (678) 375-1608 lwilson@checkfree.com</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Intuit Media Relations: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Holly Anderson</w:t>
      </w:r>
    </w:p>
    <w:p>
      <w:pPr>
        <w:spacing w:after="0" w:line="238" w:lineRule="auto"/>
        <w:rPr>
          <w:sz w:val="20"/>
          <w:szCs w:val="20"/>
          <w:color w:val="auto"/>
        </w:rPr>
      </w:pPr>
      <w:r>
        <w:rPr>
          <w:rFonts w:ascii="Courier New" w:cs="Courier New" w:eastAsia="Courier New" w:hAnsi="Courier New"/>
          <w:sz w:val="18"/>
          <w:szCs w:val="18"/>
          <w:color w:val="auto"/>
        </w:rPr>
        <w:t>(650) 596-2207</w:t>
      </w:r>
    </w:p>
    <w:p>
      <w:pPr>
        <w:spacing w:after="0"/>
        <w:rPr>
          <w:sz w:val="20"/>
          <w:szCs w:val="20"/>
          <w:color w:val="auto"/>
        </w:rPr>
      </w:pPr>
      <w:r>
        <w:rPr>
          <w:rFonts w:ascii="Courier New" w:cs="Courier New" w:eastAsia="Courier New" w:hAnsi="Courier New"/>
          <w:sz w:val="18"/>
          <w:szCs w:val="18"/>
          <w:color w:val="auto"/>
        </w:rPr>
        <w:t>holly@thomaspr.com</w:t>
      </w:r>
    </w:p>
    <w:p>
      <w:pPr>
        <w:spacing w:after="0" w:line="169" w:lineRule="exact"/>
        <w:rPr>
          <w:sz w:val="20"/>
          <w:szCs w:val="20"/>
          <w:color w:val="auto"/>
        </w:rPr>
      </w:pPr>
    </w:p>
    <w:p>
      <w:pPr>
        <w:sectPr>
          <w:pgSz w:w="11900" w:h="16838" w:orient="portrait"/>
          <w:cols w:equalWidth="0" w:num="2">
            <w:col w:w="3180" w:space="720"/>
            <w:col w:w="631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CheckFree Investor Relations: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Terrie O'Hanlon</w:t>
      </w:r>
    </w:p>
    <w:p>
      <w:pPr>
        <w:spacing w:after="0" w:line="238" w:lineRule="auto"/>
        <w:rPr>
          <w:sz w:val="20"/>
          <w:szCs w:val="20"/>
          <w:color w:val="auto"/>
        </w:rPr>
      </w:pPr>
      <w:r>
        <w:rPr>
          <w:rFonts w:ascii="Courier New" w:cs="Courier New" w:eastAsia="Courier New" w:hAnsi="Courier New"/>
          <w:sz w:val="18"/>
          <w:szCs w:val="18"/>
          <w:color w:val="auto"/>
        </w:rPr>
        <w:t>(678) 375-1452</w:t>
      </w:r>
    </w:p>
    <w:p>
      <w:pPr>
        <w:spacing w:after="0"/>
        <w:rPr>
          <w:sz w:val="20"/>
          <w:szCs w:val="20"/>
          <w:color w:val="auto"/>
        </w:rPr>
      </w:pPr>
      <w:r>
        <w:rPr>
          <w:rFonts w:ascii="Courier New" w:cs="Courier New" w:eastAsia="Courier New" w:hAnsi="Courier New"/>
          <w:sz w:val="18"/>
          <w:szCs w:val="18"/>
          <w:color w:val="auto"/>
        </w:rPr>
        <w:t>tohanlon@checkfree.com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Intuit Investor Relations: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Fellows</w:t>
      </w:r>
    </w:p>
    <w:p>
      <w:pPr>
        <w:spacing w:after="0" w:line="238" w:lineRule="auto"/>
        <w:rPr>
          <w:sz w:val="20"/>
          <w:szCs w:val="20"/>
          <w:color w:val="auto"/>
        </w:rPr>
      </w:pPr>
      <w:r>
        <w:rPr>
          <w:rFonts w:ascii="Courier New" w:cs="Courier New" w:eastAsia="Courier New" w:hAnsi="Courier New"/>
          <w:sz w:val="18"/>
          <w:szCs w:val="18"/>
          <w:color w:val="auto"/>
        </w:rPr>
        <w:t>(650) 944-5436</w:t>
      </w:r>
    </w:p>
    <w:p>
      <w:pPr>
        <w:spacing w:after="0"/>
        <w:rPr>
          <w:sz w:val="20"/>
          <w:szCs w:val="20"/>
          <w:color w:val="auto"/>
        </w:rPr>
      </w:pPr>
      <w:r>
        <w:rPr>
          <w:rFonts w:ascii="Courier New" w:cs="Courier New" w:eastAsia="Courier New" w:hAnsi="Courier New"/>
          <w:sz w:val="18"/>
          <w:szCs w:val="18"/>
          <w:color w:val="auto"/>
        </w:rPr>
        <w:t>linda_fellows@intuit.com</w:t>
      </w:r>
    </w:p>
    <w:p>
      <w:pPr>
        <w:spacing w:after="0" w:line="200" w:lineRule="exact"/>
        <w:rPr>
          <w:sz w:val="20"/>
          <w:szCs w:val="20"/>
          <w:color w:val="auto"/>
        </w:rPr>
      </w:pPr>
    </w:p>
    <w:p>
      <w:pPr>
        <w:sectPr>
          <w:pgSz w:w="11900" w:h="16838" w:orient="portrait"/>
          <w:cols w:equalWidth="0" w:num="2">
            <w:col w:w="3180" w:space="720"/>
            <w:col w:w="6319"/>
          </w:cols>
          <w:pgMar w:left="240" w:top="110" w:right="1440" w:bottom="1440" w:gutter="0" w:footer="0" w:header="0"/>
          <w:type w:val="continuous"/>
        </w:sectPr>
      </w:pPr>
    </w:p>
    <w:p>
      <w:pPr>
        <w:spacing w:after="0" w:line="37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CHECKFREE AND INTUIT REACH SETTLEMENT</w:t>
      </w:r>
    </w:p>
    <w:p>
      <w:pPr>
        <w:spacing w:after="0" w:line="200" w:lineRule="exact"/>
        <w:rPr>
          <w:sz w:val="20"/>
          <w:szCs w:val="20"/>
          <w:color w:val="auto"/>
        </w:rPr>
      </w:pPr>
    </w:p>
    <w:p>
      <w:pPr>
        <w:spacing w:after="0" w:line="204"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ATLANTA (May 24, 1999) - CheckFree Holdings Corporation (NASDAQ:CKFR) and Intuit Inc. (NASDAQ:INTU) today announced they have amicably resolved the issues that had led to the filing of a lawsuit last March, and to subsequent arbitration. Other than noting that neither party makes any payment for the settlement, the specific terms of the agreement were not disclosed.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In commenting on the</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w w:val="97"/>
              </w:rPr>
              <w:t>resolution, Pete Kight, Chairman and</w:t>
            </w:r>
          </w:p>
        </w:tc>
        <w:tc>
          <w:tcPr>
            <w:tcW w:w="2320" w:type="dxa"/>
            <w:vAlign w:val="bottom"/>
          </w:tcPr>
          <w:p>
            <w:pPr>
              <w:ind w:left="100"/>
              <w:spacing w:after="0"/>
              <w:rPr>
                <w:sz w:val="20"/>
                <w:szCs w:val="20"/>
                <w:color w:val="auto"/>
              </w:rPr>
            </w:pPr>
            <w:r>
              <w:rPr>
                <w:rFonts w:ascii="Courier New" w:cs="Courier New" w:eastAsia="Courier New" w:hAnsi="Courier New"/>
                <w:sz w:val="18"/>
                <w:szCs w:val="18"/>
                <w:color w:val="auto"/>
              </w:rPr>
              <w:t>CEO of CheckFree</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said, "We have enjoyed a long and close relationship with</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Intuit, but we had an</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honest disagreement about how to apply our contract in a</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rapidly-changing</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environment. I'm very pleased that we were able to find a</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solution that allows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our two companies to</w:t>
            </w:r>
          </w:p>
        </w:tc>
        <w:tc>
          <w:tcPr>
            <w:tcW w:w="3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match our collective and respective</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strengths to address</w:t>
            </w:r>
          </w:p>
        </w:tc>
      </w:t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the full spectrum of</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w w:val="99"/>
              </w:rPr>
              <w:t>the market's approach to electronic</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billing and payment."</w:t>
            </w:r>
          </w:p>
        </w:tc>
      </w:tr>
    </w:tbl>
    <w:p>
      <w:pPr>
        <w:spacing w:after="0" w:line="109"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Bill Harris, President and CEO of Intuit said, "We are pleased to be back on track in our relationship with CheckFree in a manner that benefits both companies. We look forward to our continued relationship and renewed dedication to meeting customer needs."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INTUIT</w:t>
      </w:r>
    </w:p>
    <w:p>
      <w:pPr>
        <w:spacing w:after="0" w:line="31"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Intuit Inc. (NASDAQ: INTU), a financial software and Web-based services company, develops and markets Quicken, the leading personal finance software; TurboTax, the best-selling tax preparation software; and QuickBooks, the most popular small business accounting software. Intuit's Quicken.com Web site (www.quicken.com) is a leading financial Web site, offering a comprehensive set of financial news, information and tools, including insurance, mortgage, investment and tax preparation services. Intuit's products and services enable individuals, small businesses and financial professionals to better manage their financial lives and businesses.</w:t>
      </w:r>
    </w:p>
    <w:p>
      <w:pPr>
        <w:spacing w:after="0" w:line="200" w:lineRule="exact"/>
        <w:rPr>
          <w:sz w:val="20"/>
          <w:szCs w:val="20"/>
          <w:color w:val="auto"/>
        </w:rPr>
      </w:pPr>
    </w:p>
    <w:p>
      <w:pPr>
        <w:spacing w:after="0" w:line="3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110"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CHECKFREE</w:t>
      </w:r>
    </w:p>
    <w:p>
      <w:pPr>
        <w:spacing w:after="0" w:line="3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Founded in 1981, CheckFree (www.checkfree.com), the operating subsidiary of CheckFree Holdings Corporation, is the leading provider of financial electronic commerce services, software and related products. CheckFree designs, develops and markets services that enable nearly three million consumers to receive and pay bills over the Internet or electronically through a variety of bill aggregation points, including banks, brokerage firms, portals and interactive content sites on the Internet, and personal financial management (PFM) software. CheckFree's range of services and products are focused on enabling customers to make electronic payments and collections, automate paper-based recurring financial transactions and conduct secure Internet transactions. After more than a year of beta testing, CheckFree launched the nation's first fully integrated electronic billing and payment solution, CheckFree E-Bill, in March of 1997. Today, the Company has multi-year contracts with nearly 50 of the nation's top billers to provide online billing and payment through the CheckFree distribution network.</w:t>
      </w: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2020-02-22T13:47:12Z</dcterms:created>
  <dcterms:modified xsi:type="dcterms:W3CDTF">2020-02-22T13:47:12Z</dcterms:modified>
</cp:coreProperties>
</file>