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3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FISERV,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-3980815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-3535045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-2951480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-2505710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-2059940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-584835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517" w:right="259" w:bottom="0" w:gutter="0" w:footer="0" w:header="0"/>
        </w:sectPr>
      </w:pPr>
    </w:p>
    <w:bookmarkStart w:id="1" w:name="page2"/>
    <w:bookmarkEnd w:id="1"/>
    <w:p>
      <w:pPr>
        <w:ind w:left="571" w:hanging="571"/>
        <w:spacing w:after="0"/>
        <w:tabs>
          <w:tab w:leader="none" w:pos="571"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886460</wp:posOffset>
            </wp:positionH>
            <wp:positionV relativeFrom="page">
              <wp:posOffset>226060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321310</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382"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431800</wp:posOffset>
            </wp:positionH>
            <wp:positionV relativeFrom="page">
              <wp:posOffset>1889760</wp:posOffset>
            </wp:positionV>
            <wp:extent cx="634365" cy="317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3436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FISERV, INC.</w:t>
      </w: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i w:val="1"/>
          <w:iCs w:val="1"/>
          <w:color w:val="auto"/>
        </w:rPr>
        <w:t>255 FISERV DRIVE BROOKFIELD, WI 53045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869315</wp:posOffset>
            </wp:positionV>
            <wp:extent cx="68580" cy="660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60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200" w:right="2680"/>
        <w:spacing w:after="0" w:line="266" w:lineRule="auto"/>
        <w:rPr>
          <w:sz w:val="20"/>
          <w:szCs w:val="20"/>
          <w:color w:val="auto"/>
        </w:rPr>
      </w:pPr>
      <w:r>
        <w:rPr>
          <w:rFonts w:ascii="Arial" w:cs="Arial" w:eastAsia="Arial" w:hAnsi="Arial"/>
          <w:sz w:val="18"/>
          <w:szCs w:val="18"/>
          <w:b w:val="1"/>
          <w:bCs w:val="1"/>
          <w:color w:val="auto"/>
        </w:rPr>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 Important Notice Regarding the Availability of Proxy Materials for the Shareholder Meeting to Be Held on May 18,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-518795</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3040" w:type="dxa"/>
            <w:vAlign w:val="bottom"/>
            <w:tcBorders>
              <w:right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5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Meeting Information</w:t>
            </w:r>
          </w:p>
        </w:tc>
        <w:tc>
          <w:tcPr>
            <w:tcW w:w="20" w:type="dxa"/>
            <w:vAlign w:val="bottom"/>
            <w:tcBorders>
              <w:top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FISERV, INC.</w:t>
            </w:r>
          </w:p>
        </w:tc>
        <w:tc>
          <w:tcPr>
            <w:tcW w:w="16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Meeting Type:</w:t>
            </w:r>
          </w:p>
        </w:tc>
        <w:tc>
          <w:tcPr>
            <w:tcW w:w="3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40" w:type="dxa"/>
            <w:vAlign w:val="bottom"/>
            <w:tcBorders>
              <w:right w:val="single" w:sz="8" w:color="auto"/>
            </w:tcBorders>
            <w:vMerge w:val="continue"/>
          </w:tcPr>
          <w:p>
            <w:pPr>
              <w:spacing w:after="0"/>
              <w:rPr>
                <w:sz w:val="24"/>
                <w:szCs w:val="24"/>
                <w:color w:val="auto"/>
              </w:rPr>
            </w:pPr>
          </w:p>
        </w:tc>
        <w:tc>
          <w:tcPr>
            <w:tcW w:w="1620" w:type="dxa"/>
            <w:vAlign w:val="bottom"/>
            <w:vMerge w:val="continue"/>
          </w:tcPr>
          <w:p>
            <w:pPr>
              <w:spacing w:after="0"/>
              <w:rPr>
                <w:sz w:val="24"/>
                <w:szCs w:val="24"/>
                <w:color w:val="auto"/>
              </w:rPr>
            </w:pPr>
          </w:p>
        </w:tc>
        <w:tc>
          <w:tcPr>
            <w:tcW w:w="3840" w:type="dxa"/>
            <w:vAlign w:val="bottom"/>
            <w:gridSpan w:val="3"/>
            <w:vMerge w:val="restart"/>
          </w:tcPr>
          <w:p>
            <w:pPr>
              <w:ind w:left="40"/>
              <w:spacing w:after="0"/>
              <w:rPr>
                <w:sz w:val="20"/>
                <w:szCs w:val="20"/>
                <w:color w:val="auto"/>
              </w:rPr>
            </w:pPr>
            <w:r>
              <w:rPr>
                <w:rFonts w:ascii="Arial" w:cs="Arial" w:eastAsia="Arial" w:hAnsi="Arial"/>
                <w:sz w:val="18"/>
                <w:szCs w:val="18"/>
                <w:color w:val="auto"/>
              </w:rPr>
              <w:t>Annual Meeting</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3040" w:type="dxa"/>
            <w:vAlign w:val="bottom"/>
            <w:tcBorders>
              <w:right w:val="single" w:sz="8" w:color="auto"/>
            </w:tcBorders>
          </w:tcPr>
          <w:p>
            <w:pPr>
              <w:spacing w:after="0"/>
              <w:rPr>
                <w:sz w:val="4"/>
                <w:szCs w:val="4"/>
                <w:color w:val="auto"/>
              </w:rPr>
            </w:pPr>
          </w:p>
        </w:tc>
        <w:tc>
          <w:tcPr>
            <w:tcW w:w="1620" w:type="dxa"/>
            <w:vAlign w:val="bottom"/>
            <w:vMerge w:val="continue"/>
          </w:tcPr>
          <w:p>
            <w:pPr>
              <w:spacing w:after="0"/>
              <w:rPr>
                <w:sz w:val="4"/>
                <w:szCs w:val="4"/>
                <w:color w:val="auto"/>
              </w:rPr>
            </w:pPr>
          </w:p>
        </w:tc>
        <w:tc>
          <w:tcPr>
            <w:tcW w:w="3840" w:type="dxa"/>
            <w:vAlign w:val="bottom"/>
            <w:gridSpan w:val="3"/>
            <w:vMerge w:val="continue"/>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040" w:type="dxa"/>
            <w:vAlign w:val="bottom"/>
            <w:tcBorders>
              <w:right w:val="single" w:sz="8" w:color="auto"/>
            </w:tcBorders>
          </w:tcPr>
          <w:p>
            <w:pPr>
              <w:spacing w:after="0"/>
              <w:rPr>
                <w:sz w:val="18"/>
                <w:szCs w:val="18"/>
                <w:color w:val="auto"/>
              </w:rPr>
            </w:pPr>
          </w:p>
        </w:tc>
        <w:tc>
          <w:tcPr>
            <w:tcW w:w="5460" w:type="dxa"/>
            <w:vAlign w:val="bottom"/>
            <w:gridSpan w:val="4"/>
          </w:tcPr>
          <w:p>
            <w:pPr>
              <w:ind w:left="140"/>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March 21, 2016</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Borders>
              <w:right w:val="single" w:sz="8" w:color="auto"/>
            </w:tcBorders>
          </w:tcPr>
          <w:p>
            <w:pPr>
              <w:spacing w:after="0"/>
              <w:rPr>
                <w:sz w:val="18"/>
                <w:szCs w:val="18"/>
                <w:color w:val="auto"/>
              </w:rPr>
            </w:pPr>
          </w:p>
        </w:tc>
        <w:tc>
          <w:tcPr>
            <w:tcW w:w="5460" w:type="dxa"/>
            <w:vAlign w:val="bottom"/>
            <w:gridSpan w:val="4"/>
          </w:tcPr>
          <w:p>
            <w:pPr>
              <w:ind w:left="1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18, 2016</w:t>
            </w:r>
            <w:r>
              <w:rPr>
                <w:rFonts w:ascii="Arial" w:cs="Arial" w:eastAsia="Arial" w:hAnsi="Arial"/>
                <w:sz w:val="18"/>
                <w:szCs w:val="18"/>
                <w:b w:val="1"/>
                <w:bCs w:val="1"/>
                <w:color w:val="auto"/>
              </w:rPr>
              <w:t xml:space="preserve">   Time:  </w:t>
            </w:r>
            <w:r>
              <w:rPr>
                <w:rFonts w:ascii="Arial" w:cs="Arial" w:eastAsia="Arial" w:hAnsi="Arial"/>
                <w:sz w:val="18"/>
                <w:szCs w:val="18"/>
                <w:color w:val="auto"/>
              </w:rPr>
              <w:t>10:00 AM ET</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40" w:type="dxa"/>
            <w:vAlign w:val="bottom"/>
            <w:tcBorders>
              <w:right w:val="single" w:sz="8" w:color="auto"/>
            </w:tcBorders>
          </w:tcPr>
          <w:p>
            <w:pPr>
              <w:spacing w:after="0"/>
              <w:rPr>
                <w:sz w:val="19"/>
                <w:szCs w:val="19"/>
                <w:color w:val="auto"/>
              </w:rPr>
            </w:pPr>
          </w:p>
        </w:tc>
        <w:tc>
          <w:tcPr>
            <w:tcW w:w="1620" w:type="dxa"/>
            <w:vAlign w:val="bottom"/>
          </w:tcPr>
          <w:p>
            <w:pPr>
              <w:ind w:left="14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Fiserv</w:t>
            </w: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tcBorders>
              <w:right w:val="single" w:sz="8" w:color="auto"/>
            </w:tcBorders>
          </w:tcPr>
          <w:p>
            <w:pPr>
              <w:spacing w:after="0"/>
              <w:rPr>
                <w:sz w:val="18"/>
                <w:szCs w:val="18"/>
                <w:color w:val="auto"/>
              </w:rPr>
            </w:pPr>
          </w:p>
        </w:tc>
        <w:tc>
          <w:tcPr>
            <w:tcW w:w="5460" w:type="dxa"/>
            <w:vAlign w:val="bottom"/>
            <w:gridSpan w:val="4"/>
          </w:tcPr>
          <w:p>
            <w:pPr>
              <w:ind w:left="1160"/>
              <w:spacing w:after="0"/>
              <w:rPr>
                <w:sz w:val="20"/>
                <w:szCs w:val="20"/>
                <w:color w:val="auto"/>
              </w:rPr>
            </w:pPr>
            <w:r>
              <w:rPr>
                <w:rFonts w:ascii="Arial" w:cs="Arial" w:eastAsia="Arial" w:hAnsi="Arial"/>
                <w:sz w:val="18"/>
                <w:szCs w:val="18"/>
                <w:color w:val="auto"/>
              </w:rPr>
              <w:t>2900 Westside Parkway</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Borders>
              <w:right w:val="single" w:sz="8" w:color="auto"/>
            </w:tcBorders>
          </w:tcPr>
          <w:p>
            <w:pPr>
              <w:spacing w:after="0"/>
              <w:rPr>
                <w:sz w:val="20"/>
                <w:szCs w:val="20"/>
                <w:color w:val="auto"/>
              </w:rPr>
            </w:pPr>
          </w:p>
        </w:tc>
        <w:tc>
          <w:tcPr>
            <w:tcW w:w="5460" w:type="dxa"/>
            <w:vAlign w:val="bottom"/>
            <w:gridSpan w:val="4"/>
          </w:tcPr>
          <w:p>
            <w:pPr>
              <w:ind w:left="1160"/>
              <w:spacing w:after="0"/>
              <w:rPr>
                <w:sz w:val="20"/>
                <w:szCs w:val="20"/>
                <w:color w:val="auto"/>
              </w:rPr>
            </w:pPr>
            <w:r>
              <w:rPr>
                <w:rFonts w:ascii="Arial" w:cs="Arial" w:eastAsia="Arial" w:hAnsi="Arial"/>
                <w:sz w:val="18"/>
                <w:szCs w:val="18"/>
                <w:color w:val="auto"/>
              </w:rPr>
              <w:t>Alpharetta, GA 30004</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40" w:type="dxa"/>
            <w:vAlign w:val="bottom"/>
            <w:tcBorders>
              <w:right w:val="single" w:sz="8" w:color="auto"/>
            </w:tcBorders>
          </w:tcPr>
          <w:p>
            <w:pPr>
              <w:spacing w:after="0"/>
              <w:rPr>
                <w:sz w:val="18"/>
                <w:szCs w:val="18"/>
                <w:color w:val="auto"/>
              </w:rPr>
            </w:pPr>
          </w:p>
        </w:tc>
        <w:tc>
          <w:tcPr>
            <w:tcW w:w="1920" w:type="dxa"/>
            <w:vAlign w:val="bottom"/>
            <w:tcBorders>
              <w:bottom w:val="single" w:sz="8" w:color="auto"/>
            </w:tcBorders>
            <w:gridSpan w:val="2"/>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3040" w:type="dxa"/>
            <w:vAlign w:val="bottom"/>
          </w:tcPr>
          <w:p>
            <w:pPr>
              <w:spacing w:after="0"/>
              <w:rPr>
                <w:sz w:val="24"/>
                <w:szCs w:val="24"/>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w w:val="98"/>
              </w:rPr>
              <w:t>You are receiving this communication because you hold shares in the</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company named above.</w:t>
            </w:r>
          </w:p>
        </w:tc>
        <w:tc>
          <w:tcPr>
            <w:tcW w:w="0" w:type="dxa"/>
            <w:vAlign w:val="bottom"/>
          </w:tcPr>
          <w:p>
            <w:pPr>
              <w:spacing w:after="0"/>
              <w:rPr>
                <w:sz w:val="1"/>
                <w:szCs w:val="1"/>
                <w:color w:val="auto"/>
              </w:rPr>
            </w:pPr>
          </w:p>
        </w:tc>
      </w:tr>
      <w:tr>
        <w:trPr>
          <w:trHeight w:val="310"/>
        </w:trPr>
        <w:tc>
          <w:tcPr>
            <w:tcW w:w="3040" w:type="dxa"/>
            <w:vAlign w:val="bottom"/>
          </w:tcPr>
          <w:p>
            <w:pPr>
              <w:spacing w:after="0"/>
              <w:rPr>
                <w:sz w:val="24"/>
                <w:szCs w:val="24"/>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w w:val="94"/>
              </w:rPr>
              <w:t>This is not a ballot. You cannot use this notice to vote these shares. This</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w w:val="97"/>
              </w:rPr>
              <w:t>communication presents only an overview of the more complete proxy</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w w:val="92"/>
              </w:rPr>
              <w:t>materials that are available to you on the Internet. You may view the proxy</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w w:val="89"/>
              </w:rPr>
              <w:t xml:space="preserve">materials online at </w:t>
            </w:r>
            <w:r>
              <w:rPr>
                <w:rFonts w:ascii="Arial" w:cs="Arial" w:eastAsia="Arial" w:hAnsi="Arial"/>
                <w:sz w:val="18"/>
                <w:szCs w:val="18"/>
                <w:i w:val="1"/>
                <w:iCs w:val="1"/>
                <w:color w:val="auto"/>
                <w:w w:val="89"/>
              </w:rPr>
              <w:t>www.proxyvote.com</w:t>
            </w:r>
            <w:r>
              <w:rPr>
                <w:rFonts w:ascii="Arial" w:cs="Arial" w:eastAsia="Arial" w:hAnsi="Arial"/>
                <w:sz w:val="18"/>
                <w:szCs w:val="18"/>
                <w:color w:val="auto"/>
                <w:w w:val="89"/>
              </w:rPr>
              <w:t xml:space="preserve"> or request a paper copy (see reverse</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side).</w:t>
            </w: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040" w:type="dxa"/>
            <w:vAlign w:val="bottom"/>
          </w:tcPr>
          <w:p>
            <w:pPr>
              <w:spacing w:after="0"/>
              <w:rPr>
                <w:sz w:val="24"/>
                <w:szCs w:val="24"/>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w w:val="95"/>
              </w:rPr>
              <w:t>We encourage you to access and review all of the important information</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5480" w:type="dxa"/>
            <w:vAlign w:val="bottom"/>
            <w:gridSpan w:val="5"/>
          </w:tcPr>
          <w:p>
            <w:pPr>
              <w:spacing w:after="0"/>
              <w:rPr>
                <w:sz w:val="20"/>
                <w:szCs w:val="20"/>
                <w:color w:val="auto"/>
              </w:rPr>
            </w:pPr>
            <w:r>
              <w:rPr>
                <w:rFonts w:ascii="Arial" w:cs="Arial" w:eastAsia="Arial" w:hAnsi="Arial"/>
                <w:sz w:val="18"/>
                <w:szCs w:val="18"/>
                <w:color w:val="auto"/>
              </w:rPr>
              <w:t>contained in the proxy materials before voting.</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92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3040" w:type="dxa"/>
            <w:vAlign w:val="bottom"/>
            <w:tcBorders>
              <w:right w:val="single" w:sz="8" w:color="auto"/>
            </w:tcBorders>
          </w:tcPr>
          <w:p>
            <w:pPr>
              <w:spacing w:after="0"/>
              <w:rPr>
                <w:sz w:val="24"/>
                <w:szCs w:val="24"/>
                <w:color w:val="auto"/>
              </w:rPr>
            </w:pPr>
          </w:p>
        </w:tc>
        <w:tc>
          <w:tcPr>
            <w:tcW w:w="5460" w:type="dxa"/>
            <w:vAlign w:val="bottom"/>
            <w:gridSpan w:val="4"/>
            <w:shd w:val="clear" w:color="auto" w:fill="000000"/>
          </w:tcPr>
          <w:p>
            <w:pPr>
              <w:ind w:left="80"/>
              <w:spacing w:after="0"/>
              <w:rPr>
                <w:sz w:val="20"/>
                <w:szCs w:val="20"/>
                <w:color w:val="auto"/>
              </w:rPr>
            </w:pPr>
            <w:r>
              <w:rPr>
                <w:rFonts w:ascii="Arial" w:cs="Arial" w:eastAsia="Arial" w:hAnsi="Arial"/>
                <w:sz w:val="18"/>
                <w:szCs w:val="18"/>
                <w:b w:val="1"/>
                <w:bCs w:val="1"/>
                <w:color w:val="FFFFFF"/>
                <w:w w:val="88"/>
              </w:rPr>
              <w:t>See the reverse side of this notice to obtain proxy materials and voting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40" w:type="dxa"/>
            <w:vAlign w:val="bottom"/>
            <w:tcBorders>
              <w:right w:val="single" w:sz="8" w:color="auto"/>
            </w:tcBorders>
          </w:tcPr>
          <w:p>
            <w:pPr>
              <w:spacing w:after="0"/>
              <w:rPr>
                <w:sz w:val="20"/>
                <w:szCs w:val="20"/>
                <w:color w:val="auto"/>
              </w:rPr>
            </w:pPr>
          </w:p>
        </w:tc>
        <w:tc>
          <w:tcPr>
            <w:tcW w:w="1620" w:type="dxa"/>
            <w:vAlign w:val="bottom"/>
            <w:shd w:val="clear" w:color="auto" w:fill="000000"/>
          </w:tcPr>
          <w:p>
            <w:pPr>
              <w:ind w:left="80"/>
              <w:spacing w:after="0"/>
              <w:rPr>
                <w:sz w:val="20"/>
                <w:szCs w:val="20"/>
                <w:color w:val="auto"/>
              </w:rPr>
            </w:pPr>
            <w:r>
              <w:rPr>
                <w:rFonts w:ascii="Arial" w:cs="Arial" w:eastAsia="Arial" w:hAnsi="Arial"/>
                <w:sz w:val="18"/>
                <w:szCs w:val="18"/>
                <w:b w:val="1"/>
                <w:bCs w:val="1"/>
                <w:color w:val="FFFFFF"/>
              </w:rPr>
              <w:t>instructions.</w:t>
            </w:r>
          </w:p>
        </w:tc>
        <w:tc>
          <w:tcPr>
            <w:tcW w:w="300" w:type="dxa"/>
            <w:vAlign w:val="bottom"/>
            <w:shd w:val="clear" w:color="auto" w:fill="000000"/>
          </w:tcPr>
          <w:p>
            <w:pPr>
              <w:spacing w:after="0"/>
              <w:rPr>
                <w:sz w:val="20"/>
                <w:szCs w:val="20"/>
                <w:color w:val="auto"/>
              </w:rPr>
            </w:pPr>
          </w:p>
        </w:tc>
        <w:tc>
          <w:tcPr>
            <w:tcW w:w="1620" w:type="dxa"/>
            <w:vAlign w:val="bottom"/>
            <w:shd w:val="clear" w:color="auto" w:fill="000000"/>
          </w:tcPr>
          <w:p>
            <w:pPr>
              <w:spacing w:after="0"/>
              <w:rPr>
                <w:sz w:val="20"/>
                <w:szCs w:val="20"/>
                <w:color w:val="auto"/>
              </w:rPr>
            </w:pPr>
          </w:p>
        </w:tc>
        <w:tc>
          <w:tcPr>
            <w:tcW w:w="1920" w:type="dxa"/>
            <w:vAlign w:val="bottom"/>
            <w:shd w:val="clear" w:color="auto" w:fill="00000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3040" w:type="dxa"/>
            <w:vAlign w:val="bottom"/>
            <w:tcBorders>
              <w:right w:val="single" w:sz="8" w:color="auto"/>
            </w:tcBorders>
          </w:tcPr>
          <w:p>
            <w:pPr>
              <w:spacing w:after="0"/>
              <w:rPr>
                <w:sz w:val="8"/>
                <w:szCs w:val="8"/>
                <w:color w:val="auto"/>
              </w:rPr>
            </w:pPr>
          </w:p>
        </w:tc>
        <w:tc>
          <w:tcPr>
            <w:tcW w:w="1620" w:type="dxa"/>
            <w:vAlign w:val="bottom"/>
            <w:shd w:val="clear" w:color="auto" w:fill="000000"/>
          </w:tcPr>
          <w:p>
            <w:pPr>
              <w:spacing w:after="0"/>
              <w:rPr>
                <w:sz w:val="8"/>
                <w:szCs w:val="8"/>
                <w:color w:val="auto"/>
              </w:rPr>
            </w:pPr>
          </w:p>
        </w:tc>
        <w:tc>
          <w:tcPr>
            <w:tcW w:w="300" w:type="dxa"/>
            <w:vAlign w:val="bottom"/>
            <w:shd w:val="clear" w:color="auto" w:fill="000000"/>
          </w:tcPr>
          <w:p>
            <w:pPr>
              <w:spacing w:after="0"/>
              <w:rPr>
                <w:sz w:val="8"/>
                <w:szCs w:val="8"/>
                <w:color w:val="auto"/>
              </w:rPr>
            </w:pPr>
          </w:p>
        </w:tc>
        <w:tc>
          <w:tcPr>
            <w:tcW w:w="1620" w:type="dxa"/>
            <w:vAlign w:val="bottom"/>
            <w:shd w:val="clear" w:color="auto" w:fill="000000"/>
          </w:tcPr>
          <w:p>
            <w:pPr>
              <w:spacing w:after="0"/>
              <w:rPr>
                <w:sz w:val="8"/>
                <w:szCs w:val="8"/>
                <w:color w:val="auto"/>
              </w:rPr>
            </w:pPr>
          </w:p>
        </w:tc>
        <w:tc>
          <w:tcPr>
            <w:tcW w:w="1920" w:type="dxa"/>
            <w:vAlign w:val="bottom"/>
            <w:shd w:val="clear" w:color="auto" w:fill="000000"/>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2">
            <w:col w:w="1900" w:space="460"/>
            <w:col w:w="8520"/>
          </w:cols>
          <w:pgMar w:left="680" w:top="270" w:right="339" w:bottom="1440" w:gutter="0" w:footer="0" w:header="0"/>
        </w:sectPr>
      </w:pPr>
    </w:p>
    <w:bookmarkStart w:id="3" w:name="page4"/>
    <w:bookmarkEnd w:id="3"/>
    <w:p>
      <w:pPr>
        <w:jc w:val="center"/>
        <w:ind w:right="357"/>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27" w:lineRule="exact"/>
        <w:rPr>
          <w:sz w:val="20"/>
          <w:szCs w:val="20"/>
          <w:color w:val="auto"/>
        </w:rPr>
      </w:pPr>
    </w:p>
    <w:p>
      <w:pPr>
        <w:jc w:val="center"/>
        <w:ind w:right="357"/>
        <w:spacing w:after="0"/>
        <w:rPr>
          <w:sz w:val="20"/>
          <w:szCs w:val="20"/>
          <w:color w:val="auto"/>
        </w:rPr>
      </w:pPr>
      <w:r>
        <w:rPr>
          <w:rFonts w:ascii="Arial" w:cs="Arial" w:eastAsia="Arial" w:hAnsi="Arial"/>
          <w:sz w:val="18"/>
          <w:szCs w:val="18"/>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160020</wp:posOffset>
            </wp:positionV>
            <wp:extent cx="6989445" cy="2675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89445" cy="2675890"/>
                    </a:xfrm>
                    <a:prstGeom prst="rect">
                      <a:avLst/>
                    </a:prstGeom>
                    <a:noFill/>
                  </pic:spPr>
                </pic:pic>
              </a:graphicData>
            </a:graphic>
          </wp:anchor>
        </w:drawing>
      </w:r>
    </w:p>
    <w:p>
      <w:pPr>
        <w:spacing w:after="0" w:line="34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67" w:lineRule="exact"/>
        <w:rPr>
          <w:sz w:val="20"/>
          <w:szCs w:val="20"/>
          <w:color w:val="auto"/>
        </w:rPr>
      </w:pPr>
    </w:p>
    <w:p>
      <w:pPr>
        <w:ind w:left="3"/>
        <w:spacing w:after="0"/>
        <w:tabs>
          <w:tab w:leader="none" w:pos="5243" w:val="left"/>
        </w:tabs>
        <w:rPr>
          <w:sz w:val="20"/>
          <w:szCs w:val="20"/>
          <w:color w:val="auto"/>
        </w:rPr>
      </w:pPr>
      <w:r>
        <w:rPr>
          <w:rFonts w:ascii="Arial" w:cs="Arial" w:eastAsia="Arial" w:hAnsi="Arial"/>
          <w:sz w:val="18"/>
          <w:szCs w:val="18"/>
          <w:color w:val="auto"/>
        </w:rPr>
        <w:t>Notice of Annual Meeting and Proxy Statement</w:t>
      </w:r>
      <w:r>
        <w:rPr>
          <w:sz w:val="20"/>
          <w:szCs w:val="20"/>
          <w:color w:val="auto"/>
        </w:rPr>
        <w:tab/>
      </w:r>
      <w:r>
        <w:rPr>
          <w:rFonts w:ascii="Arial" w:cs="Arial" w:eastAsia="Arial" w:hAnsi="Arial"/>
          <w:sz w:val="16"/>
          <w:szCs w:val="16"/>
          <w:color w:val="auto"/>
        </w:rPr>
        <w:t>Annual Report for the Year Ended December 31, 2015</w:t>
      </w:r>
    </w:p>
    <w:p>
      <w:pPr>
        <w:spacing w:after="0" w:line="140"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How to View Online:</w:t>
      </w:r>
    </w:p>
    <w:p>
      <w:pPr>
        <w:spacing w:after="0" w:line="67" w:lineRule="exact"/>
        <w:rPr>
          <w:sz w:val="20"/>
          <w:szCs w:val="20"/>
          <w:color w:val="auto"/>
        </w:rPr>
      </w:pPr>
    </w:p>
    <w:p>
      <w:pPr>
        <w:ind w:left="3" w:right="180"/>
        <w:spacing w:after="0" w:line="277" w:lineRule="auto"/>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269365" cy="1028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69365" cy="10287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visit: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85"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67" w:lineRule="exact"/>
        <w:rPr>
          <w:sz w:val="20"/>
          <w:szCs w:val="20"/>
          <w:color w:val="auto"/>
        </w:rPr>
      </w:pPr>
    </w:p>
    <w:p>
      <w:pPr>
        <w:ind w:left="3"/>
        <w:spacing w:after="0"/>
        <w:rPr>
          <w:sz w:val="20"/>
          <w:szCs w:val="20"/>
          <w:color w:val="auto"/>
        </w:rPr>
      </w:pPr>
      <w:r>
        <w:rPr>
          <w:rFonts w:ascii="Arial" w:cs="Arial" w:eastAsia="Arial" w:hAnsi="Arial"/>
          <w:sz w:val="16"/>
          <w:szCs w:val="16"/>
          <w:color w:val="auto"/>
        </w:rPr>
        <w:t>If you want to receive a paper or e-mail copy of these documents and/or documents for future meetings, you must request such documents.</w:t>
      </w:r>
    </w:p>
    <w:p>
      <w:pPr>
        <w:spacing w:after="0" w:line="46" w:lineRule="exact"/>
        <w:rPr>
          <w:sz w:val="20"/>
          <w:szCs w:val="20"/>
          <w:color w:val="auto"/>
        </w:rPr>
      </w:pPr>
    </w:p>
    <w:p>
      <w:pPr>
        <w:ind w:left="3"/>
        <w:spacing w:after="0"/>
        <w:rPr>
          <w:sz w:val="20"/>
          <w:szCs w:val="20"/>
          <w:color w:val="auto"/>
        </w:rPr>
      </w:pPr>
      <w:r>
        <w:rPr>
          <w:rFonts w:ascii="Arial" w:cs="Arial" w:eastAsia="Arial" w:hAnsi="Arial"/>
          <w:sz w:val="18"/>
          <w:szCs w:val="18"/>
          <w:color w:val="auto"/>
        </w:rPr>
        <w:t>There is NO charge for requesting a copy. Please choose one of the following methods to make your request:</w:t>
      </w:r>
    </w:p>
    <w:p>
      <w:pPr>
        <w:spacing w:after="0" w:line="49" w:lineRule="exact"/>
        <w:rPr>
          <w:sz w:val="20"/>
          <w:szCs w:val="20"/>
          <w:color w:val="auto"/>
        </w:rPr>
      </w:pPr>
    </w:p>
    <w:tbl>
      <w:tblPr>
        <w:tblLayout w:type="fixed"/>
        <w:tblInd w:w="1543" w:type="dxa"/>
        <w:tblCellMar>
          <w:top w:w="0" w:type="dxa"/>
          <w:left w:w="0" w:type="dxa"/>
          <w:bottom w:w="0" w:type="dxa"/>
          <w:right w:w="0" w:type="dxa"/>
        </w:tblCellMar>
      </w:tblP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4"/>
              </w:rPr>
              <w:t>1)</w:t>
            </w:r>
          </w:p>
        </w:tc>
        <w:tc>
          <w:tcPr>
            <w:tcW w:w="1680" w:type="dxa"/>
            <w:vAlign w:val="bottom"/>
          </w:tcPr>
          <w:p>
            <w:pPr>
              <w:ind w:left="4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480" w:type="dxa"/>
            <w:vAlign w:val="bottom"/>
          </w:tcPr>
          <w:p>
            <w:pPr>
              <w:ind w:left="300"/>
              <w:spacing w:after="0"/>
              <w:rPr>
                <w:sz w:val="20"/>
                <w:szCs w:val="20"/>
                <w:color w:val="auto"/>
              </w:rPr>
            </w:pPr>
            <w:r>
              <w:rPr>
                <w:rFonts w:ascii="Arial" w:cs="Arial" w:eastAsia="Arial" w:hAnsi="Arial"/>
                <w:sz w:val="18"/>
                <w:szCs w:val="18"/>
                <w:color w:val="auto"/>
              </w:rPr>
              <w:t>www.proxyvote.com</w:t>
            </w: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4"/>
              </w:rPr>
              <w:t>2)</w:t>
            </w:r>
          </w:p>
        </w:tc>
        <w:tc>
          <w:tcPr>
            <w:tcW w:w="1680" w:type="dxa"/>
            <w:vAlign w:val="bottom"/>
          </w:tcPr>
          <w:p>
            <w:pPr>
              <w:ind w:left="40"/>
              <w:spacing w:after="0"/>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480" w:type="dxa"/>
            <w:vAlign w:val="bottom"/>
          </w:tcPr>
          <w:p>
            <w:pPr>
              <w:ind w:left="300"/>
              <w:spacing w:after="0"/>
              <w:rPr>
                <w:sz w:val="20"/>
                <w:szCs w:val="20"/>
                <w:color w:val="auto"/>
              </w:rPr>
            </w:pPr>
            <w:r>
              <w:rPr>
                <w:rFonts w:ascii="Arial" w:cs="Arial" w:eastAsia="Arial" w:hAnsi="Arial"/>
                <w:sz w:val="18"/>
                <w:szCs w:val="18"/>
                <w:color w:val="auto"/>
              </w:rPr>
              <w:t>1-800-579-1639</w:t>
            </w:r>
          </w:p>
        </w:tc>
      </w:t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4"/>
              </w:rPr>
              <w:t>3)</w:t>
            </w:r>
          </w:p>
        </w:tc>
        <w:tc>
          <w:tcPr>
            <w:tcW w:w="1680" w:type="dxa"/>
            <w:vAlign w:val="bottom"/>
          </w:tcPr>
          <w:p>
            <w:pPr>
              <w:ind w:left="4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480" w:type="dxa"/>
            <w:vAlign w:val="bottom"/>
          </w:tcPr>
          <w:p>
            <w:pPr>
              <w:ind w:left="300"/>
              <w:spacing w:after="0"/>
              <w:rPr>
                <w:sz w:val="20"/>
                <w:szCs w:val="20"/>
                <w:color w:val="auto"/>
              </w:rPr>
            </w:pPr>
            <w:r>
              <w:rPr>
                <w:rFonts w:ascii="Arial" w:cs="Arial" w:eastAsia="Arial" w:hAnsi="Arial"/>
                <w:sz w:val="18"/>
                <w:szCs w:val="18"/>
                <w:color w:val="auto"/>
                <w:w w:val="90"/>
              </w:rPr>
              <w:t>sendmaterial@proxyvote.com</w:t>
            </w:r>
          </w:p>
        </w:tc>
      </w:tr>
    </w:tbl>
    <w:p>
      <w:pPr>
        <w:spacing w:after="0" w:line="26" w:lineRule="exact"/>
        <w:rPr>
          <w:sz w:val="20"/>
          <w:szCs w:val="20"/>
          <w:color w:val="auto"/>
        </w:rPr>
      </w:pPr>
    </w:p>
    <w:p>
      <w:pPr>
        <w:ind w:left="183" w:right="1020" w:hanging="183"/>
        <w:spacing w:after="0" w:line="277" w:lineRule="auto"/>
        <w:tabs>
          <w:tab w:leader="none" w:pos="188"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If requesting materials by e-mail, please send a blank e-mail with the information that is printed in the box marked by the arrow </w:t>
      </w:r>
      <w:r>
        <w:rPr>
          <w:rFonts w:ascii="Arial" w:cs="Arial" w:eastAsia="Arial" w:hAnsi="Arial"/>
          <w:sz w:val="1"/>
          <w:szCs w:val="1"/>
          <w:color w:val="auto"/>
        </w:rPr>
        <w:drawing>
          <wp:inline distT="0" distB="0" distL="0" distR="0">
            <wp:extent cx="1269365" cy="1028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69365" cy="10287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8" w:lineRule="exact"/>
        <w:rPr>
          <w:sz w:val="20"/>
          <w:szCs w:val="20"/>
          <w:color w:val="auto"/>
        </w:rPr>
      </w:pPr>
    </w:p>
    <w:p>
      <w:pPr>
        <w:ind w:left="3"/>
        <w:spacing w:after="0" w:line="277"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4, 2016 to facilitate timely delivery.</w:t>
      </w:r>
    </w:p>
    <w:p>
      <w:pPr>
        <w:spacing w:after="0" w:line="369" w:lineRule="exact"/>
        <w:rPr>
          <w:sz w:val="20"/>
          <w:szCs w:val="20"/>
          <w:color w:val="auto"/>
        </w:rPr>
      </w:pPr>
    </w:p>
    <w:p>
      <w:pPr>
        <w:jc w:val="center"/>
        <w:ind w:right="357"/>
        <w:spacing w:after="0"/>
        <w:rPr>
          <w:sz w:val="20"/>
          <w:szCs w:val="20"/>
          <w:color w:val="auto"/>
        </w:rPr>
      </w:pPr>
      <w:r>
        <w:rPr>
          <w:rFonts w:ascii="Arial" w:cs="Arial" w:eastAsia="Arial" w:hAnsi="Arial"/>
          <w:sz w:val="18"/>
          <w:szCs w:val="18"/>
          <w:b w:val="1"/>
          <w:bCs w:val="1"/>
          <w:color w:val="auto"/>
        </w:rPr>
        <w:t>— How To Vote —</w:t>
      </w:r>
    </w:p>
    <w:p>
      <w:pPr>
        <w:spacing w:after="0" w:line="27" w:lineRule="exact"/>
        <w:rPr>
          <w:sz w:val="20"/>
          <w:szCs w:val="20"/>
          <w:color w:val="auto"/>
        </w:rPr>
      </w:pPr>
    </w:p>
    <w:p>
      <w:pPr>
        <w:jc w:val="center"/>
        <w:ind w:right="357"/>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142875</wp:posOffset>
            </wp:positionV>
            <wp:extent cx="6989445" cy="13976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89445" cy="1397635"/>
                    </a:xfrm>
                    <a:prstGeom prst="rect">
                      <a:avLst/>
                    </a:prstGeom>
                    <a:noFill/>
                  </pic:spPr>
                </pic:pic>
              </a:graphicData>
            </a:graphic>
          </wp:anchor>
        </w:drawing>
      </w:r>
    </w:p>
    <w:p>
      <w:pPr>
        <w:spacing w:after="0" w:line="322" w:lineRule="exact"/>
        <w:rPr>
          <w:sz w:val="20"/>
          <w:szCs w:val="20"/>
          <w:color w:val="auto"/>
        </w:rPr>
      </w:pPr>
    </w:p>
    <w:p>
      <w:pPr>
        <w:ind w:left="3" w:right="400"/>
        <w:spacing w:after="0" w:line="282"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 arrow</w:t>
      </w:r>
      <w:r>
        <w:rPr>
          <w:rFonts w:ascii="Arial" w:cs="Arial" w:eastAsia="Arial" w:hAnsi="Arial"/>
          <w:sz w:val="18"/>
          <w:szCs w:val="18"/>
          <w:b w:val="1"/>
          <w:bCs w:val="1"/>
          <w:color w:val="auto"/>
        </w:rPr>
        <w:t xml:space="preserve"> </w:t>
      </w:r>
      <w:r>
        <w:rPr>
          <w:sz w:val="1"/>
          <w:szCs w:val="1"/>
          <w:color w:val="auto"/>
        </w:rPr>
        <w:drawing>
          <wp:inline distT="0" distB="0" distL="0" distR="0">
            <wp:extent cx="1269365" cy="1028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69365" cy="10287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81" w:lineRule="exact"/>
        <w:rPr>
          <w:sz w:val="20"/>
          <w:szCs w:val="20"/>
          <w:color w:val="auto"/>
        </w:rPr>
      </w:pPr>
    </w:p>
    <w:p>
      <w:pPr>
        <w:ind w:left="3" w:right="260"/>
        <w:spacing w:after="0" w:line="282" w:lineRule="auto"/>
        <w:rPr>
          <w:sz w:val="20"/>
          <w:szCs w:val="20"/>
          <w:color w:val="auto"/>
        </w:rPr>
      </w:pPr>
      <w:r>
        <w:rPr>
          <w:rFonts w:ascii="Arial" w:cs="Arial" w:eastAsia="Arial" w:hAnsi="Arial"/>
          <w:sz w:val="18"/>
          <w:szCs w:val="18"/>
          <w:b w:val="1"/>
          <w:bCs w:val="1"/>
          <w:color w:val="auto"/>
        </w:rPr>
        <w:t xml:space="preserve">Vote By Telephone: </w:t>
      </w:r>
      <w:r>
        <w:rPr>
          <w:rFonts w:ascii="Arial" w:cs="Arial" w:eastAsia="Arial" w:hAnsi="Arial"/>
          <w:sz w:val="18"/>
          <w:szCs w:val="18"/>
          <w:color w:val="auto"/>
        </w:rPr>
        <w:t>You can vote by telephone by first requesting a paper copy of the materials, which will include a proxy card. Have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card in hand when calling and then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-305435</wp:posOffset>
            </wp:positionV>
            <wp:extent cx="68580" cy="660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60400"/>
                    </a:xfrm>
                    <a:prstGeom prst="rect">
                      <a:avLst/>
                    </a:prstGeom>
                    <a:noFill/>
                  </pic:spPr>
                </pic:pic>
              </a:graphicData>
            </a:graphic>
          </wp:anchor>
        </w:drawing>
      </w:r>
    </w:p>
    <w:p>
      <w:pPr>
        <w:spacing w:after="0" w:line="61"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pacing w:after="0" w:line="144" w:lineRule="exact"/>
        <w:rPr>
          <w:sz w:val="20"/>
          <w:szCs w:val="20"/>
          <w:color w:val="auto"/>
        </w:rPr>
      </w:pPr>
    </w:p>
    <w:p>
      <w:pPr>
        <w:ind w:left="3" w:right="200"/>
        <w:spacing w:after="0" w:line="347" w:lineRule="auto"/>
        <w:rPr>
          <w:sz w:val="20"/>
          <w:szCs w:val="20"/>
          <w:color w:val="auto"/>
        </w:rPr>
      </w:pPr>
      <w:r>
        <w:rPr>
          <w:rFonts w:ascii="Arial" w:cs="Arial" w:eastAsia="Arial" w:hAnsi="Arial"/>
          <w:sz w:val="16"/>
          <w:szCs w:val="16"/>
          <w:b w:val="1"/>
          <w:bCs w:val="1"/>
          <w:color w:val="auto"/>
        </w:rPr>
        <w:t xml:space="preserve">Vote In Person: </w:t>
      </w:r>
      <w:r>
        <w:rPr>
          <w:rFonts w:ascii="Arial" w:cs="Arial" w:eastAsia="Arial" w:hAnsi="Arial"/>
          <w:sz w:val="16"/>
          <w:szCs w:val="16"/>
          <w:color w:val="auto"/>
        </w:rPr>
        <w:t>If you plan to attend the meeting, please contact Investor Relations at (800) 425-FISV or investor.relations@fiserv.com. You</w:t>
      </w:r>
      <w:r>
        <w:rPr>
          <w:rFonts w:ascii="Arial" w:cs="Arial" w:eastAsia="Arial" w:hAnsi="Arial"/>
          <w:sz w:val="16"/>
          <w:szCs w:val="16"/>
          <w:b w:val="1"/>
          <w:bCs w:val="1"/>
          <w:color w:val="auto"/>
        </w:rPr>
        <w:t xml:space="preserve"> </w:t>
      </w:r>
      <w:r>
        <w:rPr>
          <w:rFonts w:ascii="Arial" w:cs="Arial" w:eastAsia="Arial" w:hAnsi="Arial"/>
          <w:sz w:val="16"/>
          <w:szCs w:val="16"/>
          <w:color w:val="auto"/>
        </w:rPr>
        <w:t>may also contact Investor Relations to obtain directions to the meeting. At the meeting, you will need to request a ballot to vote these shares.</w:t>
      </w:r>
    </w:p>
    <w:p>
      <w:pPr>
        <w:sectPr>
          <w:pgSz w:w="11900" w:h="16838" w:orient="portrait"/>
          <w:cols w:equalWidth="0" w:num="1">
            <w:col w:w="10403"/>
          </w:cols>
          <w:pgMar w:left="937" w:top="270" w:right="559" w:bottom="1440" w:gutter="0" w:footer="0" w:header="0"/>
        </w:sectPr>
      </w:pPr>
    </w:p>
    <w:bookmarkStart w:id="4" w:name="page5"/>
    <w:bookmarkEnd w:id="4"/>
    <w:p>
      <w:pPr>
        <w:ind w:left="114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337820</wp:posOffset>
            </wp:positionH>
            <wp:positionV relativeFrom="page">
              <wp:posOffset>183515</wp:posOffset>
            </wp:positionV>
            <wp:extent cx="200660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06600" cy="171450"/>
                    </a:xfrm>
                    <a:prstGeom prst="rect">
                      <a:avLst/>
                    </a:prstGeom>
                    <a:noFill/>
                  </pic:spPr>
                </pic:pic>
              </a:graphicData>
            </a:graphic>
          </wp:anchor>
        </w:drawing>
        <w:t>Voting Items</w:t>
      </w:r>
    </w:p>
    <w:p>
      <w:pPr>
        <w:spacing w:after="0" w:line="15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The Board of Directors recommends you vote FOR all the nominees listed:</w:t>
      </w:r>
    </w:p>
    <w:p>
      <w:pPr>
        <w:spacing w:after="0" w:line="121" w:lineRule="exact"/>
        <w:rPr>
          <w:sz w:val="20"/>
          <w:szCs w:val="20"/>
          <w:color w:val="auto"/>
        </w:rPr>
      </w:pPr>
    </w:p>
    <w:p>
      <w:pPr>
        <w:ind w:left="502" w:hanging="502"/>
        <w:spacing w:after="0"/>
        <w:tabs>
          <w:tab w:leader="none" w:pos="502"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86" w:lineRule="exact"/>
        <w:rPr>
          <w:rFonts w:ascii="Arial" w:cs="Arial" w:eastAsia="Arial" w:hAnsi="Arial"/>
          <w:sz w:val="18"/>
          <w:szCs w:val="18"/>
          <w:color w:val="auto"/>
        </w:rPr>
      </w:pPr>
    </w:p>
    <w:p>
      <w:pPr>
        <w:ind w:left="622"/>
        <w:spacing w:after="0"/>
        <w:rPr>
          <w:rFonts w:ascii="Arial" w:cs="Arial" w:eastAsia="Arial" w:hAnsi="Arial"/>
          <w:sz w:val="18"/>
          <w:szCs w:val="18"/>
          <w:color w:val="auto"/>
        </w:rPr>
      </w:pPr>
      <w:r>
        <w:rPr>
          <w:rFonts w:ascii="Arial" w:cs="Arial" w:eastAsia="Arial" w:hAnsi="Arial"/>
          <w:sz w:val="18"/>
          <w:szCs w:val="18"/>
          <w:b w:val="1"/>
          <w:bCs w:val="1"/>
          <w:color w:val="auto"/>
        </w:rPr>
        <w:t>Nominees:</w:t>
      </w:r>
    </w:p>
    <w:p>
      <w:pPr>
        <w:spacing w:after="0" w:line="108" w:lineRule="exact"/>
        <w:rPr>
          <w:sz w:val="20"/>
          <w:szCs w:val="20"/>
          <w:color w:val="auto"/>
        </w:rPr>
      </w:pPr>
    </w:p>
    <w:tbl>
      <w:tblPr>
        <w:tblLayout w:type="fixed"/>
        <w:tblInd w:w="622" w:type="dxa"/>
        <w:tblCellMar>
          <w:top w:w="0" w:type="dxa"/>
          <w:left w:w="0" w:type="dxa"/>
          <w:bottom w:w="0" w:type="dxa"/>
          <w:right w:w="0" w:type="dxa"/>
        </w:tblCellMar>
      </w:tblPr>
      <w:tr>
        <w:trPr>
          <w:trHeight w:val="230"/>
        </w:trPr>
        <w:tc>
          <w:tcPr>
            <w:tcW w:w="320" w:type="dxa"/>
            <w:vAlign w:val="bottom"/>
          </w:tcPr>
          <w:p>
            <w:pPr>
              <w:jc w:val="right"/>
              <w:spacing w:after="0"/>
              <w:rPr>
                <w:sz w:val="20"/>
                <w:szCs w:val="20"/>
                <w:color w:val="auto"/>
              </w:rPr>
            </w:pPr>
            <w:r>
              <w:rPr>
                <w:rFonts w:ascii="Arial" w:cs="Arial" w:eastAsia="Arial" w:hAnsi="Arial"/>
                <w:sz w:val="18"/>
                <w:szCs w:val="18"/>
                <w:color w:val="auto"/>
                <w:w w:val="84"/>
              </w:rPr>
              <w:t>01)</w:t>
            </w:r>
          </w:p>
        </w:tc>
        <w:tc>
          <w:tcPr>
            <w:tcW w:w="2500" w:type="dxa"/>
            <w:vAlign w:val="bottom"/>
          </w:tcPr>
          <w:p>
            <w:pPr>
              <w:ind w:left="80"/>
              <w:spacing w:after="0"/>
              <w:rPr>
                <w:sz w:val="20"/>
                <w:szCs w:val="20"/>
                <w:color w:val="auto"/>
              </w:rPr>
            </w:pPr>
            <w:r>
              <w:rPr>
                <w:rFonts w:ascii="Arial" w:cs="Arial" w:eastAsia="Arial" w:hAnsi="Arial"/>
                <w:sz w:val="18"/>
                <w:szCs w:val="18"/>
                <w:color w:val="auto"/>
              </w:rPr>
              <w:t>Alison Davis</w:t>
            </w: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c>
          <w:tcPr>
            <w:tcW w:w="1780" w:type="dxa"/>
            <w:vAlign w:val="bottom"/>
          </w:tcPr>
          <w:p>
            <w:pPr>
              <w:ind w:left="100"/>
              <w:spacing w:after="0"/>
              <w:rPr>
                <w:sz w:val="20"/>
                <w:szCs w:val="20"/>
                <w:color w:val="auto"/>
              </w:rPr>
            </w:pPr>
            <w:r>
              <w:rPr>
                <w:rFonts w:ascii="Arial" w:cs="Arial" w:eastAsia="Arial" w:hAnsi="Arial"/>
                <w:sz w:val="18"/>
                <w:szCs w:val="18"/>
                <w:color w:val="auto"/>
              </w:rPr>
              <w:t>Kim M. Robak</w:t>
            </w:r>
          </w:p>
        </w:tc>
      </w:tr>
      <w:tr>
        <w:trPr>
          <w:trHeight w:val="216"/>
        </w:trPr>
        <w:tc>
          <w:tcPr>
            <w:tcW w:w="320" w:type="dxa"/>
            <w:vAlign w:val="bottom"/>
          </w:tcPr>
          <w:p>
            <w:pPr>
              <w:jc w:val="right"/>
              <w:spacing w:after="0"/>
              <w:rPr>
                <w:sz w:val="20"/>
                <w:szCs w:val="20"/>
                <w:color w:val="auto"/>
              </w:rPr>
            </w:pPr>
            <w:r>
              <w:rPr>
                <w:rFonts w:ascii="Arial" w:cs="Arial" w:eastAsia="Arial" w:hAnsi="Arial"/>
                <w:sz w:val="18"/>
                <w:szCs w:val="18"/>
                <w:color w:val="auto"/>
                <w:w w:val="84"/>
              </w:rPr>
              <w:t>02)</w:t>
            </w:r>
          </w:p>
        </w:tc>
        <w:tc>
          <w:tcPr>
            <w:tcW w:w="2500" w:type="dxa"/>
            <w:vAlign w:val="bottom"/>
          </w:tcPr>
          <w:p>
            <w:pPr>
              <w:ind w:left="100"/>
              <w:spacing w:after="0"/>
              <w:rPr>
                <w:sz w:val="20"/>
                <w:szCs w:val="20"/>
                <w:color w:val="auto"/>
              </w:rPr>
            </w:pPr>
            <w:r>
              <w:rPr>
                <w:rFonts w:ascii="Arial" w:cs="Arial" w:eastAsia="Arial" w:hAnsi="Arial"/>
                <w:sz w:val="18"/>
                <w:szCs w:val="18"/>
                <w:color w:val="auto"/>
              </w:rPr>
              <w:t>Christopher M. Flink</w:t>
            </w: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c>
          <w:tcPr>
            <w:tcW w:w="1780" w:type="dxa"/>
            <w:vAlign w:val="bottom"/>
          </w:tcPr>
          <w:p>
            <w:pPr>
              <w:ind w:left="100"/>
              <w:spacing w:after="0"/>
              <w:rPr>
                <w:sz w:val="20"/>
                <w:szCs w:val="20"/>
                <w:color w:val="auto"/>
              </w:rPr>
            </w:pPr>
            <w:r>
              <w:rPr>
                <w:rFonts w:ascii="Arial" w:cs="Arial" w:eastAsia="Arial" w:hAnsi="Arial"/>
                <w:sz w:val="18"/>
                <w:szCs w:val="18"/>
                <w:color w:val="auto"/>
              </w:rPr>
              <w:t>JD Sherman</w:t>
            </w:r>
          </w:p>
        </w:tc>
      </w:tr>
      <w:tr>
        <w:trPr>
          <w:trHeight w:val="216"/>
        </w:trPr>
        <w:tc>
          <w:tcPr>
            <w:tcW w:w="320" w:type="dxa"/>
            <w:vAlign w:val="bottom"/>
          </w:tcPr>
          <w:p>
            <w:pPr>
              <w:jc w:val="right"/>
              <w:spacing w:after="0"/>
              <w:rPr>
                <w:sz w:val="20"/>
                <w:szCs w:val="20"/>
                <w:color w:val="auto"/>
              </w:rPr>
            </w:pPr>
            <w:r>
              <w:rPr>
                <w:rFonts w:ascii="Arial" w:cs="Arial" w:eastAsia="Arial" w:hAnsi="Arial"/>
                <w:sz w:val="18"/>
                <w:szCs w:val="18"/>
                <w:color w:val="auto"/>
                <w:w w:val="84"/>
              </w:rPr>
              <w:t>03)</w:t>
            </w:r>
          </w:p>
        </w:tc>
        <w:tc>
          <w:tcPr>
            <w:tcW w:w="2500" w:type="dxa"/>
            <w:vAlign w:val="bottom"/>
          </w:tcPr>
          <w:p>
            <w:pPr>
              <w:ind w:left="100"/>
              <w:spacing w:after="0"/>
              <w:rPr>
                <w:sz w:val="20"/>
                <w:szCs w:val="20"/>
                <w:color w:val="auto"/>
              </w:rPr>
            </w:pPr>
            <w:r>
              <w:rPr>
                <w:rFonts w:ascii="Arial" w:cs="Arial" w:eastAsia="Arial" w:hAnsi="Arial"/>
                <w:sz w:val="18"/>
                <w:szCs w:val="18"/>
                <w:color w:val="auto"/>
              </w:rPr>
              <w:t>Daniel P. Kearney</w:t>
            </w: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c>
          <w:tcPr>
            <w:tcW w:w="1780" w:type="dxa"/>
            <w:vAlign w:val="bottom"/>
          </w:tcPr>
          <w:p>
            <w:pPr>
              <w:ind w:left="100"/>
              <w:spacing w:after="0"/>
              <w:rPr>
                <w:sz w:val="20"/>
                <w:szCs w:val="20"/>
                <w:color w:val="auto"/>
              </w:rPr>
            </w:pPr>
            <w:r>
              <w:rPr>
                <w:rFonts w:ascii="Arial" w:cs="Arial" w:eastAsia="Arial" w:hAnsi="Arial"/>
                <w:sz w:val="18"/>
                <w:szCs w:val="18"/>
                <w:color w:val="auto"/>
              </w:rPr>
              <w:t>Doyle R. Simons</w:t>
            </w:r>
          </w:p>
        </w:tc>
      </w:tr>
      <w:tr>
        <w:trPr>
          <w:trHeight w:val="216"/>
        </w:trPr>
        <w:tc>
          <w:tcPr>
            <w:tcW w:w="320" w:type="dxa"/>
            <w:vAlign w:val="bottom"/>
          </w:tcPr>
          <w:p>
            <w:pPr>
              <w:jc w:val="right"/>
              <w:spacing w:after="0"/>
              <w:rPr>
                <w:sz w:val="20"/>
                <w:szCs w:val="20"/>
                <w:color w:val="auto"/>
              </w:rPr>
            </w:pPr>
            <w:r>
              <w:rPr>
                <w:rFonts w:ascii="Arial" w:cs="Arial" w:eastAsia="Arial" w:hAnsi="Arial"/>
                <w:sz w:val="18"/>
                <w:szCs w:val="18"/>
                <w:color w:val="auto"/>
                <w:w w:val="84"/>
              </w:rPr>
              <w:t>04)</w:t>
            </w:r>
          </w:p>
        </w:tc>
        <w:tc>
          <w:tcPr>
            <w:tcW w:w="2500" w:type="dxa"/>
            <w:vAlign w:val="bottom"/>
          </w:tcPr>
          <w:p>
            <w:pPr>
              <w:ind w:left="100"/>
              <w:spacing w:after="0"/>
              <w:rPr>
                <w:sz w:val="20"/>
                <w:szCs w:val="20"/>
                <w:color w:val="auto"/>
              </w:rPr>
            </w:pPr>
            <w:r>
              <w:rPr>
                <w:rFonts w:ascii="Arial" w:cs="Arial" w:eastAsia="Arial" w:hAnsi="Arial"/>
                <w:sz w:val="18"/>
                <w:szCs w:val="18"/>
                <w:color w:val="auto"/>
              </w:rPr>
              <w:t>Dennis F. Lynch</w:t>
            </w: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780" w:type="dxa"/>
            <w:vAlign w:val="bottom"/>
          </w:tcPr>
          <w:p>
            <w:pPr>
              <w:ind w:left="100"/>
              <w:spacing w:after="0"/>
              <w:rPr>
                <w:sz w:val="20"/>
                <w:szCs w:val="20"/>
                <w:color w:val="auto"/>
              </w:rPr>
            </w:pPr>
            <w:r>
              <w:rPr>
                <w:rFonts w:ascii="Arial" w:cs="Arial" w:eastAsia="Arial" w:hAnsi="Arial"/>
                <w:sz w:val="18"/>
                <w:szCs w:val="18"/>
                <w:color w:val="auto"/>
                <w:w w:val="89"/>
              </w:rPr>
              <w:t>Thomas C. Wertheimer</w:t>
            </w:r>
          </w:p>
        </w:tc>
      </w:tr>
      <w:tr>
        <w:trPr>
          <w:trHeight w:val="216"/>
        </w:trPr>
        <w:tc>
          <w:tcPr>
            <w:tcW w:w="320" w:type="dxa"/>
            <w:vAlign w:val="bottom"/>
          </w:tcPr>
          <w:p>
            <w:pPr>
              <w:jc w:val="right"/>
              <w:spacing w:after="0"/>
              <w:rPr>
                <w:sz w:val="20"/>
                <w:szCs w:val="20"/>
                <w:color w:val="auto"/>
              </w:rPr>
            </w:pPr>
            <w:r>
              <w:rPr>
                <w:rFonts w:ascii="Arial" w:cs="Arial" w:eastAsia="Arial" w:hAnsi="Arial"/>
                <w:sz w:val="18"/>
                <w:szCs w:val="18"/>
                <w:color w:val="auto"/>
                <w:w w:val="84"/>
              </w:rPr>
              <w:t>05)</w:t>
            </w:r>
          </w:p>
        </w:tc>
        <w:tc>
          <w:tcPr>
            <w:tcW w:w="2500" w:type="dxa"/>
            <w:vAlign w:val="bottom"/>
          </w:tcPr>
          <w:p>
            <w:pPr>
              <w:ind w:left="100"/>
              <w:spacing w:after="0"/>
              <w:rPr>
                <w:sz w:val="20"/>
                <w:szCs w:val="20"/>
                <w:color w:val="auto"/>
              </w:rPr>
            </w:pPr>
            <w:r>
              <w:rPr>
                <w:rFonts w:ascii="Arial" w:cs="Arial" w:eastAsia="Arial" w:hAnsi="Arial"/>
                <w:sz w:val="18"/>
                <w:szCs w:val="18"/>
                <w:color w:val="auto"/>
              </w:rPr>
              <w:t>Denis J. O’Leary</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780" w:type="dxa"/>
            <w:vAlign w:val="bottom"/>
          </w:tcPr>
          <w:p>
            <w:pPr>
              <w:ind w:left="80"/>
              <w:spacing w:after="0"/>
              <w:rPr>
                <w:sz w:val="20"/>
                <w:szCs w:val="20"/>
                <w:color w:val="auto"/>
              </w:rPr>
            </w:pPr>
            <w:r>
              <w:rPr>
                <w:rFonts w:ascii="Arial" w:cs="Arial" w:eastAsia="Arial" w:hAnsi="Arial"/>
                <w:sz w:val="18"/>
                <w:szCs w:val="18"/>
                <w:color w:val="auto"/>
              </w:rPr>
              <w:t>Jeffery W. Yabuki</w:t>
            </w:r>
          </w:p>
        </w:tc>
      </w:tr>
      <w:tr>
        <w:trPr>
          <w:trHeight w:val="230"/>
        </w:trPr>
        <w:tc>
          <w:tcPr>
            <w:tcW w:w="320" w:type="dxa"/>
            <w:vAlign w:val="bottom"/>
          </w:tcPr>
          <w:p>
            <w:pPr>
              <w:jc w:val="right"/>
              <w:spacing w:after="0"/>
              <w:rPr>
                <w:sz w:val="20"/>
                <w:szCs w:val="20"/>
                <w:color w:val="auto"/>
              </w:rPr>
            </w:pPr>
            <w:r>
              <w:rPr>
                <w:rFonts w:ascii="Arial" w:cs="Arial" w:eastAsia="Arial" w:hAnsi="Arial"/>
                <w:sz w:val="18"/>
                <w:szCs w:val="18"/>
                <w:color w:val="auto"/>
                <w:w w:val="84"/>
              </w:rPr>
              <w:t>06)</w:t>
            </w:r>
          </w:p>
        </w:tc>
        <w:tc>
          <w:tcPr>
            <w:tcW w:w="2500" w:type="dxa"/>
            <w:vAlign w:val="bottom"/>
          </w:tcPr>
          <w:p>
            <w:pPr>
              <w:ind w:left="100"/>
              <w:spacing w:after="0"/>
              <w:rPr>
                <w:sz w:val="20"/>
                <w:szCs w:val="20"/>
                <w:color w:val="auto"/>
              </w:rPr>
            </w:pPr>
            <w:r>
              <w:rPr>
                <w:rFonts w:ascii="Arial" w:cs="Arial" w:eastAsia="Arial" w:hAnsi="Arial"/>
                <w:sz w:val="18"/>
                <w:szCs w:val="18"/>
                <w:color w:val="auto"/>
              </w:rPr>
              <w:t>Glenn M. Renwick</w:t>
            </w:r>
          </w:p>
        </w:tc>
        <w:tc>
          <w:tcPr>
            <w:tcW w:w="122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line="198"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The Board of Directors recommends you vote FOR proposals 2 and 3:</w:t>
      </w:r>
    </w:p>
    <w:p>
      <w:pPr>
        <w:spacing w:after="0" w:line="121" w:lineRule="exact"/>
        <w:rPr>
          <w:sz w:val="20"/>
          <w:szCs w:val="20"/>
          <w:color w:val="auto"/>
        </w:rPr>
      </w:pPr>
    </w:p>
    <w:p>
      <w:pPr>
        <w:ind w:left="502" w:hanging="502"/>
        <w:spacing w:after="0"/>
        <w:tabs>
          <w:tab w:leader="none" w:pos="502"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the named executive officers of Fiserv, Inc.</w:t>
      </w:r>
    </w:p>
    <w:p>
      <w:pPr>
        <w:spacing w:after="0" w:line="117" w:lineRule="exact"/>
        <w:rPr>
          <w:rFonts w:ascii="Arial" w:cs="Arial" w:eastAsia="Arial" w:hAnsi="Arial"/>
          <w:sz w:val="18"/>
          <w:szCs w:val="18"/>
          <w:color w:val="auto"/>
        </w:rPr>
      </w:pPr>
    </w:p>
    <w:p>
      <w:pPr>
        <w:ind w:left="502" w:hanging="502"/>
        <w:spacing w:after="0"/>
        <w:tabs>
          <w:tab w:leader="none" w:pos="502"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ratify the appointment of Deloitte &amp; Touche LLP as the independent registered public accounting firm of Fiserv, Inc. for 2016.</w:t>
      </w:r>
    </w:p>
    <w:p>
      <w:pPr>
        <w:spacing w:after="0" w:line="233"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The Board of Directors recommends you vote AGAINST the following proposal:</w:t>
      </w:r>
    </w:p>
    <w:p>
      <w:pPr>
        <w:spacing w:after="0" w:line="121" w:lineRule="exact"/>
        <w:rPr>
          <w:sz w:val="20"/>
          <w:szCs w:val="20"/>
          <w:color w:val="auto"/>
        </w:rPr>
      </w:pPr>
    </w:p>
    <w:p>
      <w:pPr>
        <w:ind w:left="502" w:hanging="502"/>
        <w:spacing w:after="0"/>
        <w:tabs>
          <w:tab w:leader="none" w:pos="50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shareholder proposal asking the board of directors to adopt and present for shareholder approval a proxy access by-law.</w:t>
      </w:r>
    </w:p>
    <w:p>
      <w:pPr>
        <w:spacing w:after="0" w:line="221" w:lineRule="exact"/>
        <w:rPr>
          <w:sz w:val="20"/>
          <w:szCs w:val="20"/>
          <w:color w:val="auto"/>
        </w:rPr>
      </w:pPr>
    </w:p>
    <w:p>
      <w:pPr>
        <w:ind w:left="2"/>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If other matters properly come before the meeting or any adjournment or postponement thereof, it is intended that shares represented by</w:t>
      </w:r>
      <w:r>
        <w:rPr>
          <w:rFonts w:ascii="Arial" w:cs="Arial" w:eastAsia="Arial" w:hAnsi="Arial"/>
          <w:sz w:val="18"/>
          <w:szCs w:val="18"/>
          <w:b w:val="1"/>
          <w:bCs w:val="1"/>
          <w:color w:val="auto"/>
        </w:rPr>
        <w:t xml:space="preserve"> </w:t>
      </w:r>
      <w:r>
        <w:rPr>
          <w:rFonts w:ascii="Arial" w:cs="Arial" w:eastAsia="Arial" w:hAnsi="Arial"/>
          <w:sz w:val="18"/>
          <w:szCs w:val="18"/>
          <w:color w:val="auto"/>
        </w:rPr>
        <w:t>proxies will be voted in the discretion of the proxy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243205</wp:posOffset>
            </wp:positionV>
            <wp:extent cx="68580" cy="660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60400"/>
                    </a:xfrm>
                    <a:prstGeom prst="rect">
                      <a:avLst/>
                    </a:prstGeom>
                    <a:noFill/>
                  </pic:spPr>
                </pic:pic>
              </a:graphicData>
            </a:graphic>
          </wp:anchor>
        </w:drawing>
      </w:r>
    </w:p>
    <w:p>
      <w:pPr>
        <w:sectPr>
          <w:pgSz w:w="11900" w:h="16838" w:orient="portrait"/>
          <w:cols w:equalWidth="0" w:num="1">
            <w:col w:w="10402"/>
          </w:cols>
          <w:pgMar w:left="538" w:top="297" w:right="95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448945</wp:posOffset>
            </wp:positionH>
            <wp:positionV relativeFrom="page">
              <wp:posOffset>1830070</wp:posOffset>
            </wp:positionV>
            <wp:extent cx="701865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8655" cy="26035"/>
                    </a:xfrm>
                    <a:prstGeom prst="rect">
                      <a:avLst/>
                    </a:prstGeom>
                    <a:noFill/>
                  </pic:spPr>
                </pic:pic>
              </a:graphicData>
            </a:graphic>
          </wp:anchor>
        </w:drawing>
        <w:drawing>
          <wp:anchor simplePos="0" relativeHeight="251657728" behindDoc="1" locked="0" layoutInCell="0" allowOverlap="1">
            <wp:simplePos x="0" y="0"/>
            <wp:positionH relativeFrom="page">
              <wp:posOffset>448945</wp:posOffset>
            </wp:positionH>
            <wp:positionV relativeFrom="page">
              <wp:posOffset>1872615</wp:posOffset>
            </wp:positionV>
            <wp:extent cx="7018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1865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3081655</wp:posOffset>
            </wp:positionV>
            <wp:extent cx="68580" cy="660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8580" cy="660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E-mail communication regarding electronic delivery</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You received this e-mail because our records show that (1) you are an employee of FISERV, INC. who has regular access to the company’s e-mail in the ordinary course of performing your duties and are expected to log-on to e-mail routinely to receive communications or (2) you have expressly consented to receive FISERV, INC. communications and vote by proxy via the Internet. You may have given this consent during a prior vote at ProxyVote.com.</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Important Notice Regarding Availability of Proxy Materials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2016 FISERV, INC. Annual Meeting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MEETING DATE: May 18,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RECORD DATE: March 21,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CUSIP NUMBER: 337738108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e-mail relates to all shares in the following account(s):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2040" w:type="dxa"/>
            <w:vAlign w:val="bottom"/>
            <w:vMerge w:val="restart"/>
          </w:tcPr>
          <w:p>
            <w:pPr>
              <w:jc w:val="right"/>
              <w:spacing w:after="0"/>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195"/>
        </w:trPr>
        <w:tc>
          <w:tcPr>
            <w:tcW w:w="2420" w:type="dxa"/>
            <w:vAlign w:val="bottom"/>
          </w:tcPr>
          <w:p>
            <w:pPr>
              <w:spacing w:after="0" w:line="195" w:lineRule="exact"/>
              <w:rPr>
                <w:sz w:val="20"/>
                <w:szCs w:val="20"/>
                <w:color w:val="auto"/>
              </w:rPr>
            </w:pPr>
            <w:r>
              <w:rPr>
                <w:rFonts w:ascii="Arial" w:cs="Arial" w:eastAsia="Arial" w:hAnsi="Arial"/>
                <w:sz w:val="18"/>
                <w:szCs w:val="18"/>
                <w:color w:val="auto"/>
              </w:rPr>
              <w:t>FISERV, INC. - COMMON</w:t>
            </w:r>
          </w:p>
        </w:tc>
        <w:tc>
          <w:tcPr>
            <w:tcW w:w="2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FISERV, INC. 401K</w:t>
            </w:r>
          </w:p>
        </w:tc>
        <w:tc>
          <w:tcPr>
            <w:tcW w:w="2040" w:type="dxa"/>
            <w:vAlign w:val="bottom"/>
          </w:tcPr>
          <w:p>
            <w:pPr>
              <w:jc w:val="right"/>
              <w:spacing w:after="0"/>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FISERV, INC.</w:t>
            </w:r>
          </w:p>
        </w:tc>
        <w:tc>
          <w:tcPr>
            <w:tcW w:w="2040" w:type="dxa"/>
            <w:vAlign w:val="bottom"/>
          </w:tcPr>
          <w:p>
            <w:pPr>
              <w:jc w:val="right"/>
              <w:spacing w:after="0"/>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FISERV, INC.</w:t>
            </w:r>
          </w:p>
        </w:tc>
        <w:tc>
          <w:tcPr>
            <w:tcW w:w="2040" w:type="dxa"/>
            <w:vAlign w:val="bottom"/>
          </w:tcPr>
          <w:p>
            <w:pPr>
              <w:jc w:val="right"/>
              <w:spacing w:after="0"/>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FISERV, INC.</w:t>
            </w:r>
          </w:p>
        </w:tc>
        <w:tc>
          <w:tcPr>
            <w:tcW w:w="2040" w:type="dxa"/>
            <w:vAlign w:val="bottom"/>
          </w:tcPr>
          <w:p>
            <w:pPr>
              <w:jc w:val="right"/>
              <w:spacing w:after="0"/>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FISERV, INC.</w:t>
            </w:r>
          </w:p>
        </w:tc>
        <w:tc>
          <w:tcPr>
            <w:tcW w:w="2040" w:type="dxa"/>
            <w:vAlign w:val="bottom"/>
          </w:tcPr>
          <w:p>
            <w:pPr>
              <w:jc w:val="right"/>
              <w:spacing w:after="0"/>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FISERV, INC.</w:t>
            </w:r>
          </w:p>
        </w:tc>
        <w:tc>
          <w:tcPr>
            <w:tcW w:w="2040" w:type="dxa"/>
            <w:vAlign w:val="bottom"/>
          </w:tcPr>
          <w:p>
            <w:pPr>
              <w:jc w:val="right"/>
              <w:spacing w:after="0"/>
              <w:rPr>
                <w:sz w:val="20"/>
                <w:szCs w:val="20"/>
                <w:color w:val="auto"/>
              </w:rPr>
            </w:pPr>
            <w:r>
              <w:rPr>
                <w:rFonts w:ascii="Arial" w:cs="Arial" w:eastAsia="Arial" w:hAnsi="Arial"/>
                <w:sz w:val="18"/>
                <w:szCs w:val="18"/>
                <w:color w:val="auto"/>
              </w:rPr>
              <w:t>123,456,789,012.00000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You can enter your voting instructions and view the shareholder material at the Internet site below. If your browser supports secure transactions, you will automatically be directed to a secure site.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https://www.proxyvote.com/00123456789012345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 may need your CONTROL NUMBER and your PIN:</w:t>
      </w:r>
    </w:p>
    <w:p>
      <w:pPr>
        <w:spacing w:after="0" w:line="252"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CONTROL NUMBER: 0123456789012345</w:t>
      </w:r>
    </w:p>
    <w:p>
      <w:pPr>
        <w:spacing w:after="0" w:line="2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you are an employee of FISERV, INC., your PIN is the last four digits of your Social Security number.</w:t>
      </w:r>
    </w:p>
    <w:p>
      <w:pPr>
        <w:spacing w:after="0" w:line="9" w:lineRule="exact"/>
        <w:rPr>
          <w:rFonts w:ascii="Arial" w:cs="Arial" w:eastAsia="Arial" w:hAnsi="Arial"/>
          <w:sz w:val="18"/>
          <w:szCs w:val="18"/>
          <w:color w:val="auto"/>
        </w:rPr>
      </w:pPr>
    </w:p>
    <w:p>
      <w:pPr>
        <w:ind w:left="660" w:hanging="206"/>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you are a shareholder who consented to receive proxy materials electronically, your PIN is the four-digit number you selected at the time of your enrollment.</w:t>
      </w: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you have forgotten your PIN please follow the “Forgot PIN” instructions on proxyvote.com.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Internet voting is accepted up to 11:59 p.m. (ET) the day before the meeting/cut off date.</w:t>
      </w:r>
    </w:p>
    <w:p>
      <w:pPr>
        <w:sectPr>
          <w:pgSz w:w="11900" w:h="16838" w:orient="portrait"/>
          <w:cols w:equalWidth="0" w:num="1">
            <w:col w:w="11260"/>
          </w:cols>
          <w:pgMar w:left="240" w:top="274"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materials can also be found at the following Internet site(s):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https://materials.proxyvote.com/Approved/337738/20160321/NPS_277753.PDF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10-K Report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https://materials.proxyvote.com/Approved/337738/20160321/10K_276479.PDF</w:t>
      </w:r>
    </w:p>
    <w:p>
      <w:pPr>
        <w:spacing w:after="0" w:line="2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If you would like to cancel your enrollment, or change your e-mail address or PIN, please go to https://www.InvestorDelivery.com. You will need the enrollment number below and your four-digit PIN. If you have forgotten your PIN, you can have it sent to your enrolled e-mail address by going to https://www.InvestorDelivery.com.</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Your InvestorDelivery Enrollment Number is:</w:t>
            </w:r>
          </w:p>
        </w:tc>
        <w:tc>
          <w:tcPr>
            <w:tcW w:w="1980" w:type="dxa"/>
            <w:vAlign w:val="bottom"/>
          </w:tcPr>
          <w:p>
            <w:pPr>
              <w:ind w:left="740"/>
              <w:spacing w:after="0"/>
              <w:rPr>
                <w:sz w:val="20"/>
                <w:szCs w:val="20"/>
                <w:color w:val="auto"/>
              </w:rPr>
            </w:pPr>
            <w:r>
              <w:rPr>
                <w:rFonts w:ascii="Arial" w:cs="Arial" w:eastAsia="Arial" w:hAnsi="Arial"/>
                <w:sz w:val="18"/>
                <w:szCs w:val="18"/>
                <w:color w:val="auto"/>
                <w:w w:val="90"/>
              </w:rPr>
              <w:t>M012345678901</w:t>
            </w: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are no charges for this service. There may be costs associated with electronic access, such as usage charges from Internet access providers and telephone companies, which must be borne by the stockholder.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Questions regarding this communication should be directed to your advisor or the company’s Investor Relations department. For questions specific to the proxyvote.com website, please reply to this email and include the original text and subject line for identification purposes.</w:t>
      </w:r>
    </w:p>
    <w:sectPr>
      <w:pgSz w:w="11900" w:h="16838" w:orient="portrait"/>
      <w:cols w:equalWidth="0" w:num="1">
        <w:col w:w="11060"/>
      </w:cols>
      <w:pgMar w:left="240" w:top="27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2)"/>
      <w:numFmt w:val="decimal"/>
      <w:start w:val="1"/>
    </w:lvl>
  </w:abstractNum>
  <w:abstractNum w:abstractNumId="5">
    <w:nsid w:val="515F007C"/>
    <w:multiLevelType w:val="hybridMultilevel"/>
    <w:lvl w:ilvl="0">
      <w:lvlJc w:val="left"/>
      <w:lvlText w:val="(%1)"/>
      <w:numFmt w:val="decimal"/>
      <w:start w:val="4"/>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2"/>
    </w:lvl>
  </w:abstractNum>
  <w:abstractNum w:abstractNumId="9">
    <w:nsid w:val="216231B"/>
    <w:multiLevelType w:val="hybridMultilevel"/>
    <w:lvl w:ilvl="0">
      <w:lvlJc w:val="left"/>
      <w:lvlText w:val="%1."/>
      <w:numFmt w:val="decimal"/>
      <w:start w:val="4"/>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2019-12-05T19:25:02Z</dcterms:created>
  <dcterms:modified xsi:type="dcterms:W3CDTF">2019-12-05T19:25:02Z</dcterms:modified>
</cp:coreProperties>
</file>