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ind w:left="24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color w:val="auto"/>
        </w:rPr>
        <w:t>WASHINGTON, D. C. 20549</w:t>
      </w:r>
    </w:p>
    <w:p>
      <w:pPr>
        <w:spacing w:after="0" w:line="207"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7"/>
          <w:szCs w:val="17"/>
          <w:color w:val="auto"/>
        </w:rPr>
        <w:t>FORM 10-Q</w:t>
      </w: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Quarterly Report Under Section 13 or 15(d)</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pacing w:after="0" w:line="207" w:lineRule="exact"/>
        <w:rPr>
          <w:sz w:val="24"/>
          <w:szCs w:val="24"/>
          <w:color w:val="auto"/>
        </w:rPr>
      </w:pPr>
    </w:p>
    <w:p>
      <w:pPr>
        <w:ind w:left="120"/>
        <w:spacing w:after="0"/>
        <w:tabs>
          <w:tab w:leader="none" w:pos="5180" w:val="left"/>
        </w:tabs>
        <w:rPr>
          <w:sz w:val="20"/>
          <w:szCs w:val="20"/>
          <w:color w:val="auto"/>
        </w:rPr>
      </w:pPr>
      <w:r>
        <w:rPr>
          <w:rFonts w:ascii="Courier New" w:cs="Courier New" w:eastAsia="Courier New" w:hAnsi="Courier New"/>
          <w:sz w:val="17"/>
          <w:szCs w:val="17"/>
          <w:color w:val="auto"/>
        </w:rPr>
        <w:t>FOR QUARTER ENDED MARCH 31, 1999</w:t>
      </w:r>
      <w:r>
        <w:rPr>
          <w:sz w:val="20"/>
          <w:szCs w:val="20"/>
          <w:color w:val="auto"/>
        </w:rPr>
        <w:tab/>
      </w:r>
      <w:r>
        <w:rPr>
          <w:rFonts w:ascii="Courier New" w:cs="Courier New" w:eastAsia="Courier New" w:hAnsi="Courier New"/>
          <w:sz w:val="17"/>
          <w:szCs w:val="17"/>
          <w:color w:val="auto"/>
        </w:rPr>
        <w:t>COMMISSION FILE NUMBER 0-14948</w:t>
      </w: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FISERV, INC.</w:t>
      </w:r>
    </w:p>
    <w:p>
      <w:pPr>
        <w:spacing w:after="0" w:line="7"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7" w:lineRule="exact"/>
        <w:rPr>
          <w:sz w:val="24"/>
          <w:szCs w:val="24"/>
          <w:color w:val="auto"/>
        </w:rPr>
      </w:pPr>
    </w:p>
    <w:p>
      <w:pPr>
        <w:ind w:left="13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5360" w:type="dxa"/>
            <w:vAlign w:val="bottom"/>
          </w:tcPr>
          <w:p>
            <w:pPr>
              <w:jc w:val="right"/>
              <w:ind w:right="2873"/>
              <w:spacing w:after="0"/>
              <w:rPr>
                <w:sz w:val="20"/>
                <w:szCs w:val="20"/>
                <w:color w:val="auto"/>
              </w:rPr>
            </w:pPr>
            <w:r>
              <w:rPr>
                <w:rFonts w:ascii="Courier New" w:cs="Courier New" w:eastAsia="Courier New" w:hAnsi="Courier New"/>
                <w:sz w:val="17"/>
                <w:szCs w:val="17"/>
                <w:color w:val="auto"/>
              </w:rPr>
              <w:t>WISCONSIN</w:t>
            </w:r>
          </w:p>
        </w:tc>
        <w:tc>
          <w:tcPr>
            <w:tcW w:w="316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39-1506125</w:t>
            </w:r>
          </w:p>
        </w:tc>
      </w:tr>
      <w:tr>
        <w:trPr>
          <w:trHeight w:val="200"/>
        </w:trPr>
        <w:tc>
          <w:tcPr>
            <w:tcW w:w="5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360" w:type="dxa"/>
            <w:vAlign w:val="bottom"/>
          </w:tcPr>
          <w:p>
            <w:pPr>
              <w:spacing w:after="0"/>
              <w:rPr>
                <w:sz w:val="20"/>
                <w:szCs w:val="20"/>
                <w:color w:val="auto"/>
              </w:rPr>
            </w:pPr>
            <w:r>
              <w:rPr>
                <w:rFonts w:ascii="Courier New" w:cs="Courier New" w:eastAsia="Courier New" w:hAnsi="Courier New"/>
                <w:sz w:val="17"/>
                <w:szCs w:val="17"/>
                <w:color w:val="auto"/>
              </w:rPr>
              <w:t>(State or other jurisdiction of incorporation</w:t>
            </w:r>
          </w:p>
        </w:tc>
        <w:tc>
          <w:tcPr>
            <w:tcW w:w="316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(I.R.S. Employer</w:t>
            </w:r>
          </w:p>
        </w:tc>
      </w:tr>
      <w:tr>
        <w:trPr>
          <w:trHeight w:val="200"/>
        </w:trPr>
        <w:tc>
          <w:tcPr>
            <w:tcW w:w="5360" w:type="dxa"/>
            <w:vAlign w:val="bottom"/>
          </w:tcPr>
          <w:p>
            <w:pPr>
              <w:jc w:val="right"/>
              <w:ind w:right="2873"/>
              <w:spacing w:after="0"/>
              <w:rPr>
                <w:sz w:val="20"/>
                <w:szCs w:val="20"/>
                <w:color w:val="auto"/>
              </w:rPr>
            </w:pPr>
            <w:r>
              <w:rPr>
                <w:rFonts w:ascii="Courier New" w:cs="Courier New" w:eastAsia="Courier New" w:hAnsi="Courier New"/>
                <w:sz w:val="17"/>
                <w:szCs w:val="17"/>
                <w:color w:val="auto"/>
              </w:rPr>
              <w:t>or organization)</w:t>
            </w:r>
          </w:p>
        </w:tc>
        <w:tc>
          <w:tcPr>
            <w:tcW w:w="31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Identification No.)</w:t>
            </w:r>
          </w:p>
        </w:tc>
      </w:tr>
      <w:tr>
        <w:trPr>
          <w:trHeight w:val="599"/>
        </w:trPr>
        <w:tc>
          <w:tcPr>
            <w:tcW w:w="5360" w:type="dxa"/>
            <w:vAlign w:val="bottom"/>
          </w:tcPr>
          <w:p>
            <w:pPr>
              <w:jc w:val="center"/>
              <w:ind w:right="793"/>
              <w:spacing w:after="0"/>
              <w:rPr>
                <w:sz w:val="20"/>
                <w:szCs w:val="20"/>
                <w:color w:val="auto"/>
              </w:rPr>
            </w:pPr>
            <w:r>
              <w:rPr>
                <w:rFonts w:ascii="Courier New" w:cs="Courier New" w:eastAsia="Courier New" w:hAnsi="Courier New"/>
                <w:sz w:val="17"/>
                <w:szCs w:val="17"/>
                <w:color w:val="auto"/>
              </w:rPr>
              <w:t>255 FISERV DRIVE, BROOKFIELD, WI.</w:t>
            </w:r>
          </w:p>
        </w:tc>
        <w:tc>
          <w:tcPr>
            <w:tcW w:w="3160" w:type="dxa"/>
            <w:vAlign w:val="bottom"/>
          </w:tcPr>
          <w:p>
            <w:pPr>
              <w:jc w:val="right"/>
              <w:ind w:right="1473"/>
              <w:spacing w:after="0"/>
              <w:rPr>
                <w:sz w:val="20"/>
                <w:szCs w:val="20"/>
                <w:color w:val="auto"/>
              </w:rPr>
            </w:pPr>
            <w:r>
              <w:rPr>
                <w:rFonts w:ascii="Courier New" w:cs="Courier New" w:eastAsia="Courier New" w:hAnsi="Courier New"/>
                <w:sz w:val="17"/>
                <w:szCs w:val="17"/>
                <w:color w:val="auto"/>
              </w:rPr>
              <w:t>53045</w:t>
            </w:r>
          </w:p>
        </w:tc>
      </w:tr>
      <w:tr>
        <w:trPr>
          <w:trHeight w:val="200"/>
        </w:trPr>
        <w:tc>
          <w:tcPr>
            <w:tcW w:w="53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1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5360" w:type="dxa"/>
            <w:vAlign w:val="bottom"/>
          </w:tcPr>
          <w:p>
            <w:pPr>
              <w:jc w:val="center"/>
              <w:ind w:right="793"/>
              <w:spacing w:after="0"/>
              <w:rPr>
                <w:sz w:val="20"/>
                <w:szCs w:val="20"/>
                <w:color w:val="auto"/>
              </w:rPr>
            </w:pPr>
            <w:r>
              <w:rPr>
                <w:rFonts w:ascii="Courier New" w:cs="Courier New" w:eastAsia="Courier New" w:hAnsi="Courier New"/>
                <w:sz w:val="17"/>
                <w:szCs w:val="17"/>
                <w:color w:val="auto"/>
              </w:rPr>
              <w:t>(Address of principal executive office)</w:t>
            </w:r>
          </w:p>
        </w:tc>
        <w:tc>
          <w:tcPr>
            <w:tcW w:w="316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(Zip Code)</w:t>
            </w:r>
          </w:p>
        </w:tc>
      </w:tr>
      <w:tr>
        <w:trPr>
          <w:trHeight w:val="400"/>
        </w:trPr>
        <w:tc>
          <w:tcPr>
            <w:tcW w:w="5360" w:type="dxa"/>
            <w:vAlign w:val="bottom"/>
          </w:tcPr>
          <w:p>
            <w:pPr>
              <w:spacing w:after="0"/>
              <w:rPr>
                <w:sz w:val="20"/>
                <w:szCs w:val="20"/>
                <w:color w:val="auto"/>
              </w:rPr>
            </w:pPr>
            <w:r>
              <w:rPr>
                <w:rFonts w:ascii="Courier New" w:cs="Courier New" w:eastAsia="Courier New" w:hAnsi="Courier New"/>
                <w:sz w:val="17"/>
                <w:szCs w:val="17"/>
                <w:color w:val="auto"/>
              </w:rPr>
              <w:t>Registrant's telephone number, including area code:</w:t>
            </w:r>
          </w:p>
        </w:tc>
        <w:tc>
          <w:tcPr>
            <w:tcW w:w="3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(414) 879 5000</w:t>
            </w:r>
          </w:p>
        </w:tc>
      </w:tr>
    </w:tbl>
    <w:p>
      <w:pPr>
        <w:spacing w:after="0" w:line="205" w:lineRule="exact"/>
        <w:rPr>
          <w:sz w:val="24"/>
          <w:szCs w:val="24"/>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0" w:lineRule="exact"/>
        <w:rPr>
          <w:sz w:val="24"/>
          <w:szCs w:val="24"/>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At March 31, 1999, 82,239,000 shares of common stock of the Registrant were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Exhibit Index appears at page 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6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24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line="250" w:lineRule="auto"/>
        <w:rPr>
          <w:sz w:val="20"/>
          <w:szCs w:val="20"/>
          <w:color w:val="auto"/>
        </w:rPr>
      </w:pPr>
      <w:r>
        <w:rPr>
          <w:rFonts w:ascii="Courier New" w:cs="Courier New" w:eastAsia="Courier New" w:hAnsi="Courier New"/>
          <w:sz w:val="17"/>
          <w:szCs w:val="17"/>
          <w:color w:val="auto"/>
        </w:rPr>
        <w:t>FISERV, INC. AND SUBSIDIARIES CONSOLIDATED STATEMENTS OF INCOME for the Three-Month Periods Ended March 31,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660" w:type="dxa"/>
            <w:vAlign w:val="bottom"/>
          </w:tcPr>
          <w:p>
            <w:pPr>
              <w:spacing w:after="0"/>
              <w:rPr>
                <w:sz w:val="16"/>
                <w:szCs w:val="16"/>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7"/>
                <w:szCs w:val="17"/>
                <w:color w:val="auto"/>
              </w:rPr>
              <w:t>Three-Months Ended</w:t>
            </w:r>
          </w:p>
        </w:tc>
        <w:tc>
          <w:tcPr>
            <w:tcW w:w="1040" w:type="dxa"/>
            <w:vAlign w:val="bottom"/>
          </w:tcPr>
          <w:p>
            <w:pPr>
              <w:spacing w:after="0"/>
              <w:rPr>
                <w:sz w:val="16"/>
                <w:szCs w:val="16"/>
                <w:color w:val="auto"/>
              </w:rPr>
            </w:pPr>
          </w:p>
        </w:tc>
      </w:tr>
      <w:tr>
        <w:trPr>
          <w:trHeight w:val="200"/>
        </w:trPr>
        <w:tc>
          <w:tcPr>
            <w:tcW w:w="5660" w:type="dxa"/>
            <w:vAlign w:val="bottom"/>
          </w:tcPr>
          <w:p>
            <w:pPr>
              <w:spacing w:after="0"/>
              <w:rPr>
                <w:sz w:val="17"/>
                <w:szCs w:val="17"/>
                <w:color w:val="auto"/>
              </w:rPr>
            </w:pPr>
          </w:p>
        </w:tc>
        <w:tc>
          <w:tcPr>
            <w:tcW w:w="34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March 31,</w:t>
            </w:r>
          </w:p>
        </w:tc>
        <w:tc>
          <w:tcPr>
            <w:tcW w:w="1040" w:type="dxa"/>
            <w:vAlign w:val="bottom"/>
          </w:tcPr>
          <w:p>
            <w:pPr>
              <w:spacing w:after="0"/>
              <w:rPr>
                <w:sz w:val="17"/>
                <w:szCs w:val="17"/>
                <w:color w:val="auto"/>
              </w:rPr>
            </w:pPr>
          </w:p>
        </w:tc>
      </w:tr>
      <w:tr>
        <w:trPr>
          <w:trHeight w:val="200"/>
        </w:trPr>
        <w:tc>
          <w:tcPr>
            <w:tcW w:w="5660" w:type="dxa"/>
            <w:vAlign w:val="bottom"/>
          </w:tcPr>
          <w:p>
            <w:pPr>
              <w:spacing w:after="0"/>
              <w:rPr>
                <w:sz w:val="17"/>
                <w:szCs w:val="17"/>
                <w:color w:val="auto"/>
              </w:rPr>
            </w:pPr>
          </w:p>
        </w:tc>
        <w:tc>
          <w:tcPr>
            <w:tcW w:w="3480" w:type="dxa"/>
            <w:vAlign w:val="bottom"/>
          </w:tcPr>
          <w:p>
            <w:pPr>
              <w:jc w:val="right"/>
              <w:ind w:right="1673"/>
              <w:spacing w:after="0"/>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533"/>
              <w:spacing w:after="0"/>
              <w:rPr>
                <w:sz w:val="20"/>
                <w:szCs w:val="20"/>
                <w:color w:val="auto"/>
              </w:rPr>
            </w:pPr>
            <w:r>
              <w:rPr>
                <w:rFonts w:ascii="Courier New" w:cs="Courier New" w:eastAsia="Courier New" w:hAnsi="Courier New"/>
                <w:sz w:val="17"/>
                <w:szCs w:val="17"/>
                <w:color w:val="auto"/>
                <w:w w:val="97"/>
              </w:rPr>
              <w:t>1998</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(In thousands except</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per share amounts)</w:t>
            </w:r>
          </w:p>
        </w:tc>
      </w:tr>
      <w:tr>
        <w:trPr>
          <w:trHeight w:val="4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$337,129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$273,829</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COST OF REVENUES:</w:t>
            </w: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Salaries, commissions and</w:t>
            </w:r>
          </w:p>
        </w:tc>
        <w:tc>
          <w:tcPr>
            <w:tcW w:w="3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660" w:type="dxa"/>
            <w:vAlign w:val="bottom"/>
          </w:tcPr>
          <w:p>
            <w:pPr>
              <w:ind w:left="120"/>
              <w:spacing w:after="0"/>
              <w:rPr>
                <w:sz w:val="20"/>
                <w:szCs w:val="20"/>
                <w:color w:val="auto"/>
              </w:rPr>
            </w:pPr>
            <w:r>
              <w:rPr>
                <w:rFonts w:ascii="Courier New" w:cs="Courier New" w:eastAsia="Courier New" w:hAnsi="Courier New"/>
                <w:sz w:val="17"/>
                <w:szCs w:val="17"/>
                <w:color w:val="auto"/>
              </w:rPr>
              <w:t>payroll related costs</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159,546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128,183</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Data processing expenses, rentals</w:t>
            </w:r>
          </w:p>
        </w:tc>
        <w:tc>
          <w:tcPr>
            <w:tcW w:w="3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660" w:type="dxa"/>
            <w:vAlign w:val="bottom"/>
          </w:tcPr>
          <w:p>
            <w:pPr>
              <w:ind w:left="120"/>
              <w:spacing w:after="0"/>
              <w:rPr>
                <w:sz w:val="20"/>
                <w:szCs w:val="20"/>
                <w:color w:val="auto"/>
              </w:rPr>
            </w:pPr>
            <w:r>
              <w:rPr>
                <w:rFonts w:ascii="Courier New" w:cs="Courier New" w:eastAsia="Courier New" w:hAnsi="Courier New"/>
                <w:sz w:val="17"/>
                <w:szCs w:val="17"/>
                <w:color w:val="auto"/>
              </w:rPr>
              <w:t>and telecommunication costs</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30,620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27,396</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Other operating expenses</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63,973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52,373</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3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660" w:type="dxa"/>
            <w:vAlign w:val="bottom"/>
          </w:tcPr>
          <w:p>
            <w:pPr>
              <w:ind w:left="120"/>
              <w:spacing w:after="0"/>
              <w:rPr>
                <w:sz w:val="20"/>
                <w:szCs w:val="20"/>
                <w:color w:val="auto"/>
              </w:rPr>
            </w:pPr>
            <w:r>
              <w:rPr>
                <w:rFonts w:ascii="Courier New" w:cs="Courier New" w:eastAsia="Courier New" w:hAnsi="Courier New"/>
                <w:sz w:val="17"/>
                <w:szCs w:val="17"/>
                <w:color w:val="auto"/>
              </w:rPr>
              <w:t>of property and equipment</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14,768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14,198</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Amortization of intangible assets</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4,548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3,464</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Amortization (capitalization) of internally</w:t>
            </w:r>
          </w:p>
        </w:tc>
        <w:tc>
          <w:tcPr>
            <w:tcW w:w="3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660" w:type="dxa"/>
            <w:vAlign w:val="bottom"/>
          </w:tcPr>
          <w:p>
            <w:pPr>
              <w:ind w:left="120"/>
              <w:spacing w:after="0"/>
              <w:rPr>
                <w:sz w:val="20"/>
                <w:szCs w:val="20"/>
                <w:color w:val="auto"/>
              </w:rPr>
            </w:pPr>
            <w:r>
              <w:rPr>
                <w:rFonts w:ascii="Courier New" w:cs="Courier New" w:eastAsia="Courier New" w:hAnsi="Courier New"/>
                <w:sz w:val="17"/>
                <w:szCs w:val="17"/>
                <w:color w:val="auto"/>
              </w:rPr>
              <w:t>generated computer software - net</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3,051</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(1,169)</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Total cost of revenues</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276,506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224,445</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60,623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49,384</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Interest expense-net</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3,985</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3,367</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56,638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46,017</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Income tax provision</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23,222</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18,867</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$33,416</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$27,150</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INCOME PER SHARE:</w:t>
            </w: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Basic</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$0.41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$0.34</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Diluted</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$0.39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$0.33</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SHARES USED IN COMPUTING NET INCOME PER SHARE:</w:t>
            </w: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Basic</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82,153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80,573</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ind w:left="220"/>
              <w:spacing w:after="0"/>
              <w:rPr>
                <w:sz w:val="20"/>
                <w:szCs w:val="20"/>
                <w:color w:val="auto"/>
              </w:rPr>
            </w:pPr>
            <w:r>
              <w:rPr>
                <w:rFonts w:ascii="Courier New" w:cs="Courier New" w:eastAsia="Courier New" w:hAnsi="Courier New"/>
                <w:sz w:val="17"/>
                <w:szCs w:val="17"/>
                <w:color w:val="auto"/>
              </w:rPr>
              <w:t>Diluted</w:t>
            </w:r>
          </w:p>
        </w:tc>
        <w:tc>
          <w:tcPr>
            <w:tcW w:w="348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85,253</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83,198</w:t>
            </w:r>
          </w:p>
        </w:tc>
      </w:tr>
      <w:tr>
        <w:trPr>
          <w:trHeight w:val="200"/>
        </w:trPr>
        <w:tc>
          <w:tcPr>
            <w:tcW w:w="566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5"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7" w:lineRule="exact"/>
        <w:rPr>
          <w:sz w:val="20"/>
          <w:szCs w:val="20"/>
          <w:color w:val="auto"/>
        </w:rPr>
      </w:pPr>
    </w:p>
    <w:p>
      <w:pPr>
        <w:jc w:val="center"/>
        <w:ind w:right="2400"/>
        <w:spacing w:after="0"/>
        <w:rPr>
          <w:sz w:val="20"/>
          <w:szCs w:val="20"/>
          <w:color w:val="auto"/>
        </w:rPr>
      </w:pPr>
      <w:r>
        <w:rPr>
          <w:rFonts w:ascii="Courier New" w:cs="Courier New" w:eastAsia="Courier New" w:hAnsi="Courier New"/>
          <w:sz w:val="17"/>
          <w:szCs w:val="17"/>
          <w:color w:val="auto"/>
        </w:rPr>
        <w:t>FISERV, INC. AND SUBSIDIARIES</w:t>
      </w:r>
    </w:p>
    <w:p>
      <w:pPr>
        <w:spacing w:after="0" w:line="7" w:lineRule="exact"/>
        <w:rPr>
          <w:sz w:val="20"/>
          <w:szCs w:val="20"/>
          <w:color w:val="auto"/>
        </w:rPr>
      </w:pPr>
    </w:p>
    <w:p>
      <w:pPr>
        <w:jc w:val="center"/>
        <w:ind w:right="2400"/>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20" w:type="dxa"/>
            <w:vAlign w:val="bottom"/>
          </w:tcPr>
          <w:p>
            <w:pPr>
              <w:spacing w:after="0"/>
              <w:rPr>
                <w:sz w:val="16"/>
                <w:szCs w:val="16"/>
                <w:color w:val="auto"/>
              </w:rPr>
            </w:pPr>
          </w:p>
        </w:tc>
        <w:tc>
          <w:tcPr>
            <w:tcW w:w="332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March 31,</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5720" w:type="dxa"/>
            <w:vAlign w:val="bottom"/>
          </w:tcPr>
          <w:p>
            <w:pPr>
              <w:spacing w:after="0"/>
              <w:rPr>
                <w:sz w:val="17"/>
                <w:szCs w:val="17"/>
                <w:color w:val="auto"/>
              </w:rPr>
            </w:pPr>
          </w:p>
        </w:tc>
        <w:tc>
          <w:tcPr>
            <w:tcW w:w="332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1999</w:t>
            </w:r>
          </w:p>
        </w:tc>
        <w:tc>
          <w:tcPr>
            <w:tcW w:w="17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ind w:right="853"/>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$81,476</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$71,558</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Accounts receivable</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248,771</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246,851</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Securities processing receivables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1,690,231</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1,402,650</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Prepaid expenses and other assets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86,540</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83,453</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Trust account investments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1,189,078</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1,098,773</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Other investments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273,461</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180,099</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33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14,545</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Property and equipment-net</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184,915</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179,434</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Internally generated computer software-net</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82,794</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85,821</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Intangible assets-net</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608,723</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595,154</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$4,445,989</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$3,958,338</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LIABILITIES AND SHAREHOLDERS' EQUITY</w:t>
            </w:r>
          </w:p>
        </w:tc>
        <w:tc>
          <w:tcPr>
            <w:tcW w:w="33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$59,453</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$65,385</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Securities processing payables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1,452,322</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1,207,838</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Short-term borrowings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139,657</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38,350</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Accrued expenses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159,446</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150,519</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Accrued income taxes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19,611</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14,768</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Deferred revenues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119,902</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107,286</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Trust account deposits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1,184,523</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1,098,773</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9,483</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355,132</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389,622</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3,499,529</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3,072,541</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3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Common stock issued, 83,439,000 and</w:t>
            </w:r>
          </w:p>
        </w:tc>
        <w:tc>
          <w:tcPr>
            <w:tcW w:w="3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0"/>
        </w:trPr>
        <w:tc>
          <w:tcPr>
            <w:tcW w:w="5720" w:type="dxa"/>
            <w:vAlign w:val="bottom"/>
          </w:tcPr>
          <w:p>
            <w:pPr>
              <w:ind w:left="220"/>
              <w:spacing w:after="0"/>
              <w:rPr>
                <w:sz w:val="20"/>
                <w:szCs w:val="20"/>
                <w:color w:val="auto"/>
              </w:rPr>
            </w:pPr>
            <w:r>
              <w:rPr>
                <w:rFonts w:ascii="Courier New" w:cs="Courier New" w:eastAsia="Courier New" w:hAnsi="Courier New"/>
                <w:sz w:val="17"/>
                <w:szCs w:val="17"/>
                <w:color w:val="auto"/>
              </w:rPr>
              <w:t>83,253,000 shares, respectively</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834</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833</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Additional paid-in capital</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452,130</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448,877</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Accumulated other comprehensive income</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63,868</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39,875</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Accumulated earnings</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472,058</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438,642</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Treasury stock, at cost (1,200,000 shares)</w:t>
            </w:r>
          </w:p>
        </w:tc>
        <w:tc>
          <w:tcPr>
            <w:tcW w:w="33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(42,430)</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(42,430)</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TOTAL SHAREHOLDERS' EQUITY</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946,460</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885,797</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7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3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$4,445,989</w:t>
            </w:r>
          </w:p>
        </w:tc>
        <w:tc>
          <w:tcPr>
            <w:tcW w:w="17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$3,958,338</w:t>
            </w:r>
          </w:p>
        </w:tc>
      </w:tr>
      <w:tr>
        <w:trPr>
          <w:trHeight w:val="200"/>
        </w:trPr>
        <w:tc>
          <w:tcPr>
            <w:tcW w:w="5720" w:type="dxa"/>
            <w:vAlign w:val="bottom"/>
          </w:tcPr>
          <w:p>
            <w:pPr>
              <w:spacing w:after="0"/>
              <w:rPr>
                <w:sz w:val="17"/>
                <w:szCs w:val="17"/>
                <w:color w:val="auto"/>
              </w:rPr>
            </w:pPr>
          </w:p>
        </w:tc>
        <w:tc>
          <w:tcPr>
            <w:tcW w:w="5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820"/>
          </w:cols>
          <w:pgMar w:left="240" w:top="315"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4"/>
        </w:trPr>
        <w:tc>
          <w:tcPr>
            <w:tcW w:w="7600" w:type="dxa"/>
            <w:vAlign w:val="bottom"/>
          </w:tcPr>
          <w:p>
            <w:pPr>
              <w:ind w:left="320"/>
              <w:spacing w:after="0"/>
              <w:rPr>
                <w:sz w:val="20"/>
                <w:szCs w:val="20"/>
                <w:color w:val="auto"/>
              </w:rPr>
            </w:pPr>
            <w:r>
              <w:rPr>
                <w:rFonts w:ascii="Courier New" w:cs="Courier New" w:eastAsia="Courier New" w:hAnsi="Courier New"/>
                <w:sz w:val="17"/>
                <w:szCs w:val="17"/>
                <w:color w:val="auto"/>
              </w:rPr>
              <w:t>4</w:t>
            </w:r>
          </w:p>
        </w:tc>
        <w:tc>
          <w:tcPr>
            <w:tcW w:w="29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799"/>
        </w:trPr>
        <w:tc>
          <w:tcPr>
            <w:tcW w:w="7600" w:type="dxa"/>
            <w:vAlign w:val="bottom"/>
          </w:tcPr>
          <w:p>
            <w:pPr>
              <w:jc w:val="center"/>
              <w:ind w:left="733"/>
              <w:spacing w:after="0"/>
              <w:rPr>
                <w:sz w:val="20"/>
                <w:szCs w:val="20"/>
                <w:color w:val="auto"/>
              </w:rPr>
            </w:pPr>
            <w:r>
              <w:rPr>
                <w:rFonts w:ascii="Courier New" w:cs="Courier New" w:eastAsia="Courier New" w:hAnsi="Courier New"/>
                <w:sz w:val="17"/>
                <w:szCs w:val="17"/>
                <w:color w:val="auto"/>
              </w:rPr>
              <w:t>FISERV, INC. AND SUBSIDIARIES</w:t>
            </w:r>
          </w:p>
        </w:tc>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7600" w:type="dxa"/>
            <w:vAlign w:val="bottom"/>
          </w:tcPr>
          <w:p>
            <w:pPr>
              <w:jc w:val="center"/>
              <w:ind w:left="753"/>
              <w:spacing w:after="0"/>
              <w:rPr>
                <w:sz w:val="20"/>
                <w:szCs w:val="20"/>
                <w:color w:val="auto"/>
              </w:rPr>
            </w:pPr>
            <w:r>
              <w:rPr>
                <w:rFonts w:ascii="Courier New" w:cs="Courier New" w:eastAsia="Courier New" w:hAnsi="Courier New"/>
                <w:sz w:val="17"/>
                <w:szCs w:val="17"/>
                <w:color w:val="auto"/>
              </w:rPr>
              <w:t>CONSOLIDATED STATEMENTS OF CASH FLOWS</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7600" w:type="dxa"/>
            <w:vAlign w:val="bottom"/>
          </w:tcPr>
          <w:p>
            <w:pPr>
              <w:jc w:val="center"/>
              <w:ind w:left="753"/>
              <w:spacing w:after="0"/>
              <w:rPr>
                <w:sz w:val="20"/>
                <w:szCs w:val="20"/>
                <w:color w:val="auto"/>
              </w:rPr>
            </w:pPr>
            <w:r>
              <w:rPr>
                <w:rFonts w:ascii="Courier New" w:cs="Courier New" w:eastAsia="Courier New" w:hAnsi="Courier New"/>
                <w:sz w:val="17"/>
                <w:szCs w:val="17"/>
                <w:color w:val="auto"/>
              </w:rPr>
              <w:t>for the Three-Month Periods Ended March 31, 1999 and 1998</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999"/>
        </w:trPr>
        <w:tc>
          <w:tcPr>
            <w:tcW w:w="7600" w:type="dxa"/>
            <w:vAlign w:val="bottom"/>
          </w:tcPr>
          <w:p>
            <w:pPr>
              <w:spacing w:after="0"/>
              <w:rPr>
                <w:sz w:val="24"/>
                <w:szCs w:val="24"/>
                <w:color w:val="auto"/>
              </w:rPr>
            </w:pPr>
          </w:p>
        </w:tc>
        <w:tc>
          <w:tcPr>
            <w:tcW w:w="3840" w:type="dxa"/>
            <w:vAlign w:val="bottom"/>
            <w:gridSpan w:val="2"/>
          </w:tcPr>
          <w:p>
            <w:pPr>
              <w:jc w:val="right"/>
              <w:ind w:right="653"/>
              <w:spacing w:after="0"/>
              <w:rPr>
                <w:sz w:val="20"/>
                <w:szCs w:val="20"/>
                <w:color w:val="auto"/>
              </w:rPr>
            </w:pPr>
            <w:r>
              <w:rPr>
                <w:rFonts w:ascii="Courier New" w:cs="Courier New" w:eastAsia="Courier New" w:hAnsi="Courier New"/>
                <w:sz w:val="17"/>
                <w:szCs w:val="17"/>
                <w:color w:val="auto"/>
              </w:rPr>
              <w:t>Three-Months Ended</w:t>
            </w:r>
          </w:p>
        </w:tc>
      </w:tr>
      <w:tr>
        <w:trPr>
          <w:trHeight w:val="200"/>
        </w:trPr>
        <w:tc>
          <w:tcPr>
            <w:tcW w:w="7600" w:type="dxa"/>
            <w:vAlign w:val="bottom"/>
          </w:tcPr>
          <w:p>
            <w:pPr>
              <w:spacing w:after="0"/>
              <w:rPr>
                <w:sz w:val="17"/>
                <w:szCs w:val="17"/>
                <w:color w:val="auto"/>
              </w:rPr>
            </w:pPr>
          </w:p>
        </w:tc>
        <w:tc>
          <w:tcPr>
            <w:tcW w:w="29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March 31,</w:t>
            </w:r>
          </w:p>
        </w:tc>
        <w:tc>
          <w:tcPr>
            <w:tcW w:w="880" w:type="dxa"/>
            <w:vAlign w:val="bottom"/>
          </w:tcPr>
          <w:p>
            <w:pPr>
              <w:spacing w:after="0"/>
              <w:rPr>
                <w:sz w:val="17"/>
                <w:szCs w:val="17"/>
                <w:color w:val="auto"/>
              </w:rPr>
            </w:pPr>
          </w:p>
        </w:tc>
      </w:tr>
      <w:tr>
        <w:trPr>
          <w:trHeight w:val="200"/>
        </w:trPr>
        <w:tc>
          <w:tcPr>
            <w:tcW w:w="7600" w:type="dxa"/>
            <w:vAlign w:val="bottom"/>
          </w:tcPr>
          <w:p>
            <w:pPr>
              <w:spacing w:after="0"/>
              <w:rPr>
                <w:sz w:val="17"/>
                <w:szCs w:val="17"/>
                <w:color w:val="auto"/>
              </w:rPr>
            </w:pPr>
          </w:p>
        </w:tc>
        <w:tc>
          <w:tcPr>
            <w:tcW w:w="296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1999</w:t>
            </w: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17"/>
                <w:szCs w:val="17"/>
                <w:color w:val="auto"/>
              </w:rPr>
            </w:pPr>
          </w:p>
        </w:tc>
        <w:tc>
          <w:tcPr>
            <w:tcW w:w="2960" w:type="dxa"/>
            <w:vAlign w:val="bottom"/>
          </w:tcPr>
          <w:p>
            <w:pPr>
              <w:jc w:val="right"/>
              <w:spacing w:after="0"/>
              <w:rPr>
                <w:sz w:val="20"/>
                <w:szCs w:val="20"/>
                <w:color w:val="auto"/>
              </w:rPr>
            </w:pPr>
            <w:r>
              <w:rPr>
                <w:rFonts w:ascii="Courier New" w:cs="Courier New" w:eastAsia="Courier New" w:hAnsi="Courier New"/>
                <w:sz w:val="17"/>
                <w:szCs w:val="17"/>
                <w:color w:val="auto"/>
              </w:rPr>
              <w:t>(In thousands)</w:t>
            </w:r>
          </w:p>
        </w:tc>
        <w:tc>
          <w:tcPr>
            <w:tcW w:w="880" w:type="dxa"/>
            <w:vAlign w:val="bottom"/>
          </w:tcPr>
          <w:p>
            <w:pPr>
              <w:spacing w:after="0"/>
              <w:rPr>
                <w:sz w:val="17"/>
                <w:szCs w:val="17"/>
                <w:color w:val="auto"/>
              </w:rPr>
            </w:pPr>
          </w:p>
        </w:tc>
      </w:tr>
      <w:tr>
        <w:trPr>
          <w:trHeight w:val="4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$33,416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$27,150</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 to net cash provided by operating</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activities:</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Deferred income taxes</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7,138</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1,252</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Depreciation and amortization of property and equipment</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14,768</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14,198</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Amortization of intangible assets</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4,548</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3,464</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Amortization (capitalization) of internally generated</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7600" w:type="dxa"/>
            <w:vAlign w:val="bottom"/>
          </w:tcPr>
          <w:p>
            <w:pPr>
              <w:ind w:left="220"/>
              <w:spacing w:after="0"/>
              <w:rPr>
                <w:sz w:val="20"/>
                <w:szCs w:val="20"/>
                <w:color w:val="auto"/>
              </w:rPr>
            </w:pPr>
            <w:r>
              <w:rPr>
                <w:rFonts w:ascii="Courier New" w:cs="Courier New" w:eastAsia="Courier New" w:hAnsi="Courier New"/>
                <w:sz w:val="17"/>
                <w:szCs w:val="17"/>
                <w:color w:val="auto"/>
              </w:rPr>
              <w:t>computer software-net</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3,051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(1,169)</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17"/>
                <w:szCs w:val="17"/>
                <w:color w:val="auto"/>
              </w:rPr>
            </w:pP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62,921</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44,895</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Cash provided (used) by changes in assets and liabilities,</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net of effects from acquisitions of businesses:</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Accounts receivable</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(1,964)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(16,123)</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Prepaid expenses and other assets</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(200)</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2,180</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Accounts payable and accrued expenses</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2,521</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(5,788)</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Deferred revenue</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11,736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14,471</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Income taxes payable</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4,974</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10,009</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Securities processing receivables and payables-net</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(43,097)</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33,169</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36,891</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82,813</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Capital expenditures</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(19,736)</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(14,822)</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Other investments</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(50,569)</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2,723</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Payment for acquisition of businesses</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(19,888)</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(86,227)</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Trust account investments</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(92,244)</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45,263</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Net cash provided (used) by investing activities</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(182,437)</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(53,063)</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Increase (decrease) in short-term obligations-net</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100,450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(41,275)</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Increase (decrease) in long-term obligations-net</w:t>
            </w:r>
          </w:p>
        </w:tc>
        <w:tc>
          <w:tcPr>
            <w:tcW w:w="296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(33,990)</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91,520</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Issuance (purchases) of common stock-net</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3,254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(36,518)</w:t>
            </w:r>
          </w:p>
        </w:tc>
      </w:tr>
      <w:tr>
        <w:trPr>
          <w:trHeight w:val="200"/>
        </w:trPr>
        <w:tc>
          <w:tcPr>
            <w:tcW w:w="7600" w:type="dxa"/>
            <w:vAlign w:val="bottom"/>
          </w:tcPr>
          <w:p>
            <w:pPr>
              <w:ind w:left="120"/>
              <w:spacing w:after="0"/>
              <w:rPr>
                <w:sz w:val="20"/>
                <w:szCs w:val="20"/>
                <w:color w:val="auto"/>
              </w:rPr>
            </w:pPr>
            <w:r>
              <w:rPr>
                <w:rFonts w:ascii="Courier New" w:cs="Courier New" w:eastAsia="Courier New" w:hAnsi="Courier New"/>
                <w:sz w:val="17"/>
                <w:szCs w:val="17"/>
                <w:color w:val="auto"/>
              </w:rPr>
              <w:t>Trust account deposits</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85,750</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(49,722)</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Net cash provided (used) by financing activities</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155,464</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(35,995)</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Change in cash</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9,918</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(6,245)</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Beginning balance</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71,558</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89,377</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7600" w:type="dxa"/>
            <w:vAlign w:val="bottom"/>
          </w:tcPr>
          <w:p>
            <w:pPr>
              <w:spacing w:after="0"/>
              <w:rPr>
                <w:sz w:val="20"/>
                <w:szCs w:val="20"/>
                <w:color w:val="auto"/>
              </w:rPr>
            </w:pPr>
            <w:r>
              <w:rPr>
                <w:rFonts w:ascii="Courier New" w:cs="Courier New" w:eastAsia="Courier New" w:hAnsi="Courier New"/>
                <w:sz w:val="17"/>
                <w:szCs w:val="17"/>
                <w:color w:val="auto"/>
              </w:rPr>
              <w:t>Ending balance</w:t>
            </w:r>
          </w:p>
        </w:tc>
        <w:tc>
          <w:tcPr>
            <w:tcW w:w="2960" w:type="dxa"/>
            <w:vAlign w:val="bottom"/>
          </w:tcPr>
          <w:p>
            <w:pPr>
              <w:jc w:val="right"/>
              <w:ind w:right="1213"/>
              <w:spacing w:after="0"/>
              <w:rPr>
                <w:sz w:val="20"/>
                <w:szCs w:val="20"/>
                <w:color w:val="auto"/>
              </w:rPr>
            </w:pPr>
            <w:r>
              <w:rPr>
                <w:rFonts w:ascii="Courier New" w:cs="Courier New" w:eastAsia="Courier New" w:hAnsi="Courier New"/>
                <w:sz w:val="17"/>
                <w:szCs w:val="17"/>
                <w:color w:val="auto"/>
              </w:rPr>
              <w:t>$81,476</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$83,132</w:t>
            </w:r>
          </w:p>
        </w:tc>
      </w:tr>
      <w:tr>
        <w:trPr>
          <w:trHeight w:val="200"/>
        </w:trPr>
        <w:tc>
          <w:tcPr>
            <w:tcW w:w="7600" w:type="dxa"/>
            <w:vAlign w:val="bottom"/>
          </w:tcPr>
          <w:p>
            <w:pPr>
              <w:spacing w:after="0"/>
              <w:rPr>
                <w:sz w:val="17"/>
                <w:szCs w:val="17"/>
                <w:color w:val="auto"/>
              </w:rPr>
            </w:pPr>
          </w:p>
        </w:tc>
        <w:tc>
          <w:tcPr>
            <w:tcW w:w="3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ectPr>
          <w:pgSz w:w="11900" w:h="16838" w:orient="portrait"/>
          <w:cols w:equalWidth="0" w:num="1">
            <w:col w:w="11440"/>
          </w:cols>
          <w:pgMar w:left="240" w:top="315"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440"/>
          </w:cols>
          <w:pgMar w:left="240" w:top="315" w:right="219"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FISERV, INC. AND SUBSIDIARIES</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3"/>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PRINCIPLES OF CONSOLIDATION</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consolidated balance sheet as of March 31, 1999, and the related consolidated statements of income and cash flows for the three-month periods ended March 31, 1999 and 1998 are unaudited. In the opinion of management, all adjustments necessary for a fair presentation of such financial statements have been included. Such adjustments consisted only of normal recurring items. Interim results are not necessarily indicative of results for a full year.</w:t>
      </w:r>
    </w:p>
    <w:p>
      <w:pPr>
        <w:spacing w:after="0" w:line="200" w:lineRule="exact"/>
        <w:rPr>
          <w:sz w:val="20"/>
          <w:szCs w:val="20"/>
          <w:color w:val="auto"/>
        </w:rPr>
      </w:pPr>
    </w:p>
    <w:p>
      <w:pPr>
        <w:jc w:val="both"/>
        <w:ind w:right="1999"/>
        <w:spacing w:after="0" w:line="250" w:lineRule="auto"/>
        <w:rPr>
          <w:sz w:val="20"/>
          <w:szCs w:val="20"/>
          <w:color w:val="auto"/>
        </w:rPr>
      </w:pPr>
      <w:r>
        <w:rPr>
          <w:rFonts w:ascii="Courier New" w:cs="Courier New" w:eastAsia="Courier New" w:hAnsi="Courier New"/>
          <w:sz w:val="17"/>
          <w:szCs w:val="17"/>
          <w:color w:val="auto"/>
        </w:rPr>
        <w:t>The financial statements and notes are presented as permitted by Form 10-Q, and do not contain certain information included in the annual financial statements and notes of Fiserv, Inc. and subsidiaries (the Company).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 SHARES USED IN COMPUTING NET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4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0" w:type="dxa"/>
            <w:vAlign w:val="bottom"/>
          </w:tcPr>
          <w:p>
            <w:pPr>
              <w:jc w:val="right"/>
              <w:ind w:right="1153"/>
              <w:spacing w:after="0"/>
              <w:rPr>
                <w:sz w:val="20"/>
                <w:szCs w:val="20"/>
                <w:color w:val="auto"/>
              </w:rPr>
            </w:pPr>
            <w:r>
              <w:rPr>
                <w:rFonts w:ascii="Courier New" w:cs="Courier New" w:eastAsia="Courier New" w:hAnsi="Courier New"/>
                <w:sz w:val="17"/>
                <w:szCs w:val="17"/>
                <w:color w:val="auto"/>
              </w:rPr>
              <w:t>March 31,</w:t>
            </w:r>
          </w:p>
        </w:tc>
      </w:tr>
      <w:tr>
        <w:trPr>
          <w:trHeight w:val="200"/>
        </w:trPr>
        <w:tc>
          <w:tcPr>
            <w:tcW w:w="4580" w:type="dxa"/>
            <w:vAlign w:val="bottom"/>
          </w:tcPr>
          <w:p>
            <w:pPr>
              <w:spacing w:after="0"/>
              <w:rPr>
                <w:sz w:val="17"/>
                <w:szCs w:val="17"/>
                <w:color w:val="auto"/>
              </w:rPr>
            </w:pP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1999</w:t>
            </w:r>
          </w:p>
        </w:tc>
        <w:tc>
          <w:tcPr>
            <w:tcW w:w="26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4580" w:type="dxa"/>
            <w:vAlign w:val="bottom"/>
          </w:tcPr>
          <w:p>
            <w:pPr>
              <w:spacing w:after="0"/>
              <w:rPr>
                <w:sz w:val="17"/>
                <w:szCs w:val="17"/>
                <w:color w:val="auto"/>
              </w:rPr>
            </w:pPr>
          </w:p>
        </w:tc>
        <w:tc>
          <w:tcPr>
            <w:tcW w:w="3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w:t>
            </w:r>
          </w:p>
        </w:tc>
        <w:tc>
          <w:tcPr>
            <w:tcW w:w="134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shares outstanding</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82,153</w:t>
            </w:r>
          </w:p>
        </w:tc>
        <w:tc>
          <w:tcPr>
            <w:tcW w:w="2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80,573</w:t>
            </w: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Shares issuable upon exercise of options</w:t>
            </w:r>
          </w:p>
        </w:tc>
        <w:tc>
          <w:tcPr>
            <w:tcW w:w="1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reduced by the number of shares which</w:t>
            </w:r>
          </w:p>
        </w:tc>
        <w:tc>
          <w:tcPr>
            <w:tcW w:w="1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could have been purchased with the</w:t>
            </w:r>
          </w:p>
        </w:tc>
        <w:tc>
          <w:tcPr>
            <w:tcW w:w="1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proceeds of such exercise</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3,100</w:t>
            </w:r>
          </w:p>
        </w:tc>
        <w:tc>
          <w:tcPr>
            <w:tcW w:w="2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2,625</w:t>
            </w:r>
          </w:p>
        </w:tc>
      </w:tr>
      <w:tr>
        <w:trPr>
          <w:trHeight w:val="200"/>
        </w:trPr>
        <w:tc>
          <w:tcPr>
            <w:tcW w:w="4580" w:type="dxa"/>
            <w:vAlign w:val="bottom"/>
          </w:tcPr>
          <w:p>
            <w:pPr>
              <w:spacing w:after="0"/>
              <w:rPr>
                <w:sz w:val="17"/>
                <w:szCs w:val="17"/>
                <w:color w:val="auto"/>
              </w:rPr>
            </w:pPr>
          </w:p>
        </w:tc>
        <w:tc>
          <w:tcPr>
            <w:tcW w:w="3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Shares used in computing diluted-</w:t>
            </w:r>
          </w:p>
        </w:tc>
        <w:tc>
          <w:tcPr>
            <w:tcW w:w="1340" w:type="dxa"/>
            <w:vAlign w:val="bottom"/>
          </w:tcPr>
          <w:p>
            <w:pPr>
              <w:spacing w:after="0"/>
              <w:rPr>
                <w:sz w:val="17"/>
                <w:szCs w:val="17"/>
                <w:color w:val="auto"/>
              </w:rPr>
            </w:pPr>
          </w:p>
        </w:tc>
        <w:tc>
          <w:tcPr>
            <w:tcW w:w="2600" w:type="dxa"/>
            <w:vAlign w:val="bottom"/>
          </w:tcPr>
          <w:p>
            <w:pPr>
              <w:spacing w:after="0"/>
              <w:rPr>
                <w:sz w:val="17"/>
                <w:szCs w:val="17"/>
                <w:color w:val="auto"/>
              </w:rPr>
            </w:pP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net income per share</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85,253</w:t>
            </w:r>
          </w:p>
        </w:tc>
        <w:tc>
          <w:tcPr>
            <w:tcW w:w="26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83,198</w:t>
            </w:r>
          </w:p>
        </w:tc>
      </w:tr>
      <w:tr>
        <w:trPr>
          <w:trHeight w:val="200"/>
        </w:trPr>
        <w:tc>
          <w:tcPr>
            <w:tcW w:w="4580" w:type="dxa"/>
            <w:vAlign w:val="bottom"/>
          </w:tcPr>
          <w:p>
            <w:pPr>
              <w:spacing w:after="0"/>
              <w:rPr>
                <w:sz w:val="17"/>
                <w:szCs w:val="17"/>
                <w:color w:val="auto"/>
              </w:rPr>
            </w:pPr>
          </w:p>
        </w:tc>
        <w:tc>
          <w:tcPr>
            <w:tcW w:w="3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Basic income per share is computed using the weighted average number of common shares outstanding during the periods. Diluted income per share is computed using the weighted average number of common and dilutive common equivalent shares outstanding during the periods.</w:t>
      </w:r>
    </w:p>
    <w:p>
      <w:pPr>
        <w:spacing w:after="0" w:line="200" w:lineRule="exact"/>
        <w:rPr>
          <w:sz w:val="20"/>
          <w:szCs w:val="20"/>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FOR INCOME TAXES</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Deferred income taxes reflect the net tax effects of (a) temporary differences between the carrying amount of assets and liabilities for financial reporting purposes and the amounts used for income tax purposes, and (b) operating and tax credit carryforwards. Significant components of the Company's net deferred tax (liability) asset as of March 31, 1999 and December 31, 1998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MARCH 31,</w:t>
            </w:r>
          </w:p>
        </w:tc>
        <w:tc>
          <w:tcPr>
            <w:tcW w:w="29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4880" w:type="dxa"/>
            <w:vAlign w:val="bottom"/>
          </w:tcPr>
          <w:p>
            <w:pPr>
              <w:spacing w:after="0"/>
              <w:rPr>
                <w:sz w:val="17"/>
                <w:szCs w:val="17"/>
                <w:color w:val="auto"/>
              </w:rPr>
            </w:pPr>
          </w:p>
        </w:tc>
        <w:tc>
          <w:tcPr>
            <w:tcW w:w="18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1999</w:t>
            </w:r>
          </w:p>
        </w:tc>
        <w:tc>
          <w:tcPr>
            <w:tcW w:w="290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4880" w:type="dxa"/>
            <w:vAlign w:val="bottom"/>
          </w:tcPr>
          <w:p>
            <w:pPr>
              <w:spacing w:after="0"/>
              <w:rPr>
                <w:sz w:val="17"/>
                <w:szCs w:val="17"/>
                <w:color w:val="auto"/>
              </w:rPr>
            </w:pPr>
          </w:p>
        </w:tc>
        <w:tc>
          <w:tcPr>
            <w:tcW w:w="4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900" w:type="dxa"/>
            <w:vAlign w:val="bottom"/>
          </w:tcPr>
          <w:p>
            <w:pPr>
              <w:jc w:val="right"/>
              <w:ind w:right="1353"/>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Purchased incomplete software technology</w:t>
            </w:r>
          </w:p>
        </w:tc>
        <w:tc>
          <w:tcPr>
            <w:tcW w:w="1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$51,122</w:t>
            </w:r>
          </w:p>
        </w:tc>
        <w:tc>
          <w:tcPr>
            <w:tcW w:w="29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$52,276</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Accrued expenses not currently deductible</w:t>
            </w:r>
          </w:p>
        </w:tc>
        <w:tc>
          <w:tcPr>
            <w:tcW w:w="1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26,948</w:t>
            </w:r>
          </w:p>
        </w:tc>
        <w:tc>
          <w:tcPr>
            <w:tcW w:w="29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25,329</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Deferred revenues</w:t>
            </w:r>
          </w:p>
        </w:tc>
        <w:tc>
          <w:tcPr>
            <w:tcW w:w="1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14,391</w:t>
            </w:r>
          </w:p>
        </w:tc>
        <w:tc>
          <w:tcPr>
            <w:tcW w:w="29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14,558</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(12,609)</w:t>
            </w:r>
          </w:p>
        </w:tc>
        <w:tc>
          <w:tcPr>
            <w:tcW w:w="2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(5,512)</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Internally generated capitalized software</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(33,946)</w:t>
            </w:r>
          </w:p>
        </w:tc>
        <w:tc>
          <w:tcPr>
            <w:tcW w:w="2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(35,188)</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Excess of tax over book depreciation</w:t>
            </w:r>
          </w:p>
        </w:tc>
        <w:tc>
          <w:tcPr>
            <w:tcW w:w="18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and amortization</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(10,803)</w:t>
            </w:r>
          </w:p>
        </w:tc>
        <w:tc>
          <w:tcPr>
            <w:tcW w:w="2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(9,167)</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Unrealized gain on investments</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(44,586)</w:t>
            </w:r>
          </w:p>
        </w:tc>
        <w:tc>
          <w:tcPr>
            <w:tcW w:w="29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(27,751)</w:t>
            </w:r>
          </w:p>
        </w:tc>
      </w:tr>
      <w:tr>
        <w:trPr>
          <w:trHeight w:val="200"/>
        </w:trPr>
        <w:tc>
          <w:tcPr>
            <w:tcW w:w="4880" w:type="dxa"/>
            <w:vAlign w:val="bottom"/>
          </w:tcPr>
          <w:p>
            <w:pPr>
              <w:spacing w:after="0"/>
              <w:rPr>
                <w:sz w:val="17"/>
                <w:szCs w:val="17"/>
                <w:color w:val="auto"/>
              </w:rPr>
            </w:pPr>
          </w:p>
        </w:tc>
        <w:tc>
          <w:tcPr>
            <w:tcW w:w="4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($9,483)</w:t>
            </w:r>
          </w:p>
        </w:tc>
        <w:tc>
          <w:tcPr>
            <w:tcW w:w="29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$14,545</w:t>
            </w:r>
          </w:p>
        </w:tc>
      </w:tr>
      <w:tr>
        <w:trPr>
          <w:trHeight w:val="200"/>
        </w:trPr>
        <w:tc>
          <w:tcPr>
            <w:tcW w:w="4880" w:type="dxa"/>
            <w:vAlign w:val="bottom"/>
          </w:tcPr>
          <w:p>
            <w:pPr>
              <w:spacing w:after="0"/>
              <w:rPr>
                <w:sz w:val="17"/>
                <w:szCs w:val="17"/>
                <w:color w:val="auto"/>
              </w:rPr>
            </w:pPr>
          </w:p>
        </w:tc>
        <w:tc>
          <w:tcPr>
            <w:tcW w:w="4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315" w:right="1440" w:bottom="979" w:gutter="0" w:footer="0" w:header="0"/>
        </w:sectPr>
      </w:pPr>
    </w:p>
    <w:bookmarkStart w:id="5" w:name="page6"/>
    <w:bookmarkEnd w:id="5"/>
    <w:p>
      <w:pPr>
        <w:ind w:left="29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34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40" w:type="dxa"/>
            <w:vAlign w:val="bottom"/>
          </w:tcPr>
          <w:p>
            <w:pPr>
              <w:spacing w:after="0"/>
              <w:rPr>
                <w:sz w:val="20"/>
                <w:szCs w:val="20"/>
                <w:color w:val="auto"/>
              </w:rPr>
            </w:pPr>
            <w:r>
              <w:rPr>
                <w:rFonts w:ascii="Courier New" w:cs="Courier New" w:eastAsia="Courier New" w:hAnsi="Courier New"/>
                <w:sz w:val="17"/>
                <w:szCs w:val="17"/>
                <w:color w:val="auto"/>
              </w:rPr>
              <w:t>4.  SUPPLEMENTAL CASH FLOW INFORMATION</w:t>
            </w:r>
          </w:p>
        </w:tc>
        <w:tc>
          <w:tcPr>
            <w:tcW w:w="198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799"/>
        </w:trPr>
        <w:tc>
          <w:tcPr>
            <w:tcW w:w="5140" w:type="dxa"/>
            <w:vAlign w:val="bottom"/>
          </w:tcPr>
          <w:p>
            <w:pPr>
              <w:spacing w:after="0"/>
              <w:rPr>
                <w:sz w:val="24"/>
                <w:szCs w:val="24"/>
                <w:color w:val="auto"/>
              </w:rPr>
            </w:pPr>
          </w:p>
        </w:tc>
        <w:tc>
          <w:tcPr>
            <w:tcW w:w="452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Quarter Ended March 31,</w:t>
            </w:r>
          </w:p>
        </w:tc>
      </w:tr>
      <w:tr>
        <w:trPr>
          <w:trHeight w:val="200"/>
        </w:trPr>
        <w:tc>
          <w:tcPr>
            <w:tcW w:w="5140" w:type="dxa"/>
            <w:vAlign w:val="bottom"/>
          </w:tcPr>
          <w:p>
            <w:pPr>
              <w:spacing w:after="0"/>
              <w:rPr>
                <w:sz w:val="17"/>
                <w:szCs w:val="17"/>
                <w:color w:val="auto"/>
              </w:rPr>
            </w:pPr>
          </w:p>
        </w:tc>
        <w:tc>
          <w:tcPr>
            <w:tcW w:w="1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1999</w:t>
            </w:r>
          </w:p>
        </w:tc>
        <w:tc>
          <w:tcPr>
            <w:tcW w:w="25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5140" w:type="dxa"/>
            <w:vAlign w:val="bottom"/>
          </w:tcPr>
          <w:p>
            <w:pPr>
              <w:spacing w:after="0"/>
              <w:rPr>
                <w:sz w:val="17"/>
                <w:szCs w:val="17"/>
                <w:color w:val="auto"/>
              </w:rPr>
            </w:pPr>
          </w:p>
        </w:tc>
        <w:tc>
          <w:tcPr>
            <w:tcW w:w="4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1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540" w:type="dxa"/>
            <w:vAlign w:val="bottom"/>
          </w:tcPr>
          <w:p>
            <w:pPr>
              <w:jc w:val="right"/>
              <w:ind w:right="953"/>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5140" w:type="dxa"/>
            <w:vAlign w:val="bottom"/>
          </w:tcPr>
          <w:p>
            <w:pPr>
              <w:spacing w:after="0"/>
              <w:rPr>
                <w:sz w:val="20"/>
                <w:szCs w:val="20"/>
                <w:color w:val="auto"/>
              </w:rPr>
            </w:pPr>
            <w:r>
              <w:rPr>
                <w:rFonts w:ascii="Courier New" w:cs="Courier New" w:eastAsia="Courier New" w:hAnsi="Courier New"/>
                <w:sz w:val="17"/>
                <w:szCs w:val="17"/>
                <w:color w:val="auto"/>
              </w:rPr>
              <w:t>Income taxes paid</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$12,344</w:t>
            </w:r>
          </w:p>
        </w:tc>
        <w:tc>
          <w:tcPr>
            <w:tcW w:w="25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$8,793</w:t>
            </w:r>
          </w:p>
        </w:tc>
      </w:tr>
      <w:tr>
        <w:trPr>
          <w:trHeight w:val="200"/>
        </w:trPr>
        <w:tc>
          <w:tcPr>
            <w:tcW w:w="5140" w:type="dxa"/>
            <w:vAlign w:val="bottom"/>
          </w:tcPr>
          <w:p>
            <w:pPr>
              <w:spacing w:after="0"/>
              <w:rPr>
                <w:sz w:val="20"/>
                <w:szCs w:val="20"/>
                <w:color w:val="auto"/>
              </w:rPr>
            </w:pPr>
            <w:r>
              <w:rPr>
                <w:rFonts w:ascii="Courier New" w:cs="Courier New" w:eastAsia="Courier New" w:hAnsi="Courier New"/>
                <w:sz w:val="17"/>
                <w:szCs w:val="17"/>
                <w:color w:val="auto"/>
              </w:rPr>
              <w:t>Interest paid</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3,968</w:t>
            </w:r>
          </w:p>
        </w:tc>
        <w:tc>
          <w:tcPr>
            <w:tcW w:w="25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2,433</w:t>
            </w:r>
          </w:p>
        </w:tc>
      </w:tr>
      <w:tr>
        <w:trPr>
          <w:trHeight w:val="200"/>
        </w:trPr>
        <w:tc>
          <w:tcPr>
            <w:tcW w:w="5140" w:type="dxa"/>
            <w:vAlign w:val="bottom"/>
          </w:tcPr>
          <w:p>
            <w:pPr>
              <w:spacing w:after="0"/>
              <w:rPr>
                <w:sz w:val="20"/>
                <w:szCs w:val="20"/>
                <w:color w:val="auto"/>
              </w:rPr>
            </w:pPr>
            <w:r>
              <w:rPr>
                <w:rFonts w:ascii="Courier New" w:cs="Courier New" w:eastAsia="Courier New" w:hAnsi="Courier New"/>
                <w:sz w:val="17"/>
                <w:szCs w:val="17"/>
                <w:color w:val="auto"/>
              </w:rPr>
              <w:t>Liabilities assumed in acquisitions</w:t>
            </w:r>
          </w:p>
        </w:tc>
        <w:tc>
          <w:tcPr>
            <w:tcW w:w="198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200"/>
        </w:trPr>
        <w:tc>
          <w:tcPr>
            <w:tcW w:w="5140" w:type="dxa"/>
            <w:vAlign w:val="bottom"/>
          </w:tcPr>
          <w:p>
            <w:pPr>
              <w:ind w:left="120"/>
              <w:spacing w:after="0"/>
              <w:rPr>
                <w:sz w:val="20"/>
                <w:szCs w:val="20"/>
                <w:color w:val="auto"/>
              </w:rPr>
            </w:pPr>
            <w:r>
              <w:rPr>
                <w:rFonts w:ascii="Courier New" w:cs="Courier New" w:eastAsia="Courier New" w:hAnsi="Courier New"/>
                <w:sz w:val="17"/>
                <w:szCs w:val="17"/>
                <w:color w:val="auto"/>
              </w:rPr>
              <w:t>of businesses</w:t>
            </w:r>
          </w:p>
        </w:tc>
        <w:tc>
          <w:tcPr>
            <w:tcW w:w="1980" w:type="dxa"/>
            <w:vAlign w:val="bottom"/>
          </w:tcPr>
          <w:p>
            <w:pPr>
              <w:jc w:val="right"/>
              <w:spacing w:after="0"/>
              <w:rPr>
                <w:sz w:val="20"/>
                <w:szCs w:val="20"/>
                <w:color w:val="auto"/>
              </w:rPr>
            </w:pPr>
            <w:r>
              <w:rPr>
                <w:rFonts w:ascii="Courier New" w:cs="Courier New" w:eastAsia="Courier New" w:hAnsi="Courier New"/>
                <w:sz w:val="17"/>
                <w:szCs w:val="17"/>
                <w:color w:val="auto"/>
              </w:rPr>
              <w:t>1,455</w:t>
            </w:r>
          </w:p>
        </w:tc>
        <w:tc>
          <w:tcPr>
            <w:tcW w:w="25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9,682</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SHAREHOLDERS' EQUITY</w:t>
      </w:r>
    </w:p>
    <w:p>
      <w:pPr>
        <w:spacing w:after="0" w:line="7" w:lineRule="exact"/>
        <w:rPr>
          <w:sz w:val="20"/>
          <w:szCs w:val="20"/>
          <w:color w:val="auto"/>
        </w:rPr>
      </w:pPr>
    </w:p>
    <w:p>
      <w:pPr>
        <w:jc w:val="both"/>
        <w:ind w:right="2099"/>
        <w:spacing w:after="0" w:line="250" w:lineRule="auto"/>
        <w:rPr>
          <w:sz w:val="20"/>
          <w:szCs w:val="20"/>
          <w:color w:val="auto"/>
        </w:rPr>
      </w:pPr>
      <w:r>
        <w:rPr>
          <w:rFonts w:ascii="Courier New" w:cs="Courier New" w:eastAsia="Courier New" w:hAnsi="Courier New"/>
          <w:sz w:val="17"/>
          <w:szCs w:val="17"/>
          <w:color w:val="auto"/>
        </w:rPr>
        <w:t>The Company declared a 3-for-2 common stock split to shareholders of record as of April 16, 1999, payable on April 30, 1999. No effect has been given to this action in the accompanying financial statements.</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Total comprehensive income for the three months ended March 31, 1999 and 1998 was $57.4 million and $27.2 million, respectively. The increase in comprehensive income during the quarter ended March 31, 1999 is primarily due to unrealized gains on investments since December 31, 1998. The Company owns 1,702,465 shares of common stock of Knight/Trimark Group, Inc. and 900,000 shares of common stock of The BISYS Group, Inc. Common stock of both companies trade on the NASDAQ National Market System. The Company has valued its investment in Knight/Trimark Group, Inc. at a discount from market value as a result of sale restrictions.</w:t>
      </w:r>
    </w:p>
    <w:p>
      <w:pPr>
        <w:spacing w:after="0" w:line="200" w:lineRule="exact"/>
        <w:rPr>
          <w:sz w:val="20"/>
          <w:szCs w:val="20"/>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SEGMENT INFORMATION</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is a leading independent provider of financial data processing systems and related information management services and products to financial institutions and other financial intermediaries. The Company's operations have been classified into three business segments: financial institution data processing and software services, securities processing and trust services and other (including corporate). Summarized financial information by business segment for the three-months ended March 31, 1999 and 1998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spacing w:after="0"/>
              <w:rPr>
                <w:sz w:val="16"/>
                <w:szCs w:val="16"/>
                <w:color w:val="auto"/>
              </w:rPr>
            </w:pPr>
          </w:p>
        </w:tc>
        <w:tc>
          <w:tcPr>
            <w:tcW w:w="26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1999</w:t>
            </w:r>
          </w:p>
        </w:tc>
        <w:tc>
          <w:tcPr>
            <w:tcW w:w="21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4880" w:type="dxa"/>
            <w:vAlign w:val="bottom"/>
          </w:tcPr>
          <w:p>
            <w:pPr>
              <w:spacing w:after="0"/>
              <w:rPr>
                <w:sz w:val="17"/>
                <w:szCs w:val="17"/>
                <w:color w:val="auto"/>
              </w:rPr>
            </w:pPr>
          </w:p>
        </w:tc>
        <w:tc>
          <w:tcPr>
            <w:tcW w:w="4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4780" w:type="dxa"/>
            <w:vAlign w:val="bottom"/>
            <w:gridSpan w:val="2"/>
          </w:tcPr>
          <w:p>
            <w:pPr>
              <w:jc w:val="right"/>
              <w:ind w:right="1153"/>
              <w:spacing w:after="0"/>
              <w:rPr>
                <w:sz w:val="20"/>
                <w:szCs w:val="20"/>
                <w:color w:val="auto"/>
              </w:rPr>
            </w:pPr>
            <w:r>
              <w:rPr>
                <w:rFonts w:ascii="Courier New" w:cs="Courier New" w:eastAsia="Courier New" w:hAnsi="Courier New"/>
                <w:sz w:val="17"/>
                <w:szCs w:val="17"/>
                <w:color w:val="auto"/>
              </w:rPr>
              <w:t>(In thousands)</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6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Financial institution data processing and</w:t>
            </w:r>
          </w:p>
        </w:tc>
        <w:tc>
          <w:tcPr>
            <w:tcW w:w="26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software services</w:t>
            </w:r>
          </w:p>
        </w:tc>
        <w:tc>
          <w:tcPr>
            <w:tcW w:w="2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$260,386</w:t>
            </w:r>
          </w:p>
        </w:tc>
        <w:tc>
          <w:tcPr>
            <w:tcW w:w="21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$209,088</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Securities processing and trust services</w:t>
            </w:r>
          </w:p>
        </w:tc>
        <w:tc>
          <w:tcPr>
            <w:tcW w:w="2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61,262</w:t>
            </w:r>
          </w:p>
        </w:tc>
        <w:tc>
          <w:tcPr>
            <w:tcW w:w="21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54,136</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15,481</w:t>
            </w:r>
          </w:p>
        </w:tc>
        <w:tc>
          <w:tcPr>
            <w:tcW w:w="21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10,605</w:t>
            </w:r>
          </w:p>
        </w:tc>
      </w:tr>
      <w:tr>
        <w:trPr>
          <w:trHeight w:val="200"/>
        </w:trPr>
        <w:tc>
          <w:tcPr>
            <w:tcW w:w="4880" w:type="dxa"/>
            <w:vAlign w:val="bottom"/>
          </w:tcPr>
          <w:p>
            <w:pPr>
              <w:spacing w:after="0"/>
              <w:rPr>
                <w:sz w:val="17"/>
                <w:szCs w:val="17"/>
                <w:color w:val="auto"/>
              </w:rPr>
            </w:pPr>
          </w:p>
        </w:tc>
        <w:tc>
          <w:tcPr>
            <w:tcW w:w="26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$337,129</w:t>
            </w:r>
          </w:p>
        </w:tc>
        <w:tc>
          <w:tcPr>
            <w:tcW w:w="21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$273,829</w:t>
            </w:r>
          </w:p>
        </w:tc>
      </w:tr>
      <w:tr>
        <w:trPr>
          <w:trHeight w:val="200"/>
        </w:trPr>
        <w:tc>
          <w:tcPr>
            <w:tcW w:w="4880" w:type="dxa"/>
            <w:vAlign w:val="bottom"/>
          </w:tcPr>
          <w:p>
            <w:pPr>
              <w:spacing w:after="0"/>
              <w:rPr>
                <w:sz w:val="17"/>
                <w:szCs w:val="17"/>
                <w:color w:val="auto"/>
              </w:rPr>
            </w:pPr>
          </w:p>
        </w:tc>
        <w:tc>
          <w:tcPr>
            <w:tcW w:w="26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26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Financial institution data processing and</w:t>
            </w:r>
          </w:p>
        </w:tc>
        <w:tc>
          <w:tcPr>
            <w:tcW w:w="26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software services</w:t>
            </w:r>
          </w:p>
        </w:tc>
        <w:tc>
          <w:tcPr>
            <w:tcW w:w="2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$44,271</w:t>
            </w:r>
          </w:p>
        </w:tc>
        <w:tc>
          <w:tcPr>
            <w:tcW w:w="21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$35,291</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Securities processing and trust services</w:t>
            </w:r>
          </w:p>
        </w:tc>
        <w:tc>
          <w:tcPr>
            <w:tcW w:w="2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17,376</w:t>
            </w:r>
          </w:p>
        </w:tc>
        <w:tc>
          <w:tcPr>
            <w:tcW w:w="21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16,741</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26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(1,024)</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(2,648)</w:t>
            </w:r>
          </w:p>
        </w:tc>
      </w:tr>
      <w:tr>
        <w:trPr>
          <w:trHeight w:val="200"/>
        </w:trPr>
        <w:tc>
          <w:tcPr>
            <w:tcW w:w="4880" w:type="dxa"/>
            <w:vAlign w:val="bottom"/>
          </w:tcPr>
          <w:p>
            <w:pPr>
              <w:spacing w:after="0"/>
              <w:rPr>
                <w:sz w:val="17"/>
                <w:szCs w:val="17"/>
                <w:color w:val="auto"/>
              </w:rPr>
            </w:pPr>
          </w:p>
        </w:tc>
        <w:tc>
          <w:tcPr>
            <w:tcW w:w="26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266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$60,623</w:t>
            </w:r>
          </w:p>
        </w:tc>
        <w:tc>
          <w:tcPr>
            <w:tcW w:w="21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$49,384</w:t>
            </w:r>
          </w:p>
        </w:tc>
      </w:tr>
      <w:tr>
        <w:trPr>
          <w:trHeight w:val="200"/>
        </w:trPr>
        <w:tc>
          <w:tcPr>
            <w:tcW w:w="4880" w:type="dxa"/>
            <w:vAlign w:val="bottom"/>
          </w:tcPr>
          <w:p>
            <w:pPr>
              <w:spacing w:after="0"/>
              <w:rPr>
                <w:sz w:val="17"/>
                <w:szCs w:val="17"/>
                <w:color w:val="auto"/>
              </w:rPr>
            </w:pPr>
          </w:p>
        </w:tc>
        <w:tc>
          <w:tcPr>
            <w:tcW w:w="26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5" w:right="1440" w:bottom="182"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MANAGEMENT'S DISCUSSION AND ANALYSIS OF 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7" w:lineRule="exact"/>
        <w:rPr>
          <w:sz w:val="20"/>
          <w:szCs w:val="20"/>
          <w:color w:val="auto"/>
        </w:rPr>
      </w:pPr>
    </w:p>
    <w:p>
      <w:pPr>
        <w:ind w:right="2800"/>
        <w:spacing w:after="0" w:line="250" w:lineRule="auto"/>
        <w:rPr>
          <w:sz w:val="20"/>
          <w:szCs w:val="20"/>
          <w:color w:val="auto"/>
        </w:rPr>
      </w:pPr>
      <w:r>
        <w:rPr>
          <w:rFonts w:ascii="Courier New" w:cs="Courier New" w:eastAsia="Courier New" w:hAnsi="Courier New"/>
          <w:sz w:val="17"/>
          <w:szCs w:val="17"/>
          <w:color w:val="auto"/>
        </w:rPr>
        <w:t>The following table sets forth, for the periods indicated, the results of operations as a percentage of revenues represented by certain income and expense items and the percentage change in those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3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Three-Months Ended</w:t>
            </w:r>
          </w:p>
        </w:tc>
        <w:tc>
          <w:tcPr>
            <w:tcW w:w="8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Percentage</w:t>
            </w:r>
          </w:p>
        </w:tc>
      </w:tr>
      <w:tr>
        <w:trPr>
          <w:trHeight w:val="200"/>
        </w:trPr>
        <w:tc>
          <w:tcPr>
            <w:tcW w:w="5100" w:type="dxa"/>
            <w:vAlign w:val="bottom"/>
          </w:tcPr>
          <w:p>
            <w:pPr>
              <w:spacing w:after="0"/>
              <w:rPr>
                <w:sz w:val="17"/>
                <w:szCs w:val="17"/>
                <w:color w:val="auto"/>
              </w:rPr>
            </w:pPr>
          </w:p>
        </w:tc>
        <w:tc>
          <w:tcPr>
            <w:tcW w:w="3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March 31,</w:t>
            </w:r>
          </w:p>
        </w:tc>
        <w:tc>
          <w:tcPr>
            <w:tcW w:w="8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Increase</w:t>
            </w:r>
          </w:p>
        </w:tc>
      </w:tr>
      <w:tr>
        <w:trPr>
          <w:trHeight w:val="200"/>
        </w:trPr>
        <w:tc>
          <w:tcPr>
            <w:tcW w:w="5100" w:type="dxa"/>
            <w:vAlign w:val="bottom"/>
          </w:tcPr>
          <w:p>
            <w:pPr>
              <w:spacing w:after="0"/>
              <w:rPr>
                <w:sz w:val="17"/>
                <w:szCs w:val="17"/>
                <w:color w:val="auto"/>
              </w:rPr>
            </w:pP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1999</w:t>
            </w:r>
          </w:p>
        </w:tc>
        <w:tc>
          <w:tcPr>
            <w:tcW w:w="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1998</w:t>
            </w:r>
          </w:p>
        </w:tc>
        <w:tc>
          <w:tcPr>
            <w:tcW w:w="1300" w:type="dxa"/>
            <w:vAlign w:val="bottom"/>
          </w:tcPr>
          <w:p>
            <w:pPr>
              <w:jc w:val="center"/>
              <w:spacing w:after="0"/>
              <w:rPr>
                <w:sz w:val="20"/>
                <w:szCs w:val="20"/>
                <w:color w:val="auto"/>
              </w:rPr>
            </w:pPr>
            <w:r>
              <w:rPr>
                <w:rFonts w:ascii="Courier New" w:cs="Courier New" w:eastAsia="Courier New" w:hAnsi="Courier New"/>
                <w:sz w:val="17"/>
                <w:szCs w:val="17"/>
                <w:color w:val="auto"/>
              </w:rPr>
              <w:t>(Decrease)</w:t>
            </w:r>
          </w:p>
        </w:tc>
      </w:tr>
      <w:tr>
        <w:trPr>
          <w:trHeight w:val="200"/>
        </w:trPr>
        <w:tc>
          <w:tcPr>
            <w:tcW w:w="5100" w:type="dxa"/>
            <w:vAlign w:val="bottom"/>
          </w:tcPr>
          <w:p>
            <w:pPr>
              <w:spacing w:after="0"/>
              <w:rPr>
                <w:sz w:val="17"/>
                <w:szCs w:val="17"/>
                <w:color w:val="auto"/>
              </w:rPr>
            </w:pPr>
          </w:p>
        </w:tc>
        <w:tc>
          <w:tcPr>
            <w:tcW w:w="602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4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100.0</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100.0</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23.1</w:t>
            </w:r>
          </w:p>
        </w:tc>
      </w:tr>
      <w:tr>
        <w:trPr>
          <w:trHeight w:val="200"/>
        </w:trPr>
        <w:tc>
          <w:tcPr>
            <w:tcW w:w="5100" w:type="dxa"/>
            <w:vAlign w:val="bottom"/>
          </w:tcPr>
          <w:p>
            <w:pPr>
              <w:spacing w:after="0"/>
              <w:rPr>
                <w:sz w:val="17"/>
                <w:szCs w:val="17"/>
                <w:color w:val="auto"/>
              </w:rPr>
            </w:pPr>
          </w:p>
        </w:tc>
        <w:tc>
          <w:tcPr>
            <w:tcW w:w="47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Salaries and related costs</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47.3</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46.8</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24.5</w:t>
            </w: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Data processing costs</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9.1</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10.0</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11.8</w:t>
            </w: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Other operating expenses</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19.0</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19.1</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22.1</w:t>
            </w: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4.4</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5.2</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w:t>
            </w: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Amortization of intangible assets</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1.3</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1.3</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31.3</w:t>
            </w: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Amortization (capitalization) of software-net</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0.9</w:t>
            </w:r>
          </w:p>
        </w:tc>
        <w:tc>
          <w:tcPr>
            <w:tcW w:w="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(0.4)</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5100" w:type="dxa"/>
            <w:vAlign w:val="bottom"/>
          </w:tcPr>
          <w:p>
            <w:pPr>
              <w:spacing w:after="0"/>
              <w:rPr>
                <w:sz w:val="17"/>
                <w:szCs w:val="17"/>
                <w:color w:val="auto"/>
              </w:rPr>
            </w:pPr>
          </w:p>
        </w:tc>
        <w:tc>
          <w:tcPr>
            <w:tcW w:w="47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Total cost of revenues</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82.0</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82.0</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23.2</w:t>
            </w:r>
          </w:p>
        </w:tc>
      </w:tr>
      <w:tr>
        <w:trPr>
          <w:trHeight w:val="200"/>
        </w:trPr>
        <w:tc>
          <w:tcPr>
            <w:tcW w:w="5100" w:type="dxa"/>
            <w:vAlign w:val="bottom"/>
          </w:tcPr>
          <w:p>
            <w:pPr>
              <w:spacing w:after="0"/>
              <w:rPr>
                <w:sz w:val="17"/>
                <w:szCs w:val="17"/>
                <w:color w:val="auto"/>
              </w:rPr>
            </w:pPr>
          </w:p>
        </w:tc>
        <w:tc>
          <w:tcPr>
            <w:tcW w:w="47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r>
      <w:tr>
        <w:trPr>
          <w:trHeight w:val="200"/>
        </w:trPr>
        <w:tc>
          <w:tcPr>
            <w:tcW w:w="510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3840" w:type="dxa"/>
            <w:vAlign w:val="bottom"/>
          </w:tcPr>
          <w:p>
            <w:pPr>
              <w:jc w:val="right"/>
              <w:ind w:right="1773"/>
              <w:spacing w:after="0"/>
              <w:rPr>
                <w:sz w:val="20"/>
                <w:szCs w:val="20"/>
                <w:color w:val="auto"/>
              </w:rPr>
            </w:pPr>
            <w:r>
              <w:rPr>
                <w:rFonts w:ascii="Courier New" w:cs="Courier New" w:eastAsia="Courier New" w:hAnsi="Courier New"/>
                <w:sz w:val="17"/>
                <w:szCs w:val="17"/>
                <w:color w:val="auto"/>
              </w:rPr>
              <w:t>18.0</w:t>
            </w:r>
          </w:p>
        </w:tc>
        <w:tc>
          <w:tcPr>
            <w:tcW w:w="8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18.0</w:t>
            </w:r>
          </w:p>
        </w:tc>
        <w:tc>
          <w:tcPr>
            <w:tcW w:w="13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22.8</w:t>
            </w:r>
          </w:p>
        </w:tc>
      </w:tr>
      <w:tr>
        <w:trPr>
          <w:trHeight w:val="200"/>
        </w:trPr>
        <w:tc>
          <w:tcPr>
            <w:tcW w:w="5100" w:type="dxa"/>
            <w:vAlign w:val="bottom"/>
          </w:tcPr>
          <w:p>
            <w:pPr>
              <w:spacing w:after="0"/>
              <w:rPr>
                <w:sz w:val="17"/>
                <w:szCs w:val="17"/>
                <w:color w:val="auto"/>
              </w:rPr>
            </w:pPr>
          </w:p>
        </w:tc>
        <w:tc>
          <w:tcPr>
            <w:tcW w:w="472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w:t>
      </w:r>
    </w:p>
    <w:p>
      <w:pPr>
        <w:spacing w:after="0" w:line="7" w:lineRule="exact"/>
        <w:rPr>
          <w:sz w:val="20"/>
          <w:szCs w:val="20"/>
          <w:color w:val="auto"/>
        </w:rPr>
      </w:pPr>
    </w:p>
    <w:p>
      <w:pPr>
        <w:ind w:right="3000"/>
        <w:spacing w:after="0" w:line="249" w:lineRule="auto"/>
        <w:rPr>
          <w:sz w:val="20"/>
          <w:szCs w:val="20"/>
          <w:color w:val="auto"/>
        </w:rPr>
      </w:pPr>
      <w:r>
        <w:rPr>
          <w:rFonts w:ascii="Courier New" w:cs="Courier New" w:eastAsia="Courier New" w:hAnsi="Courier New"/>
          <w:sz w:val="17"/>
          <w:szCs w:val="17"/>
          <w:color w:val="auto"/>
        </w:rPr>
        <w:t>Revenues increased 23.1% from $273.8 million in the first quarter of 1998 to $337.1 million in the current first quarter. Approximately 45% of this growth resulted from the inclusion of revenues from the date of purchase of acquired companies and approximately 55% from increases in revenue from the addition of new clients, growth in the transaction volume experienced by existing clients and price increases.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OF REVENUES</w:t>
      </w:r>
    </w:p>
    <w:p>
      <w:pPr>
        <w:spacing w:after="0" w:line="7" w:lineRule="exact"/>
        <w:rPr>
          <w:sz w:val="20"/>
          <w:szCs w:val="20"/>
          <w:color w:val="auto"/>
        </w:rPr>
      </w:pPr>
    </w:p>
    <w:p>
      <w:pPr>
        <w:ind w:right="2800"/>
        <w:spacing w:after="0" w:line="249" w:lineRule="auto"/>
        <w:rPr>
          <w:sz w:val="20"/>
          <w:szCs w:val="20"/>
          <w:color w:val="auto"/>
        </w:rPr>
      </w:pPr>
      <w:r>
        <w:rPr>
          <w:rFonts w:ascii="Courier New" w:cs="Courier New" w:eastAsia="Courier New" w:hAnsi="Courier New"/>
          <w:sz w:val="17"/>
          <w:szCs w:val="17"/>
          <w:color w:val="auto"/>
        </w:rPr>
        <w:t>Cost of revenues increased 23.2% from $224.4 million in the first quarter of 1998 to $276.5 million in the current first quarter. The make up of cost of revenues has been affected by changes in the mix of the Company's business as sales of software and related support activities have enjoyed an increasing percentage of total revenues. In addition, amortization of internally generated computer software increased as a percentage of revenues due to the write down of certain ancillary software products to net realizable value.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INCOME</w:t>
      </w:r>
    </w:p>
    <w:p>
      <w:pPr>
        <w:spacing w:after="0" w:line="7" w:lineRule="exact"/>
        <w:rPr>
          <w:sz w:val="20"/>
          <w:szCs w:val="20"/>
          <w:color w:val="auto"/>
        </w:rPr>
      </w:pPr>
    </w:p>
    <w:p>
      <w:pPr>
        <w:ind w:right="2800"/>
        <w:spacing w:after="0" w:line="251" w:lineRule="auto"/>
        <w:rPr>
          <w:sz w:val="20"/>
          <w:szCs w:val="20"/>
          <w:color w:val="auto"/>
        </w:rPr>
      </w:pPr>
      <w:r>
        <w:rPr>
          <w:rFonts w:ascii="Courier New" w:cs="Courier New" w:eastAsia="Courier New" w:hAnsi="Courier New"/>
          <w:sz w:val="17"/>
          <w:szCs w:val="17"/>
          <w:color w:val="auto"/>
        </w:rPr>
        <w:t>Operating income increased 22.8% from $49.4 million in the first quarter of 1998 to $60.6 million in the current first quarter.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TAX PROVISION</w:t>
      </w:r>
    </w:p>
    <w:p>
      <w:pPr>
        <w:spacing w:after="0" w:line="7" w:lineRule="exact"/>
        <w:rPr>
          <w:sz w:val="20"/>
          <w:szCs w:val="20"/>
          <w:color w:val="auto"/>
        </w:rPr>
      </w:pPr>
    </w:p>
    <w:p>
      <w:pPr>
        <w:ind w:right="2900"/>
        <w:spacing w:after="0" w:line="251" w:lineRule="auto"/>
        <w:rPr>
          <w:sz w:val="20"/>
          <w:szCs w:val="20"/>
          <w:color w:val="auto"/>
        </w:rPr>
      </w:pPr>
      <w:r>
        <w:rPr>
          <w:rFonts w:ascii="Courier New" w:cs="Courier New" w:eastAsia="Courier New" w:hAnsi="Courier New"/>
          <w:sz w:val="17"/>
          <w:szCs w:val="17"/>
          <w:color w:val="auto"/>
        </w:rPr>
        <w:t>Income taxes were computed at 41% in both 1999 and 1998, which rate is expected to apply throughout the current year.</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w:t>
      </w:r>
    </w:p>
    <w:p>
      <w:pPr>
        <w:spacing w:after="0" w:line="7" w:lineRule="exact"/>
        <w:rPr>
          <w:sz w:val="20"/>
          <w:szCs w:val="20"/>
          <w:color w:val="auto"/>
        </w:rPr>
      </w:pPr>
    </w:p>
    <w:p>
      <w:pPr>
        <w:ind w:right="3000"/>
        <w:spacing w:after="0" w:line="249" w:lineRule="auto"/>
        <w:rPr>
          <w:sz w:val="20"/>
          <w:szCs w:val="20"/>
          <w:color w:val="auto"/>
        </w:rPr>
      </w:pPr>
      <w:r>
        <w:rPr>
          <w:rFonts w:ascii="Courier New" w:cs="Courier New" w:eastAsia="Courier New" w:hAnsi="Courier New"/>
          <w:sz w:val="17"/>
          <w:szCs w:val="17"/>
          <w:color w:val="auto"/>
        </w:rPr>
        <w:t>Net income grew 23.1% from $27.2 million in the first quarter of 1998 to $33.4 million in the current first quarter. Net income per share-diluted increased $.06 from $0.33 in the first quarter of 1998 to $0.39 in the current first quarter. The increase in net income per share-diluted over 1998 was consistent with management expectations and historical growth rates.</w:t>
      </w:r>
    </w:p>
    <w:p>
      <w:pPr>
        <w:sectPr>
          <w:pgSz w:w="11900" w:h="16838" w:orient="portrait"/>
          <w:cols w:equalWidth="0" w:num="1">
            <w:col w:w="11120"/>
          </w:cols>
          <w:pgMar w:left="240" w:top="315"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120"/>
          </w:cols>
          <w:pgMar w:left="240" w:top="315" w:right="539"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SYSTEMS EVALUATION</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provides data processing and other related services to financial institutions of all kinds. The Company has substantially completed the Year 2000 renovation, testing and implementation of its mission critical proprietary systems used in providing service to its clients. Testing and implementation of the remaining non-mission critical systems, which are not material to the Company's business, are expected to be completed by mid-1999.</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has received Year 2000 disclosures prepared by its principal vendors indicating that they will be Year 2000 compliant in all material respects. The Company's contingency plans include actions required should any vendor experience Year 2000-related problems. In addition, the Company has no reason to believe that its clients will not be Year 2000 compliant in all material respects, and in many cases has assisted its clients in their Year 2000 efforts.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believes that it has and will continue to meet its Year 2000 compliance commitments using existing resources, without incurring significant incremental expenses. Although the Company does not maintain accounting records that separately identify all of the costs associated with its Year 2000 activities, it has estimated that commencing with 1996 such costs have approximated $15 million a year. Estimated cost for the year 1999 when the entire project is scheduled for completion is approximately $10 to $12 million.</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disclosure set forth above contains forward-looking statements. Specifically, such statements are contained in sentences including the words "will" or "expect" or "anticipate" or "could" or "should". Such forward-looking statements are subject to inherent risks and uncertainties that may cause actual results to differ materially from those contemplated by such forward-looking statements. The factors that may cause actual results to differ materially from those contemplated by the forward-looking statements include the failure by third parties to adequately remediate Year 2000 issues and the inability of the Company to test and implement remaining non-mission critical systems. Failure by the Company in making its proprietary systems Year 2000 compliant would have a material adverse effect on its business. However, the Company expects that its Year 2000 compliance efforts will be successful without any material adverse effects on its business.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The following table summarizes the Company's primary sources of funds for the three months ended March 31, 1999 and 1998:</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040" w:type="dxa"/>
            <w:vAlign w:val="bottom"/>
          </w:tcPr>
          <w:p>
            <w:pPr>
              <w:spacing w:after="0"/>
              <w:rPr>
                <w:sz w:val="16"/>
                <w:szCs w:val="16"/>
                <w:color w:val="auto"/>
              </w:rPr>
            </w:pPr>
          </w:p>
        </w:tc>
        <w:tc>
          <w:tcPr>
            <w:tcW w:w="3580" w:type="dxa"/>
            <w:vAlign w:val="bottom"/>
          </w:tcPr>
          <w:p>
            <w:pPr>
              <w:jc w:val="right"/>
              <w:ind w:right="1453"/>
              <w:spacing w:after="0"/>
              <w:rPr>
                <w:sz w:val="20"/>
                <w:szCs w:val="20"/>
                <w:color w:val="auto"/>
              </w:rPr>
            </w:pPr>
            <w:r>
              <w:rPr>
                <w:rFonts w:ascii="Courier New" w:cs="Courier New" w:eastAsia="Courier New" w:hAnsi="Courier New"/>
                <w:sz w:val="17"/>
                <w:szCs w:val="17"/>
                <w:color w:val="auto"/>
              </w:rPr>
              <w:t>1999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1998</w:t>
            </w:r>
          </w:p>
        </w:tc>
      </w:tr>
      <w:tr>
        <w:trPr>
          <w:trHeight w:val="200"/>
        </w:trPr>
        <w:tc>
          <w:tcPr>
            <w:tcW w:w="5040" w:type="dxa"/>
            <w:vAlign w:val="bottom"/>
          </w:tcPr>
          <w:p>
            <w:pPr>
              <w:spacing w:after="0"/>
              <w:rPr>
                <w:sz w:val="17"/>
                <w:szCs w:val="17"/>
                <w:color w:val="auto"/>
              </w:rPr>
            </w:pPr>
          </w:p>
        </w:tc>
        <w:tc>
          <w:tcPr>
            <w:tcW w:w="4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17"/>
                <w:szCs w:val="17"/>
                <w:color w:val="auto"/>
              </w:rPr>
            </w:pPr>
          </w:p>
        </w:tc>
        <w:tc>
          <w:tcPr>
            <w:tcW w:w="35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(In thousands)</w:t>
            </w:r>
          </w:p>
        </w:tc>
        <w:tc>
          <w:tcPr>
            <w:tcW w:w="1040" w:type="dxa"/>
            <w:vAlign w:val="bottom"/>
          </w:tcPr>
          <w:p>
            <w:pPr>
              <w:spacing w:after="0"/>
              <w:rPr>
                <w:sz w:val="17"/>
                <w:szCs w:val="17"/>
                <w:color w:val="auto"/>
              </w:rPr>
            </w:pPr>
          </w:p>
        </w:tc>
      </w:tr>
      <w:tr>
        <w:trPr>
          <w:trHeight w:val="4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Cash provided by operating activities before</w:t>
            </w:r>
          </w:p>
        </w:tc>
        <w:tc>
          <w:tcPr>
            <w:tcW w:w="3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changes in securities processing receivables</w:t>
            </w:r>
          </w:p>
        </w:tc>
        <w:tc>
          <w:tcPr>
            <w:tcW w:w="3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and payables-net</w:t>
            </w:r>
          </w:p>
        </w:tc>
        <w:tc>
          <w:tcPr>
            <w:tcW w:w="3580" w:type="dxa"/>
            <w:vAlign w:val="bottom"/>
          </w:tcPr>
          <w:p>
            <w:pPr>
              <w:jc w:val="right"/>
              <w:ind w:right="1453"/>
              <w:spacing w:after="0"/>
              <w:rPr>
                <w:sz w:val="20"/>
                <w:szCs w:val="20"/>
                <w:color w:val="auto"/>
              </w:rPr>
            </w:pPr>
            <w:r>
              <w:rPr>
                <w:rFonts w:ascii="Courier New" w:cs="Courier New" w:eastAsia="Courier New" w:hAnsi="Courier New"/>
                <w:sz w:val="17"/>
                <w:szCs w:val="17"/>
                <w:color w:val="auto"/>
              </w:rPr>
              <w:t>$79,988</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$49,644</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Securities processing receivables and</w:t>
            </w:r>
          </w:p>
        </w:tc>
        <w:tc>
          <w:tcPr>
            <w:tcW w:w="35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payables-net</w:t>
            </w:r>
          </w:p>
        </w:tc>
        <w:tc>
          <w:tcPr>
            <w:tcW w:w="3580" w:type="dxa"/>
            <w:vAlign w:val="bottom"/>
          </w:tcPr>
          <w:p>
            <w:pPr>
              <w:jc w:val="right"/>
              <w:ind w:right="1353"/>
              <w:spacing w:after="0"/>
              <w:rPr>
                <w:sz w:val="20"/>
                <w:szCs w:val="20"/>
                <w:color w:val="auto"/>
              </w:rPr>
            </w:pPr>
            <w:r>
              <w:rPr>
                <w:rFonts w:ascii="Courier New" w:cs="Courier New" w:eastAsia="Courier New" w:hAnsi="Courier New"/>
                <w:sz w:val="17"/>
                <w:szCs w:val="17"/>
                <w:color w:val="auto"/>
              </w:rPr>
              <w:t>(43,097)</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33,169</w:t>
            </w:r>
          </w:p>
        </w:tc>
      </w:tr>
      <w:tr>
        <w:trPr>
          <w:trHeight w:val="200"/>
        </w:trPr>
        <w:tc>
          <w:tcPr>
            <w:tcW w:w="5040" w:type="dxa"/>
            <w:vAlign w:val="bottom"/>
          </w:tcPr>
          <w:p>
            <w:pPr>
              <w:spacing w:after="0"/>
              <w:rPr>
                <w:sz w:val="17"/>
                <w:szCs w:val="17"/>
                <w:color w:val="auto"/>
              </w:rPr>
            </w:pPr>
          </w:p>
        </w:tc>
        <w:tc>
          <w:tcPr>
            <w:tcW w:w="4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Cash provided by operating activities</w:t>
            </w:r>
          </w:p>
        </w:tc>
        <w:tc>
          <w:tcPr>
            <w:tcW w:w="3580" w:type="dxa"/>
            <w:vAlign w:val="bottom"/>
          </w:tcPr>
          <w:p>
            <w:pPr>
              <w:jc w:val="right"/>
              <w:ind w:right="1453"/>
              <w:spacing w:after="0"/>
              <w:rPr>
                <w:sz w:val="20"/>
                <w:szCs w:val="20"/>
                <w:color w:val="auto"/>
              </w:rPr>
            </w:pPr>
            <w:r>
              <w:rPr>
                <w:rFonts w:ascii="Courier New" w:cs="Courier New" w:eastAsia="Courier New" w:hAnsi="Courier New"/>
                <w:sz w:val="17"/>
                <w:szCs w:val="17"/>
                <w:color w:val="auto"/>
              </w:rPr>
              <w:t>36,891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82,813</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Issuance (purchases) of common stock-net</w:t>
            </w:r>
          </w:p>
        </w:tc>
        <w:tc>
          <w:tcPr>
            <w:tcW w:w="3580" w:type="dxa"/>
            <w:vAlign w:val="bottom"/>
          </w:tcPr>
          <w:p>
            <w:pPr>
              <w:jc w:val="right"/>
              <w:ind w:right="1453"/>
              <w:spacing w:after="0"/>
              <w:rPr>
                <w:sz w:val="20"/>
                <w:szCs w:val="20"/>
                <w:color w:val="auto"/>
              </w:rPr>
            </w:pPr>
            <w:r>
              <w:rPr>
                <w:rFonts w:ascii="Courier New" w:cs="Courier New" w:eastAsia="Courier New" w:hAnsi="Courier New"/>
                <w:sz w:val="17"/>
                <w:szCs w:val="17"/>
                <w:color w:val="auto"/>
              </w:rPr>
              <w:t>3,254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(36,518)</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(Increase) decrease in investments</w:t>
            </w:r>
          </w:p>
        </w:tc>
        <w:tc>
          <w:tcPr>
            <w:tcW w:w="3580" w:type="dxa"/>
            <w:vAlign w:val="bottom"/>
          </w:tcPr>
          <w:p>
            <w:pPr>
              <w:jc w:val="right"/>
              <w:ind w:right="1353"/>
              <w:spacing w:after="0"/>
              <w:rPr>
                <w:sz w:val="20"/>
                <w:szCs w:val="20"/>
                <w:color w:val="auto"/>
              </w:rPr>
            </w:pPr>
            <w:r>
              <w:rPr>
                <w:rFonts w:ascii="Courier New" w:cs="Courier New" w:eastAsia="Courier New" w:hAnsi="Courier New"/>
                <w:sz w:val="17"/>
                <w:szCs w:val="17"/>
                <w:color w:val="auto"/>
              </w:rPr>
              <w:t>(57,063)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(1,736)</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Increase (decrease) in net borrowings</w:t>
            </w:r>
          </w:p>
        </w:tc>
        <w:tc>
          <w:tcPr>
            <w:tcW w:w="3580" w:type="dxa"/>
            <w:vAlign w:val="bottom"/>
          </w:tcPr>
          <w:p>
            <w:pPr>
              <w:jc w:val="right"/>
              <w:ind w:right="1453"/>
              <w:spacing w:after="0"/>
              <w:rPr>
                <w:sz w:val="20"/>
                <w:szCs w:val="20"/>
                <w:color w:val="auto"/>
              </w:rPr>
            </w:pPr>
            <w:r>
              <w:rPr>
                <w:rFonts w:ascii="Courier New" w:cs="Courier New" w:eastAsia="Courier New" w:hAnsi="Courier New"/>
                <w:sz w:val="17"/>
                <w:szCs w:val="17"/>
                <w:color w:val="auto"/>
              </w:rPr>
              <w:t>66,460</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50,245</w:t>
            </w:r>
          </w:p>
        </w:tc>
      </w:tr>
      <w:tr>
        <w:trPr>
          <w:trHeight w:val="200"/>
        </w:trPr>
        <w:tc>
          <w:tcPr>
            <w:tcW w:w="5040" w:type="dxa"/>
            <w:vAlign w:val="bottom"/>
          </w:tcPr>
          <w:p>
            <w:pPr>
              <w:spacing w:after="0"/>
              <w:rPr>
                <w:sz w:val="17"/>
                <w:szCs w:val="17"/>
                <w:color w:val="auto"/>
              </w:rPr>
            </w:pPr>
          </w:p>
        </w:tc>
        <w:tc>
          <w:tcPr>
            <w:tcW w:w="4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504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3580" w:type="dxa"/>
            <w:vAlign w:val="bottom"/>
          </w:tcPr>
          <w:p>
            <w:pPr>
              <w:jc w:val="right"/>
              <w:ind w:right="1453"/>
              <w:spacing w:after="0"/>
              <w:rPr>
                <w:sz w:val="20"/>
                <w:szCs w:val="20"/>
                <w:color w:val="auto"/>
              </w:rPr>
            </w:pPr>
            <w:r>
              <w:rPr>
                <w:rFonts w:ascii="Courier New" w:cs="Courier New" w:eastAsia="Courier New" w:hAnsi="Courier New"/>
                <w:sz w:val="17"/>
                <w:szCs w:val="17"/>
                <w:color w:val="auto"/>
              </w:rPr>
              <w:t>$49,542</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$94,804</w:t>
            </w:r>
          </w:p>
        </w:tc>
      </w:tr>
      <w:tr>
        <w:trPr>
          <w:trHeight w:val="200"/>
        </w:trPr>
        <w:tc>
          <w:tcPr>
            <w:tcW w:w="5040" w:type="dxa"/>
            <w:vAlign w:val="bottom"/>
          </w:tcPr>
          <w:p>
            <w:pPr>
              <w:spacing w:after="0"/>
              <w:rPr>
                <w:sz w:val="17"/>
                <w:szCs w:val="17"/>
                <w:color w:val="auto"/>
              </w:rPr>
            </w:pPr>
          </w:p>
        </w:tc>
        <w:tc>
          <w:tcPr>
            <w:tcW w:w="4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Long-term obligations amounted to $355.1 million at March 31, 1999. The majority of this debt comprises $106.1 million of senior notes due 1999 to 2005 and $184.7 million advanced under a $330.0 million unsecured line of credit and commercial paper facility which is reduced to $150.0 million on May 17, 1999 and expires on May 17, 2000. A facility fee of .1% to .2% per annum is payable on the $330.0 million committed amount. The Company plans to refinance the entire facility on or before May 17, 1999.</w:t>
      </w:r>
    </w:p>
    <w:p>
      <w:pPr>
        <w:spacing w:after="0" w:line="20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The Company has historically applied a significant portion of its cash flow from operating activities and long-term borrowings to acquisitions. The Company believes that its cash flow from operating activities together with other available sources of funds will be adequate to meet its funding requirements. However, in the event that the Company makes significant future acquisitions, it may raise funds through additional borrowings or issuance of securities.</w:t>
      </w:r>
    </w:p>
    <w:p>
      <w:pPr>
        <w:sectPr>
          <w:pgSz w:w="11900" w:h="16838" w:orient="portrait"/>
          <w:cols w:equalWidth="0" w:num="1">
            <w:col w:w="10219"/>
          </w:cols>
          <w:pgMar w:left="240" w:top="315" w:right="1440" w:bottom="0" w:gutter="0" w:footer="0" w:header="0"/>
        </w:sectPr>
      </w:pPr>
    </w:p>
    <w:bookmarkStart w:id="9" w:name="page10"/>
    <w:bookmarkEnd w:id="9"/>
    <w:p>
      <w:pPr>
        <w:ind w:left="29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1141"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9</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7" w:lineRule="exact"/>
        <w:rPr>
          <w:sz w:val="20"/>
          <w:szCs w:val="20"/>
          <w:color w:val="auto"/>
        </w:rPr>
      </w:pPr>
    </w:p>
    <w:p>
      <w:pPr>
        <w:ind w:left="640" w:hanging="426"/>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Index to exhibits</w:t>
      </w:r>
    </w:p>
    <w:p>
      <w:pPr>
        <w:spacing w:after="0" w:line="7" w:lineRule="exact"/>
        <w:rPr>
          <w:rFonts w:ascii="Courier New" w:cs="Courier New" w:eastAsia="Courier New" w:hAnsi="Courier New"/>
          <w:sz w:val="17"/>
          <w:szCs w:val="17"/>
          <w:color w:val="auto"/>
        </w:rPr>
      </w:pPr>
    </w:p>
    <w:p>
      <w:pPr>
        <w:ind w:right="2219" w:firstLine="630"/>
        <w:spacing w:after="0" w:line="251" w:lineRule="auto"/>
        <w:tabs>
          <w:tab w:leader="none" w:pos="1143"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 regarding computation of per share earnings (included on page 5, Part 1).</w:t>
      </w:r>
    </w:p>
    <w:p>
      <w:pPr>
        <w:spacing w:after="0" w:line="196" w:lineRule="exact"/>
        <w:rPr>
          <w:rFonts w:ascii="Courier New" w:cs="Courier New" w:eastAsia="Courier New" w:hAnsi="Courier New"/>
          <w:sz w:val="17"/>
          <w:szCs w:val="17"/>
          <w:color w:val="auto"/>
        </w:rPr>
      </w:pPr>
    </w:p>
    <w:p>
      <w:pPr>
        <w:ind w:left="640" w:hanging="426"/>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7" w:lineRule="exact"/>
        <w:rPr>
          <w:sz w:val="20"/>
          <w:szCs w:val="20"/>
          <w:color w:val="auto"/>
        </w:rPr>
      </w:pPr>
    </w:p>
    <w:p>
      <w:pPr>
        <w:ind w:right="1899"/>
        <w:spacing w:after="0" w:line="248" w:lineRule="auto"/>
        <w:rPr>
          <w:sz w:val="20"/>
          <w:szCs w:val="20"/>
          <w:color w:val="auto"/>
        </w:rPr>
      </w:pPr>
      <w:r>
        <w:rPr>
          <w:rFonts w:ascii="Courier New" w:cs="Courier New" w:eastAsia="Courier New" w:hAnsi="Courier New"/>
          <w:sz w:val="17"/>
          <w:szCs w:val="17"/>
          <w:color w:val="auto"/>
        </w:rPr>
        <w:t>During the quarter ended March 31, 1999, the Registrant filed one report on Form 8-K dated March 25, 1999. The Form 8-K disclosed an increase in the number of authorized shares of common stock from 150.0 million to 300.0 million, a</w:t>
      </w:r>
    </w:p>
    <w:p>
      <w:pPr>
        <w:spacing w:after="0" w:line="2" w:lineRule="exact"/>
        <w:rPr>
          <w:sz w:val="20"/>
          <w:szCs w:val="20"/>
          <w:color w:val="auto"/>
        </w:rPr>
      </w:pPr>
    </w:p>
    <w:p>
      <w:pPr>
        <w:ind w:right="1899"/>
        <w:spacing w:after="0" w:line="250" w:lineRule="auto"/>
        <w:rPr>
          <w:sz w:val="20"/>
          <w:szCs w:val="20"/>
          <w:color w:val="auto"/>
        </w:rPr>
      </w:pPr>
      <w:r>
        <w:rPr>
          <w:rFonts w:ascii="Courier New" w:cs="Courier New" w:eastAsia="Courier New" w:hAnsi="Courier New"/>
          <w:sz w:val="17"/>
          <w:szCs w:val="17"/>
          <w:color w:val="auto"/>
        </w:rPr>
        <w:t>3-for-2 stock split and the appointment of Leslie M. Muma as Chief Executive Officer, succeeding George D. Dalton who remains Chairman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7" w:lineRule="exact"/>
        <w:rPr>
          <w:sz w:val="20"/>
          <w:szCs w:val="20"/>
          <w:color w:val="auto"/>
        </w:rPr>
      </w:pPr>
    </w:p>
    <w:p>
      <w:pPr>
        <w:jc w:val="both"/>
        <w:ind w:right="2739"/>
        <w:spacing w:after="0" w:line="250"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FISERV, INC.</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20,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Charles W. Sprague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CHARLES W. SPRAGUE</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Executive Vice President,</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General Counsel and</w:t>
      </w:r>
    </w:p>
    <w:p>
      <w:pPr>
        <w:spacing w:after="0" w:line="7"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Secretary</w:t>
      </w:r>
    </w:p>
    <w:p>
      <w:pPr>
        <w:spacing w:after="0" w:line="200" w:lineRule="exact"/>
        <w:rPr>
          <w:sz w:val="20"/>
          <w:szCs w:val="20"/>
          <w:color w:val="auto"/>
        </w:rPr>
      </w:pPr>
    </w:p>
    <w:p>
      <w:pPr>
        <w:sectPr>
          <w:pgSz w:w="11900" w:h="16838" w:orient="portrait"/>
          <w:cols w:equalWidth="0" w:num="3">
            <w:col w:w="640" w:space="720"/>
            <w:col w:w="2300" w:space="720"/>
            <w:col w:w="5839"/>
          </w:cols>
          <w:pgMar w:left="240" w:top="31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5" w:right="1440" w:bottom="1440" w:gutter="0" w:footer="0" w:header="0"/>
          <w:type w:val="continuous"/>
        </w:sectPr>
      </w:pPr>
    </w:p>
    <w:bookmarkStart w:id="11" w:name="page12"/>
    <w:bookmarkEnd w:id="11"/>
    <w:p>
      <w:pPr>
        <w:ind w:left="80"/>
        <w:spacing w:after="0"/>
        <w:rPr>
          <w:sz w:val="20"/>
          <w:szCs w:val="20"/>
          <w:color w:val="auto"/>
        </w:rPr>
      </w:pPr>
      <w:r>
        <w:rPr>
          <w:rFonts w:ascii="Courier New" w:cs="Courier New" w:eastAsia="Courier New" w:hAnsi="Courier New"/>
          <w:sz w:val="17"/>
          <w:szCs w:val="17"/>
          <w:color w:val="auto"/>
        </w:rPr>
        <w:t>5</w:t>
      </w:r>
    </w:p>
    <w:p>
      <w:pPr>
        <w:spacing w:after="0" w:line="207" w:lineRule="exact"/>
        <w:rPr>
          <w:sz w:val="20"/>
          <w:szCs w:val="20"/>
          <w:color w:val="auto"/>
        </w:rPr>
      </w:pPr>
    </w:p>
    <w:p>
      <w:pPr>
        <w:ind w:right="2179"/>
        <w:spacing w:after="0" w:line="251" w:lineRule="auto"/>
        <w:rPr>
          <w:sz w:val="20"/>
          <w:szCs w:val="20"/>
          <w:color w:val="auto"/>
        </w:rPr>
      </w:pPr>
      <w:r>
        <w:rPr>
          <w:rFonts w:ascii="Courier New" w:cs="Courier New" w:eastAsia="Courier New" w:hAnsi="Courier New"/>
          <w:sz w:val="17"/>
          <w:szCs w:val="17"/>
          <w:color w:val="auto"/>
        </w:rPr>
        <w:t>THIS SCHEDULE CONTAINS SUMMARY FINANCIAL INFORMATION EXTRACTED FROM THE MARCH 1999 10-Q AND IS QUALIFIED IN ITS ENTIRETY BY REFERENCE TO SUCH INFORMATION.</w:t>
      </w:r>
    </w:p>
    <w:p>
      <w:pPr>
        <w:spacing w:after="0" w:line="200" w:lineRule="exact"/>
        <w:rPr>
          <w:sz w:val="20"/>
          <w:szCs w:val="20"/>
          <w:color w:val="auto"/>
        </w:rPr>
      </w:pPr>
    </w:p>
    <w:p>
      <w:pPr>
        <w:spacing w:after="0" w:line="396" w:lineRule="exact"/>
        <w:rPr>
          <w:sz w:val="20"/>
          <w:szCs w:val="20"/>
          <w:color w:val="auto"/>
        </w:rPr>
      </w:pPr>
    </w:p>
    <w:p>
      <w:pPr>
        <w:ind w:left="1940"/>
        <w:spacing w:after="0"/>
        <w:rPr>
          <w:sz w:val="20"/>
          <w:szCs w:val="20"/>
          <w:color w:val="auto"/>
        </w:rPr>
      </w:pPr>
      <w:r>
        <w:rPr>
          <w:rFonts w:ascii="Courier New" w:cs="Courier New" w:eastAsia="Courier New" w:hAnsi="Courier New"/>
          <w:sz w:val="17"/>
          <w:szCs w:val="17"/>
          <w:color w:val="auto"/>
        </w:rPr>
        <w:t>3-MOS</w:t>
      </w:r>
    </w:p>
    <w:p>
      <w:pPr>
        <w:spacing w:after="0" w:line="7"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DEC-31-1999</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MAR-31-1999</w:t>
      </w:r>
    </w:p>
    <w:p>
      <w:pPr>
        <w:spacing w:after="0" w:line="7"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81,476</w:t>
      </w:r>
    </w:p>
    <w:p>
      <w:pPr>
        <w:spacing w:after="0" w:line="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7"/>
          <w:szCs w:val="17"/>
          <w:color w:val="auto"/>
        </w:rPr>
        <w:t>1,189,078</w:t>
      </w:r>
    </w:p>
    <w:p>
      <w:pPr>
        <w:spacing w:after="0" w:line="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7"/>
          <w:szCs w:val="17"/>
          <w:color w:val="auto"/>
        </w:rPr>
        <w:t>248,771</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3,296,096</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184,915</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4,445,989</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3,165,675</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3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440"/>
        <w:spacing w:after="0"/>
        <w:rPr>
          <w:sz w:val="20"/>
          <w:szCs w:val="20"/>
          <w:color w:val="auto"/>
        </w:rPr>
      </w:pPr>
      <w:r>
        <w:rPr>
          <w:rFonts w:ascii="Courier New" w:cs="Courier New" w:eastAsia="Courier New" w:hAnsi="Courier New"/>
          <w:sz w:val="17"/>
          <w:szCs w:val="17"/>
          <w:color w:val="auto"/>
        </w:rPr>
        <w:t>834</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945,626</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4,445,989</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337,129</w:t>
      </w:r>
    </w:p>
    <w:p>
      <w:pPr>
        <w:spacing w:after="0" w:line="7"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268,907</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7,599</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3,985</w:t>
      </w:r>
    </w:p>
    <w:p>
      <w:pPr>
        <w:spacing w:after="0" w:line="7"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56,638</w:t>
      </w:r>
    </w:p>
    <w:p>
      <w:pPr>
        <w:spacing w:after="0" w:line="7"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23,222</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33,416</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0</w:t>
      </w:r>
    </w:p>
    <w:p>
      <w:pPr>
        <w:spacing w:after="0" w:line="7"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33,146</w:t>
      </w:r>
    </w:p>
    <w:p>
      <w:pPr>
        <w:spacing w:after="0" w:line="7"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0.41</w:t>
      </w:r>
    </w:p>
    <w:p>
      <w:pPr>
        <w:spacing w:after="0" w:line="7"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0.39</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1)"/>
      <w:numFmt w:val="lowerLetter"/>
      <w:start w:val="1"/>
    </w:lvl>
    <w:lvl w:ilvl="1">
      <w:lvlJc w:val="left"/>
      <w:lvlText w:val="(%2)"/>
      <w:numFmt w:val="decimal"/>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2020-02-22T11:24:44Z</dcterms:created>
  <dcterms:modified xsi:type="dcterms:W3CDTF">2020-02-22T11:24:44Z</dcterms:modified>
</cp:coreProperties>
</file>